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ind w:firstLine="0"/>
        <w:jc w:val="center"/>
      </w:pPr>
      <w:r>
        <w:rPr>
          <w:b/>
          <w:i w:val="0"/>
          <w:sz w:val="28"/>
        </w:rPr>
        <w:t>ЛИЦЕНЗИОННЫЙ ДОГОВОР № ______</w:t>
      </w:r>
    </w:p>
    <w:p>
      <w:pPr>
        <w:spacing w:after="200" w:before="0"/>
        <w:ind w:firstLine="0"/>
        <w:jc w:val="center"/>
      </w:pPr>
      <w:r>
        <w:rPr>
          <w:b w:val="0"/>
          <w:i w:val="0"/>
          <w:sz w:val="22"/>
        </w:rPr>
        <w:t>о предоставлении права использования программы для ЭВМ «ПВ-Система»</w:t>
        <w:br/>
        <w:t>на условиях простой (неисключительной) лицензии с правом сублицензирования</w:t>
        <w:br/>
        <w:t>(новая редакция)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</w:tcPr>
          <w:p>
            <w:r>
              <w:t>г. Сибай</w:t>
            </w:r>
          </w:p>
        </w:tc>
        <w:tc>
          <w:tcPr>
            <w:tcW w:type="dxa" w:w="4904"/>
          </w:tcPr>
          <w:p>
            <w:pPr>
              <w:jc w:val="right"/>
            </w:pPr>
            <w:r>
              <w:t>«____» ______________ 2026 г.</w:t>
            </w:r>
          </w:p>
        </w:tc>
      </w:tr>
    </w:tbl>
    <w:p>
      <w:pPr>
        <w:spacing w:after="40" w:before="0"/>
        <w:ind w:firstLine="425"/>
        <w:jc w:val="both"/>
      </w:pPr>
      <w:r>
        <w:rPr>
          <w:b w:val="0"/>
          <w:i w:val="0"/>
          <w:sz w:val="24"/>
        </w:rPr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Гражданин Российской Федерации Ипатов Сергей Генадьевич, являющийся автором и обладателем исключительного права на программу для ЭВМ «ПВ-Система», именуемый в дальнейшем «Лицензиар», с одной стороны, и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Индивидуальный предприниматель Ипатова Лилия Салаватовна (ОГРНИП 326028000140852, ИНН 026704655416), именуемая в дальнейшем «Лицензиат», с другой стороны,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совместно именуемые «Стороны», заключили настоящий договор (далее — «Договор») о нижеследующем: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1. ТЕРМИНЫ И ОПРЕДЕЛЕНИЯ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1.1. Программа (ПО) — программа для ЭВМ «ПВ-Система» (Проектирование вентиляции и водоснабжения рудников), свидетельство о государственной регистрации программы для ЭВМ № 2026681414, дата государственной регистрации в Реестре программ для ЭВМ 14 июля 2026 г. (заявка № 2026668092), включая все её последующие версии, обновления, справочники, базы данных и эксплуатационную документацию. Исключительное право на Программу принадлежит Лицензиару на основании авторства.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1.2. Простая (неисключительная) лицензия — право использования Программы, предоставляемое Лицензиату с сохранением за Лицензиаром права выдачи лицензий другим лицам (подпункт 1 пункта 1 статьи 1236 Гражданского кодекса Российской Федерации (далее — ГК РФ)).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1.3. Сублицензиат — лицо, получившее от Лицензиата право использования Программы по сублицензионному договору (пункт 1 статьи 1238 ГК РФ), в том числе с правом дальнейшего сублицензирования (дистрибьютор).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1.4. Конечный пользователь — физическое или юридическое лицо, использующее Программу для решения собственных задач без права её перепродажи и дальнейшего сублицензирования.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1.5. Отчёт — письменный отчёт Лицензиата о заключённых сублицензионных договорах по форме Приложения № 2.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2. ПРЕДМЕТ ДОГОВОРА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2.1. Лицензиар предоставляет Лицензиату на условиях простой (неисключительной) лицензии право использования Программы способами, указанными в пункте 2.4 Договора, на срок и на территории, установленных Договором.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2.2. Программа предоставляется в электронном виде путём загрузки с сервера Лицензиара по адресу https://пв-система.рф. Перечень функциональных возможностей Программы приведён в Приложении № 1.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2.3. Территория использования — Российская Федерация.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2.4. Лицензиат вправе использовать Программу следующими способами: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воспроизведение Программы (установка, запись в память ЭВМ, запуск) — в целях демонстрации, обучения, технической поддержки и проверки работоспособности;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распространение экземпляров Программы любым способом, включая предоставление доступа к загрузке и к браузерной версии Программы;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предоставление права использования Программы третьим лицам по сублицензионным договорам — как на возмездной, так и на безвозмездной основе (в том числе образовательным и научным организациям в учебных и научных целях), а также предоставление демонстрационного доступа;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предоставление Сублицензиатам права дальнейшего сублицензирования Конечным пользователям в пределах, установленных разделом 4 Договора;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использование наименования Программы, её описаний, снимков экрана и документации в рекламных и информационных материалах;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иные действия, необходимые для коммерческого распространения Программы и не связанные с изменением её кода.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2.5. Количество сублицензий, Сублицензиатов и рабочих мест Конечных пользователей не ограничивается.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2.6. Договор является безвозмездным: вознаграждение Лицензиару за предоставление права использования Программы не выплачивается (пункт 5 статьи 1235 ГК РФ).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2.7. Лицензиат вправе получать доход от заключения сублицензионных договоров. Стоимость сублицензий, сроки их действия и иные условия сублицензионных договоров устанавливаются Лицензиатом самостоятельно в пределах Договора.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2.8. Лицензиар гарантирует, что исключительное право на Программу принадлежит ему лично как автору, не отчуждено, не передано в залог и не обременено правами третьих лиц, препятствующими исполнению Договора.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2.9. Договор не влечёт перехода к Лицензиату исключительного права на Программу (пункт 1 статьи 1233 ГК РФ).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3. ПРАВА И ОБЯЗАННОСТИ СТОРОН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3.1. Лицензиар обязуется: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предоставить Лицензиату доступ к Программе, документацию и инструкцию по использованию не позднее 5 (пяти) рабочих дней с даты подписания Договора;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обеспечивать техническую поддержку Лицензиата и его Сублицензиатов: срок ответа — 1 (один) рабочий день; объём — ответы на вопросы, исправление ошибок, выпуск обновлений в течение всего срока действия Договора;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своевременно вносить в Программу изменения, необходимые для её устойчивой и корректной работы, в том числе в связи с изменением нормативных требований;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устранять программные сбои, возникшие по вине Лицензиара, в течение 3 (трёх) рабочих дней с даты получения заявки Лицензиата, Сублицензиата или Конечного пользователя;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обеспечивать работу сервера лицензирования и выдачу ключей активации по заявкам Лицензиата;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не совершать действий, препятствующих Лицензиату, Сублицензиатам и Конечным пользователям в использовании Программы в пределах предоставленных прав;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предоставлять Лицензиату информацию об обновлениях и новых версиях Программы;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по запросу Лицензиата или Сублицензиата выдавать письменное подтверждение права сублицензирования для предъявления Конечным пользователям;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участвовать на стороне Лицензиата в судебных делах по искам третьих лиц, связанным с нарушением интеллектуальных прав на Программу либо с недостатками Программы.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3.2. Лицензиат обязуется: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использовать Программу строго в пределах прав, предоставленных Договором;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не модифицировать, не декомпилировать и не изменять структуру Программы без письменного согласия Лицензиара, за исключением случаев, предусмотренных статьёй 1280 ГК РФ;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обеспечивать сохранность знаков охраны авторского права и сведений о Лицензиаре как правообладателе на экземплярах Программы и в документации;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указывать в сублицензионных договорах Лицензиара как правообладателя Программы, номер свидетельства о её государственной регистрации, а также реквизиты Договора;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не включать в сублицензионные договоры условия, противоречащие Договору, и не предоставлять права, выходящие за пределы прав, полученных по Договору;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не отчуждать исключительное право на Программу;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за свой счёт организовать первую линию технической поддержки Конечных пользователей, передавая Лицензиару обращения, требующие изменения Программы;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предоставлять Лицензиару Отчёты не реже одного раза в квартал — до 15-го числа месяца, следующего за отчётным кварталом;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уведомлять Лицензиара обо всех известных случаях нарушения исключительного права на Программу;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участвовать на стороне Лицензиара в судебных делах по искам третьих лиц, связанным с распространением Программы Лицензиатом и его Сублицензиатами.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4. СУБЛИЦЕНЗИОННЫЕ ДОГОВОРЫ И ПРИВЛЕЧЕНИЕ ПОСРЕДНИКОВ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4.1. Лицензиар настоящим даёт письменное согласие Лицензиату на заключение сублицензионных договоров с любым количеством третьих лиц (пункт 1 статьи 1238 ГК РФ). Согласие даётся на весь срок действия Договора.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4.2. Лицензиар настоящим также даёт письменное согласие на то, чтобы Сублицензиаты Лицензиата заключали сублицензионные договоры с Конечными пользователями (дальнейшее сублицензирование), при условии что: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объём прав Конечного пользователя не превышает объёма прав, предоставленных по Договору;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Конечный пользователь не получает права дальнейшего сублицензирования;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в сублицензионном договоре Лицензиар указан как правообладатель Программы.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4.3. Лицензиат вправе без дополнительного согласования с Лицензиаром привлекать для распространения Программы третьих лиц (агентов, дистрибьюторов, комиссионеров и иных посредников), действующих в интересах Лицензиата.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4.4. Объём прав, предоставляемых по сублицензионному договору, не может превышать объёма прав, полученных Лицензиатом по Договору (пункт 2 статьи 1238 ГК РФ). Срок сублицензионного договора не может превышать срока действия Договора (пункт 3 статьи 1238 ГК РФ).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4.5. Ответственность перед Лицензиаром за действия Сублицензиатов несёт Лицензиат, если иное не предусмотрено сублицензионным договором (пункт 4 статьи 1238 ГК РФ).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4.6. При досрочном прекращении Договора сублицензионные договоры, заключённые до даты прекращения, сохраняют силу до окончания предусмотренных в них сроков. Лицензиар обязуется не препятствовать использованию Программы Конечными пользователями по таким договорам и продолжать техническую поддержку в объёме пункта 3.1 Договора.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5. СРОК ДЕЙСТВИЯ И ПОРЯДОК РАСТОРЖЕНИЯ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5.1. Договор вступает в силу с даты его подписания Сторонами и действует в течение 5 (пяти) лет.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5.2. Если ни одна из Сторон не позднее чем за 30 (тридцать) календарных дней до истечения срока действия Договора не заявит в письменной форме о его прекращении, Договор считается продлённым на каждый следующий срок в 5 (пять) лет на тех же условиях.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5.3. Лицензиар вправе отказаться от Договора в одностороннем внесудебном порядке в случаях: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существенного нарушения Лицензиатом обязанностей, предусмотренных пунктом 3.2 Договора, не устранённого в течение 30 (тридцати) календарных дней с даты получения письменной претензии;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непредставления Отчётов более 2 (двух) раз подряд.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5.4. Лицензиат вправе отказаться от Договора в одностороннем внесудебном порядке, уведомив Лицензиара не менее чем за 30 (тридцать) календарных дней.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5.5. Срок действия Договора не может превышать срока действия исключительного права на Программу.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6. ОТВЕТСТВЕННОСТЬ СТОРОН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6.1. 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6.2. Лицензиар отвечает перед Лицензиатом за нарушение прав третьих лиц, связанное с Программой, и за недостатки Программы, возникшие по его вине, в том числе возмещает Лицензиату убытки, взысканные с Лицензиата Сублицензиатами и Конечными пользователями по этим основаниям.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6.3. Ответственность за правильность исходных данных, вводимых в Программу, и за технические и организационные решения, принятые на основании результатов расчётов, несёт Конечный пользователь. Это условие подлежит включению в сублицензионные договоры.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7. ЗАКЛЮЧИТЕЛЬНЫЕ ПОЛОЖЕНИЯ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7.1. Договор составлен в двух экземплярах, имеющих равную юридическую силу, по одному для каждой из Сторон.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7.2. Изменения и дополнения к Договору действительны, если совершены в письменной форме и подписаны Сторонами.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7.3. Стороны обязуются соблюдать конфиденциальность информации, ставшей им известной в ходе исполнения Договора.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7.4. Споры разрешаются путём переговоров, а при недостижении согласия — в суде по месту нахождения ответчика.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7.5. Во всём, что не урегулировано Договором, Стороны руководствуются законодательством Российской Федерации, в том числе частью четвёртой ГК РФ.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7.6. Договор не подлежит государственной регистрации. С даты подписания настоящая редакция заменяет ранее подписанный Сторонами лицензионный договор (с правом сублицензирования) от «____» июня 2026 г.; сублицензионные договоры, заключённые на его основании, сохраняют силу.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7.7. Приложения: № 1 — Функциональные возможности Программы; № 2 — Форма Отчёта.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8. АДРЕСА, РЕКВИЗИТЫ И ПОДПИСИ СТОРОН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</w:tcPr>
          <w:p>
            <w:pPr>
              <w:spacing w:after="0"/>
            </w:pPr>
            <w:r/>
            <w:r>
              <w:rPr>
                <w:b/>
                <w:sz w:val="21"/>
              </w:rPr>
              <w:t>ЛИЦЕНЗИАР</w:t>
            </w:r>
          </w:p>
          <w:p>
            <w:pPr>
              <w:spacing w:after="0"/>
            </w:pPr>
            <w:r>
              <w:rPr>
                <w:b/>
                <w:sz w:val="21"/>
              </w:rPr>
              <w:t>Ипатов Сергей Генадьевич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22.09.1987 г. р.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паспорт 80 07 522761, выдан 07.06.2008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Отделом УФМС России по Республике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Башкортостан в гор. Сибай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ИНН 026706779625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Адрес: 453833, Республика Башкортостан,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г. Сибай, ул. Куйбышева, д. 12/1, кв. 19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</w:r>
          </w:p>
          <w:p>
            <w:pPr>
              <w:spacing w:after="0"/>
            </w:pPr>
            <w:r>
              <w:rPr>
                <w:b w:val="0"/>
                <w:sz w:val="21"/>
              </w:rPr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_______________ / С. Г. Ипатов /</w:t>
            </w:r>
          </w:p>
        </w:tc>
        <w:tc>
          <w:tcPr>
            <w:tcW w:type="dxa" w:w="4904"/>
          </w:tcPr>
          <w:p>
            <w:pPr>
              <w:spacing w:after="0"/>
            </w:pPr>
            <w:r/>
            <w:r>
              <w:rPr>
                <w:b/>
                <w:sz w:val="21"/>
              </w:rPr>
              <w:t>ЛИЦЕНЗИАТ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Индивидуальный предприниматель</w:t>
            </w:r>
          </w:p>
          <w:p>
            <w:pPr>
              <w:spacing w:after="0"/>
            </w:pPr>
            <w:r>
              <w:rPr>
                <w:b/>
                <w:sz w:val="21"/>
              </w:rPr>
              <w:t>Ипатова Лилия Салаватовна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ОГРНИП 326028000140852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ИНН 026704655416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Адрес: 453833, Республика Башкортостан,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г. Сибай, ул. Куйбышева, д. 12/1, кв. 19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Р/сч 40802810280690001419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в АО «АЛЬФА-БАНК»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К/сч 30101810200000000593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БИК 044525593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_______________ / Л. С. Ипатова /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М.П.</w:t>
            </w:r>
          </w:p>
        </w:tc>
      </w:tr>
    </w:tbl>
    <w:p>
      <w:r>
        <w:br w:type="page"/>
      </w:r>
    </w:p>
    <w:p>
      <w:pPr>
        <w:spacing w:after="160" w:before="0"/>
        <w:ind w:firstLine="0"/>
        <w:jc w:val="right"/>
      </w:pPr>
      <w:r>
        <w:rPr>
          <w:b w:val="0"/>
          <w:i w:val="0"/>
          <w:sz w:val="20"/>
        </w:rPr>
        <w:t>Приложение № 1</w:t>
        <w:br/>
        <w:t>к лицензионному договору № ______ от «____» __________ 2026 г.</w:t>
      </w:r>
    </w:p>
    <w:p>
      <w:pPr>
        <w:spacing w:after="160" w:before="0"/>
        <w:ind w:firstLine="0"/>
        <w:jc w:val="center"/>
      </w:pPr>
      <w:r>
        <w:rPr>
          <w:b/>
          <w:i w:val="0"/>
          <w:sz w:val="24"/>
        </w:rPr>
        <w:t>ФУНКЦИОНАЛЬНЫЕ ВОЗМОЖНОСТИ ПРОГРАММЫ «ПВ-СИСТЕМА»</w:t>
      </w:r>
    </w:p>
    <w:p>
      <w:pPr>
        <w:spacing w:after="40" w:before="0"/>
        <w:ind w:firstLine="0"/>
        <w:jc w:val="both"/>
      </w:pPr>
      <w:r>
        <w:rPr>
          <w:b w:val="0"/>
          <w:i w:val="0"/>
          <w:sz w:val="24"/>
        </w:rPr>
        <w:t>1. Построение и редактирование компьютерной модели вентиляционной сети шахты (рудника);</w:t>
      </w:r>
    </w:p>
    <w:p>
      <w:pPr>
        <w:spacing w:after="40" w:before="0"/>
        <w:ind w:firstLine="0"/>
        <w:jc w:val="both"/>
      </w:pPr>
      <w:r>
        <w:rPr>
          <w:b w:val="0"/>
          <w:i w:val="0"/>
          <w:sz w:val="24"/>
        </w:rPr>
        <w:t>2. Расчёт аэродинамического сопротивления горных выработок;</w:t>
      </w:r>
    </w:p>
    <w:p>
      <w:pPr>
        <w:spacing w:after="40" w:before="0"/>
        <w:ind w:firstLine="0"/>
        <w:jc w:val="both"/>
      </w:pPr>
      <w:r>
        <w:rPr>
          <w:b w:val="0"/>
          <w:i w:val="0"/>
          <w:sz w:val="24"/>
        </w:rPr>
        <w:t>3. Расчёт воздухораспределения в вентиляционной сети произвольной сложности;</w:t>
      </w:r>
    </w:p>
    <w:p>
      <w:pPr>
        <w:spacing w:after="40" w:before="0"/>
        <w:ind w:firstLine="0"/>
        <w:jc w:val="both"/>
      </w:pPr>
      <w:r>
        <w:rPr>
          <w:b w:val="0"/>
          <w:i w:val="0"/>
          <w:sz w:val="24"/>
        </w:rPr>
        <w:t>4. Каталог вентиляторов, определение рабочей точки вентиляторов главного проветривания;</w:t>
      </w:r>
    </w:p>
    <w:p>
      <w:pPr>
        <w:spacing w:after="40" w:before="0"/>
        <w:ind w:firstLine="0"/>
        <w:jc w:val="both"/>
      </w:pPr>
      <w:r>
        <w:rPr>
          <w:b w:val="0"/>
          <w:i w:val="0"/>
          <w:sz w:val="24"/>
        </w:rPr>
        <w:t>5. Моделирование аварийных вентиляционных режимов при подземном пожаре;</w:t>
      </w:r>
    </w:p>
    <w:p>
      <w:pPr>
        <w:spacing w:after="40" w:before="0"/>
        <w:ind w:firstLine="0"/>
        <w:jc w:val="both"/>
      </w:pPr>
      <w:r>
        <w:rPr>
          <w:b w:val="0"/>
          <w:i w:val="0"/>
          <w:sz w:val="24"/>
        </w:rPr>
        <w:t>6. Расчёт параметров взрыва;</w:t>
      </w:r>
    </w:p>
    <w:p>
      <w:pPr>
        <w:spacing w:after="40" w:before="0"/>
        <w:ind w:firstLine="0"/>
        <w:jc w:val="both"/>
      </w:pPr>
      <w:r>
        <w:rPr>
          <w:b w:val="0"/>
          <w:i w:val="0"/>
          <w:sz w:val="24"/>
        </w:rPr>
        <w:t>7. Гидравлический расчёт противопожарного водоснабжения;</w:t>
      </w:r>
    </w:p>
    <w:p>
      <w:pPr>
        <w:spacing w:after="40" w:before="0"/>
        <w:ind w:firstLine="0"/>
        <w:jc w:val="both"/>
      </w:pPr>
      <w:r>
        <w:rPr>
          <w:b w:val="0"/>
          <w:i w:val="0"/>
          <w:sz w:val="24"/>
        </w:rPr>
        <w:t>8. Расчёт маршрутов горноспасательных отделений и позиций плана ликвидации аварий (ПЛА);</w:t>
      </w:r>
    </w:p>
    <w:p>
      <w:pPr>
        <w:spacing w:after="40" w:before="0"/>
        <w:ind w:firstLine="0"/>
        <w:jc w:val="both"/>
      </w:pPr>
      <w:r>
        <w:rPr>
          <w:b w:val="0"/>
          <w:i w:val="0"/>
          <w:sz w:val="24"/>
        </w:rPr>
        <w:t>9. Расчёт количества воздуха по забоям (ФНиП № 505), проветривание тупиковых забоев;</w:t>
      </w:r>
    </w:p>
    <w:p>
      <w:pPr>
        <w:spacing w:after="40" w:before="0"/>
        <w:ind w:firstLine="0"/>
        <w:jc w:val="both"/>
      </w:pPr>
      <w:r>
        <w:rPr>
          <w:b w:val="0"/>
          <w:i w:val="0"/>
          <w:sz w:val="24"/>
        </w:rPr>
        <w:t>10. Анализ вентиляционной сети и обработка воздушно-депрессионной съёмки;</w:t>
      </w:r>
    </w:p>
    <w:p>
      <w:pPr>
        <w:spacing w:after="40" w:before="0"/>
        <w:ind w:firstLine="0"/>
        <w:jc w:val="both"/>
      </w:pPr>
      <w:r>
        <w:rPr>
          <w:b w:val="0"/>
          <w:i w:val="0"/>
          <w:sz w:val="24"/>
        </w:rPr>
        <w:t>11. Визуализация вентиляционной схемы, импорт и экспорт данных (в том числе DXF, Excel);</w:t>
      </w:r>
    </w:p>
    <w:p>
      <w:pPr>
        <w:spacing w:after="40" w:before="0"/>
        <w:ind w:firstLine="0"/>
        <w:jc w:val="both"/>
      </w:pPr>
      <w:r>
        <w:rPr>
          <w:b w:val="0"/>
          <w:i w:val="0"/>
          <w:sz w:val="24"/>
        </w:rPr>
        <w:t>12. Справочники нормативно-технических данных;</w:t>
      </w:r>
    </w:p>
    <w:p>
      <w:pPr>
        <w:spacing w:after="40" w:before="0"/>
        <w:ind w:firstLine="0"/>
        <w:jc w:val="both"/>
      </w:pPr>
      <w:r>
        <w:rPr>
          <w:b w:val="0"/>
          <w:i w:val="0"/>
          <w:sz w:val="24"/>
        </w:rPr>
        <w:t>13. Лицензирование и администрирование рабочих мест.</w:t>
      </w:r>
    </w:p>
    <w:p>
      <w:pPr>
        <w:spacing w:after="80" w:before="120"/>
        <w:ind w:firstLine="425"/>
        <w:jc w:val="both"/>
      </w:pPr>
      <w:r>
        <w:rPr>
          <w:b w:val="0"/>
          <w:i w:val="0"/>
          <w:sz w:val="24"/>
        </w:rPr>
        <w:t>Подробное описание приведено в документе «Описание функциональных характеристик программного обеспечения», размещённом на сайте https://пв-система.рф.</w:t>
      </w:r>
    </w:p>
    <w:p>
      <w:r>
        <w:br w:type="page"/>
      </w:r>
    </w:p>
    <w:p>
      <w:pPr>
        <w:spacing w:after="160" w:before="0"/>
        <w:ind w:firstLine="0"/>
        <w:jc w:val="right"/>
      </w:pPr>
      <w:r>
        <w:rPr>
          <w:b w:val="0"/>
          <w:i w:val="0"/>
          <w:sz w:val="20"/>
        </w:rPr>
        <w:t>Приложение № 2</w:t>
        <w:br/>
        <w:t>к лицензионному договору № ______ от «____» __________ 2026 г.</w:t>
      </w:r>
    </w:p>
    <w:p>
      <w:pPr>
        <w:spacing w:after="160" w:before="0"/>
        <w:ind w:firstLine="0"/>
        <w:jc w:val="center"/>
      </w:pPr>
      <w:r>
        <w:rPr>
          <w:b/>
          <w:i w:val="0"/>
          <w:sz w:val="24"/>
        </w:rPr>
        <w:t>ФОРМА ОТЧЁТА</w:t>
        <w:br/>
        <w:t>о заключённых сублицензионных договорах за ___ квартал 20___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5"/>
        <w:gridCol w:w="1635"/>
        <w:gridCol w:w="1635"/>
        <w:gridCol w:w="1635"/>
        <w:gridCol w:w="1635"/>
        <w:gridCol w:w="1635"/>
      </w:tblGrid>
      <w:tr>
        <w:tc>
          <w:tcPr>
            <w:tcW w:type="dxa" w:w="163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Сублицензиат / Конечный пользователь (наименование, ИНН)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№ и дата договора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Срок лицензии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Кол-во рабочих мест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Возмездно / безвозмездно</w:t>
            </w:r>
          </w:p>
        </w:tc>
      </w:tr>
      <w:tr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120" w:before="0"/>
        <w:ind w:firstLine="425"/>
        <w:jc w:val="both"/>
      </w:pPr>
      <w:r>
        <w:rPr>
          <w:b w:val="0"/>
          <w:i w:val="0"/>
          <w:sz w:val="24"/>
        </w:rPr>
      </w:r>
    </w:p>
    <w:p>
      <w:pPr>
        <w:spacing w:after="80" w:before="0"/>
        <w:ind w:firstLine="0"/>
        <w:jc w:val="both"/>
      </w:pPr>
      <w:r>
        <w:rPr>
          <w:b w:val="0"/>
          <w:i w:val="0"/>
          <w:sz w:val="24"/>
        </w:rPr>
        <w:t>Лицензиат  _______________ / Л. С. Ипатова /          «____» __________ 20___ г.</w:t>
      </w:r>
    </w:p>
    <w:sectPr w:rsidR="00FC693F" w:rsidRPr="0006063C" w:rsidSect="00034616">
      <w:pgSz w:w="11906" w:h="16838"/>
      <w:pgMar w:top="850" w:right="68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Лицензионный договор Ипатов — Ипатова (ПВ-Система)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