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422"/>
          </w:tcPr>
          <w:p/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Приложение № 1</w:t>
            </w:r>
          </w:p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к сублицензионному договору</w:t>
            </w:r>
          </w:p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№ ______ от «____» __________ 2026 г.</w:t>
            </w:r>
          </w:p>
        </w:tc>
      </w:tr>
    </w:tbl>
    <w:p>
      <w:pPr>
        <w:spacing w:before="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/>
          <w:sz w:val="26"/>
        </w:rPr>
        <w:t>ТЕХНИЧЕСКИЕ ТРЕБОВАНИЯ К РАБОЧИМ МЕСТАМ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Настоящее Приложение определяет минимальные и рекомендуемые требования к аппаратному и программному обеспечению рабочих мест Лицензиата, при соблюдении которых Лицензиар гарантирует работоспособность программного комплекса «ПВ-Система».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1. Настольная (десктопная) версия</w:t>
      </w:r>
    </w:p>
    <w:p>
      <w:pPr>
        <w:spacing w:before="0" w:after="10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1.1. Требования к рабочей станции: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0"/>
        <w:gridCol w:w="3270"/>
        <w:gridCol w:w="3270"/>
      </w:tblGrid>
      <w:tr>
        <w:tc>
          <w:tcPr>
            <w:tcW w:type="dxa" w:w="2438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685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Минимально</w:t>
            </w:r>
          </w:p>
        </w:tc>
        <w:tc>
          <w:tcPr>
            <w:tcW w:type="dxa" w:w="3685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Рекомендуется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Операционная система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Windows 10 (64-бит), сборка 1809 и выше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Windows 11 (64-бит)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Процессор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4 ядра, 2,0 ГГц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8 ядер, 3,0 ГГц и выше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Оперативная память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8 ГБ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16 ГБ и более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Свободное место на диске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 ГБ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20 ГБ (SSD)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Видеоподсистема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Встроенная, поддержка OpenGL 3.0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Дискретная, 2 ГБ видеопамяти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Монитор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1920 × 1080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2560 × 1440 и выше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Дополнительное ПО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Microsoft Edge WebView2 Runtime</w:t>
              <w:br/>
              <w:t>(предустановлен в Windows 11)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на установку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локального администратора</w:t>
              <w:br/>
              <w:t>на время установки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0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1.2. Размер схемы рудника влияет на требования к памяти. Для сетей свыше 5 000 ветвей рекомендуется не менее 16 ГБ оперативной памяти.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1.3. Настольная версия содержит локальное расчётное ядро и выполняет все расчёты на рабочей станции Лицензиата. Постоянное подключение к сети «Интернет» не требуется.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1.4. Проверка лицензионного ключа настольной версии выполняется один раз в месяц. На время проверки требуется однократный доступ к серверу лицензирования Лицензиара (домен пвсистема.рф, протокол HTTPS, порт 443). В остальное время программа работает в изолированном контуре предприятия.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1.5. Для работы аварийного ключа подключение к сети «Интернет» не требуется в течение всего срока действия Договора.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1.6. Локальный расчётный сервер программы использует сетевой порт 54321 на интерфейсе 127.0.0.1 (localhost). Порт не публикуется во внешнюю сеть; в правилах межсетевого экрана должно быть разрешено локальное соединение.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2. Браузерная (веб-) версия</w:t>
      </w:r>
    </w:p>
    <w:p>
      <w:pPr>
        <w:spacing w:before="0" w:after="10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2.1. Требования к рабочему месту: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438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370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Браузер</w:t>
            </w:r>
          </w:p>
        </w:tc>
        <w:tc>
          <w:tcPr>
            <w:tcW w:type="dxa" w:w="737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Google Chrome, Microsoft Edge, Яндекс.Браузер — версия не ниже 110;</w:t>
              <w:br/>
              <w:t>Mozilla Firefox — версия не ниже 110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Оперативная память</w:t>
            </w:r>
          </w:p>
        </w:tc>
        <w:tc>
          <w:tcPr>
            <w:tcW w:type="dxa" w:w="737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8 ГБ и более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Монитор</w:t>
            </w:r>
          </w:p>
        </w:tc>
        <w:tc>
          <w:tcPr>
            <w:tcW w:type="dxa" w:w="737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1920 × 1080 и выше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Канал связи</w:t>
            </w:r>
          </w:p>
        </w:tc>
        <w:tc>
          <w:tcPr>
            <w:tcW w:type="dxa" w:w="737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От 5 Мбит/с, стабильное подключение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Доступ по сети</w:t>
            </w:r>
          </w:p>
        </w:tc>
        <w:tc>
          <w:tcPr>
            <w:tcW w:type="dxa" w:w="737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HTTPS (порт 443) к домену пвсистема.рф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Настройки браузера</w:t>
            </w:r>
          </w:p>
        </w:tc>
        <w:tc>
          <w:tcPr>
            <w:tcW w:type="dxa" w:w="737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Разрешены JavaScript, файлы cookie и локальное хранилище</w:t>
              <w:br/>
              <w:t>(localStorage)</w:t>
            </w:r>
          </w:p>
        </w:tc>
      </w:tr>
    </w:tbl>
    <w:p>
      <w:pPr>
        <w:spacing w:before="10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2.2. Браузерная версия проходит проверку лицензии при каждом запуске программы. Рекомендуется использовать комплекс в одном браузере на одном рабочем месте — во избежание задвоения лицензионного ключа на сервере лицензирования.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3. Требования к сетевой инфраструктуре</w:t>
      </w:r>
    </w:p>
    <w:p>
      <w:pPr>
        <w:spacing w:before="0" w:after="6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3.1. Для активации и обновления ПО, а также для работы браузерной версии в правилах межсетевого экрана Лицензиата должен быть разрешён исходящий доступ: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протокол HTTPS, порт 443;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домен пвсистема.рф и его поддомены.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3.2. Использование прокси-сервера допускается при условии передачи заголовков авторизации без изменений.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3.3. При установке на терминальный сервер или в среду виртуализации количество одновременных сеансов не должно превышать количества рабочих мест, указанного в пункте 1.5 Договора.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4. Порядок установки и приёмки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4.1. Установка и настройка ПО выполняются Лицензиаром удалённо с использованием средств удалённого доступа, согласованных службой информационной безопасности Лицензиата.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4.2. Лицензиат обеспечивает готовность рабочих мест к установке в соответствии с настоящим Приложением и предоставляет доступ уполномоченным специалистам Лицензиара.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4.3. Несоответствие рабочих мест настоящим требованиям не является основанием для отказа Лицензиата от подписания акта приёма-передачи неисключительных прав.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4.4. Лицензиар не несёт ответственности за некорректную работу ПО, вызванную несоответствием рабочих мест требованиям настоящего Приложения, а также действием средств антивирусной защиты и ограничениями политик безопасности Лицензиата.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5. Техническая поддержка</w:t>
      </w:r>
    </w:p>
    <w:p>
      <w:pPr>
        <w:spacing w:before="0" w:after="6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5.1. Техническая поддержка оказывается в режиме 24/7 по следующим каналам: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телефон: +7 (933) 044-70-17;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электронная почта: pvsistema@mail.ru;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сайт: пвсистема.рф.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5.2. Срок реакции на обращение — не более 4 (четырёх) часов с момента его регистрации.</w:t>
      </w:r>
    </w:p>
    <w:p>
      <w:pPr>
        <w:spacing w:before="20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ЛИЦЕНЗИАР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Директор АНО ДПО «УЦГГН»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_______________ / И. Н. Басантаев /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М.П.</w:t>
            </w:r>
          </w:p>
        </w:tc>
        <w:tc>
          <w:tcPr>
            <w:tcW w:type="dxa" w:w="4904"/>
          </w:tcPr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ЛИЦЕНЗИАТ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Генеральный директор</w:t>
              <w:br/>
              <w:t>АО «Богословское рудоуправление»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_______________ / О. А. Зубков /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М.П.</w:t>
            </w:r>
          </w:p>
        </w:tc>
      </w:tr>
    </w:tbl>
    <w:p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422"/>
          </w:tcPr>
          <w:p/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Приложение № 2</w:t>
            </w:r>
          </w:p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к сублицензионному договору</w:t>
            </w:r>
          </w:p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№ ______ от «____» __________ 2026 г.</w:t>
            </w:r>
          </w:p>
        </w:tc>
      </w:tr>
    </w:tbl>
    <w:p>
      <w:pPr>
        <w:spacing w:before="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/>
          <w:sz w:val="26"/>
        </w:rPr>
        <w:t>ФОРМА АКТА</w:t>
        <w:br/>
        <w:t>ПРИЁМА-ПЕРЕДАЧИ НЕИСКЛЮЧИТЕЛЬНЫХ ПРАВ</w:t>
      </w:r>
    </w:p>
    <w:p>
      <w:pPr>
        <w:spacing w:before="0" w:after="200"/>
        <w:ind w:left="0" w:firstLine="0"/>
        <w:jc w:val="center"/>
      </w:pPr>
      <w:r>
        <w:rPr>
          <w:rFonts w:ascii="Times New Roman" w:hAnsi="Times New Roman"/>
          <w:b w:val="0"/>
          <w:i/>
          <w:sz w:val="20"/>
        </w:rPr>
        <w:t>(форма; заполняется и подписывается Сторонами при передаче права использования ПО)</w:t>
      </w:r>
    </w:p>
    <w:p>
      <w:pPr>
        <w:spacing w:after="40"/>
        <w:ind w:firstLine="0"/>
        <w:jc w:val="center"/>
      </w:pPr>
      <w:r>
        <w:rPr>
          <w:rFonts w:ascii="Times New Roman" w:hAnsi="Times New Roman"/>
          <w:b/>
          <w:sz w:val="26"/>
        </w:rPr>
        <w:t>АКТ № ______</w:t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3"/>
        </w:rPr>
        <w:t>приёма-передачи неисключительных прав</w:t>
        <w:br/>
        <w:t>по сублицензионному договору № ______ от «____» __________ 2026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г. Сибай</w:t>
            </w:r>
          </w:p>
        </w:tc>
        <w:tc>
          <w:tcPr>
            <w:tcW w:type="dxa" w:w="4932"/>
          </w:tcPr>
          <w:p>
            <w:pPr>
              <w:ind w:firstLine="0"/>
              <w:jc w:val="right"/>
            </w:pPr>
            <w:r>
              <w:rPr>
                <w:rFonts w:ascii="Times New Roman" w:hAnsi="Times New Roman"/>
                <w:sz w:val="24"/>
              </w:rPr>
              <w:t>«____» ______________ 2026 г.</w:t>
            </w:r>
          </w:p>
        </w:tc>
      </w:tr>
    </w:tbl>
    <w:p>
      <w:pPr>
        <w:spacing w:before="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Автономная некоммерческая организация дополнительного профессионального образования «Учебный центр ГорГазНефть» в лице директора Басантаева Искандера Нургалеевича, действующего на основании Устава, действующая на условиях сублицензии (правообладатель программы — Ипатов Сергей Генадьевич), именуемая в дальнейшем «Лицензиар», с одной стороны, и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Акционерное общество «Богословское рудоуправление» в лице генерального директора Зубкова Олега Александровича, действующего на основании Устава, именуемое в дальнейшем «Лицензиат», с другой стороны, составили настоящий акт о нижеследующем:</w:t>
      </w:r>
    </w:p>
    <w:p>
      <w:pPr>
        <w:spacing w:before="160" w:after="10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 Во исполнение сублицензионного договора № ______ от «____» __________ 2026 г. (далее — «Договор») Лицензиар предоставил, а Лицензиат принял право использования программы для ЭВМ на условиях простой (неисключительной) лицензии: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Наименование программы для ЭВМ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Программный комплекс «ПВ-Система»</w:t>
            </w:r>
          </w:p>
        </w:tc>
      </w:tr>
      <w:tr>
        <w:tc>
          <w:tcPr>
            <w:tcW w:type="dxa" w:w="328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Версия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______________________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Свидетельство о государственной</w:t>
              <w:br/>
              <w:t>регистрации программы для ЭВМ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№ 2026681414 от 14.07.2026,</w:t>
              <w:br/>
              <w:t>Федеральная служба по интеллектуальной собственности;</w:t>
              <w:br/>
              <w:t>правообладатель — Ипатов Сергей Генадьевич</w:t>
            </w:r>
          </w:p>
        </w:tc>
      </w:tr>
      <w:tr>
        <w:tc>
          <w:tcPr>
            <w:tcW w:type="dxa" w:w="328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Вид лицензии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Простая (неисключительная), на условиях сублицензии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Количество рабочих мест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______ (__________________________)</w:t>
            </w:r>
          </w:p>
        </w:tc>
      </w:tr>
      <w:tr>
        <w:tc>
          <w:tcPr>
            <w:tcW w:type="dxa" w:w="328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Территория использования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Российская Федерация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Срок использования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 (один) год с даты подписания настоящего акта,</w:t>
              <w:br/>
              <w:t>по «____» __________ 20____ г. включительно</w:t>
            </w:r>
          </w:p>
        </w:tc>
      </w:tr>
      <w:tr>
        <w:tc>
          <w:tcPr>
            <w:tcW w:type="dxa" w:w="328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Лицензионный ключ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Вид ключа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браузерный / настольный / аварийный (нужное указать)</w:t>
            </w:r>
          </w:p>
        </w:tc>
      </w:tr>
    </w:tbl>
    <w:p>
      <w:pPr>
        <w:spacing w:before="160" w:after="6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2. Одновременно с ключом активации Лицензиар передал Лицензиату: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дистрибутив программного комплекса «ПВ-Система»;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эксплуатационную документацию (руководство пользователя);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сведения, необходимые для установки и активации ПО.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Передача осуществлена в электронной форме по адресу электронной почты Лицензиата, указанному в разделе 13 Договора.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 Установка и настройка ПО на рабочих местах Лицензиата выполнены Лицензиаром удалённо в полном объёме. Работоспособность ПО проверена; ПО функционирует в соответствии с эксплуатационной документацией.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 Размер вознаграждения Лицензиара по Договору составляет _______________ (___________________________________) рублей 00 копеек, налогом на добавленную стоимость не облагается на основании подпункта 26 пункта 2 статьи 149 Налогового кодекса Российской Федерации.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5. Обязательства Лицензиара по предоставлению права использования ПО исполнены надлежащим образом и в полном объёме. Претензий по объёму, качеству и срокам предоставления права Лицензиат не имеет.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6. Настоящий акт составлен в 2 (двух) экземплярах, имеющих равную юридическую силу, по одному для каждой из Сторон, и является неотъемлемой частью Договора.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7. С даты подписания настоящего акта исчисляется срок предоставления права использования ПО в соответствии с пунктом 3.2 Договора.</w:t>
      </w:r>
    </w:p>
    <w:p>
      <w:pPr>
        <w:spacing w:before="24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ЛИЦЕНЗИАР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Директор АНО ДПО «УЦГГН»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_______________ / И. Н. Басантаев /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М.П.</w:t>
            </w:r>
          </w:p>
        </w:tc>
        <w:tc>
          <w:tcPr>
            <w:tcW w:type="dxa" w:w="4904"/>
          </w:tcPr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ЛИЦЕНЗИАТ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Генеральный директор</w:t>
              <w:br/>
              <w:t>АО «Богословское рудоуправление»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_______________ / О. А. Зубков /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М.П.</w:t>
            </w:r>
          </w:p>
        </w:tc>
      </w:tr>
    </w:tbl>
    <w:sectPr w:rsidR="00FC693F" w:rsidRPr="0006063C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