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80" w:type="dxa"/>
        </w:tblCellMar>
      </w:tblPr>
      <w:tblGrid>
        <w:gridCol w:w="4876"/>
        <w:gridCol w:w="4876"/>
      </w:tblGrid>
      <w:tr>
        <w:tc>
          <w:tcPr>
            <w:tcW w:type="dxa" w:w="2268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10724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072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2"/>
              </w:rPr>
              <w:t>АВТОНОМНАЯ НЕКОММЕРЧЕСКАЯ ОРГАНИЗАЦИЯ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2"/>
              </w:rPr>
              <w:t>дополнительного профессионального образования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26A12"/>
                <w:sz w:val="30"/>
              </w:rPr>
              <w:t>«УЧЕБНЫЙ ЦЕНТР ГОРГАЗНЕФТЬ»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453839, Российская Федерация, Республика Башкортостан, г. Сибай, ул. Куйбышева, д. 20, офис 32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тел./факс: 8 (347) 5-93-98, 8 960 383-30-66, 8 960 392-42-55 · e-mail: gorgazneft@mail.ru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ОГРН 1250200012281 · ИНН 0268104892 · КПП 026801001 · ОКПО 85507143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9"/>
              </w:rPr>
              <w:t>р/с 40703810880690000003 в АО «АЛЬФА-БАНК» · к/с 30101810200000000593 · БИК 044525593</w:t>
            </w:r>
          </w:p>
        </w:tc>
      </w:tr>
    </w:tbl>
    <w:p>
      <w:pPr>
        <w:spacing w:after="120"/>
        <w:pBdr>
          <w:bottom w:val="double" w:sz="6" w:color="1F3A5F" w:space="1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876"/>
        <w:gridCol w:w="4876"/>
      </w:tblGrid>
      <w:tr>
        <w:tc>
          <w:tcPr>
            <w:tcW w:type="dxa" w:w="459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Исх. № ______ от 26.10.2026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22"/>
              </w:rPr>
              <w:t>На № ______ от ____________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Генеральному директору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АО «Ормет»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</w:t>
            </w:r>
          </w:p>
        </w:tc>
      </w:tr>
    </w:tbl>
    <w:p>
      <w:pPr>
        <w:spacing w:after="200"/>
      </w:pP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4"/>
        </w:rPr>
        <w:t>КОММЕРЧЕСКОЕ ПРЕДЛОЖЕНИЕ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color w:val="1F3A5F"/>
          <w:sz w:val="25"/>
        </w:rPr>
        <w:t>на предоставление права использования программного комплекса «ПВ-Система»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для рудников «Весенний» и «Джусинский»: вентиляция, противопожарное водоснабжение, планы ликвидации аварий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Уважаемый(ая) ______________________________!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 xml:space="preserve">Автономная некоммерческая организация дополнительного профессионального образования «Учебный центр ГорГазНефть» предлагает АО «Ормет» для рудников «Весенний» и «Джусинский» право использования программного комплекса </w:t>
      </w:r>
      <w:r>
        <w:rPr>
          <w:rFonts w:ascii="Times New Roman" w:hAnsi="Times New Roman" w:eastAsia="Times New Roman"/>
          <w:b/>
          <w:i w:val="0"/>
        </w:rPr>
        <w:t>«ПВ-Система»</w:t>
      </w:r>
      <w:r>
        <w:rPr>
          <w:rFonts w:ascii="Times New Roman" w:hAnsi="Times New Roman" w:eastAsia="Times New Roman"/>
          <w:b w:val="0"/>
          <w:i w:val="0"/>
        </w:rPr>
        <w:t xml:space="preserve"> — отечественного программного обеспечения для проектирования и расчёта систем вентиляции, противопожарного водоснабжения и подготовки планов ликвидации аварий на рудниках и шахтах.</w:t>
      </w:r>
    </w:p>
    <w:p>
      <w:pPr>
        <w:spacing w:after="16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Комплекс разработан с учётом требований федеральных норм и правил в области промышленной безопасности и обеспечивает выполнение расчётов, предусмотренных приказами Ростехнадзора № 467 от 27.11.2020, № 505 от 08.12.2020 и № 520 от 11.12.2020, в части режимов проветривания рудников, расчёта количества воздуха, противопожарной защиты и оценки последствий взрывов в горных выработках.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26A12"/>
          <w:left w:val="single" w:sz="8" w:color="C26A12"/>
          <w:bottom w:val="single" w:sz="8" w:color="C26A12"/>
          <w:right w:val="single" w:sz="8" w:color="C26A12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F6F1E9"/>
          </w:tcPr>
          <w:p>
            <w:pPr>
              <w:spacing w:after="8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4"/>
              </w:rPr>
              <w:t>Предложение в кратком изложении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Продукт: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программный комплекс «ПВ-Система», свидетельство о государственной регистрации программы для ЭВМ № 2026681414 от 14.07.2026.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Правообладатель: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Ипатов Сергей Генадьевич (гражданин РФ). АНО ДПО «Учебный центр ГорГазНефть» предоставляет лицензии на основании сублицензионного договора.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 рабочего места на 1 год: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рудник «Весенний» — 240 000,00 ₽; рудник «Джусинский» — 288 000,00 ₽.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Варианты: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2 раб. мест (по 1 на каждый рудник) — 528 000,00 ₽; 6 раб. мест (по 3 на каждый рудник) — 1 584 000,00 ₽; 10 раб. мест (по 5 на каждый рудник) — 2 376 000,00 ₽.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Исполнения: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настольная версия для Windows (работает без Интернета) и веб-версия — в одной лицензии.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Тестовый доступ: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ключ на 5 рабочих мест предоставляется по запросу (раздел 7).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1.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НАЗНАЧЕНИЕ КОМПЛЕКСА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«ПВ-Система» — единая среда, в которой вентиляционная сеть рудника строится один раз и далее используется всеми расчётными модулями: воздухораспределением, расчётом количества воздуха, аварийными режимами, противопожарным водоснабжением и планом ликвидации аварий. Это исключает расхождение исходных данных между разделами проекта и повторный ввод информации.</w:t>
      </w:r>
    </w:p>
    <w:p>
      <w:pPr>
        <w:keepNext/>
      </w:pPr>
      <w:r>
        <w:rPr>
          <w:rFonts w:ascii="Times New Roman" w:hAnsi="Times New Roman" w:eastAsia="Times New Roman"/>
          <w:b w:val="0"/>
          <w:i w:val="0"/>
        </w:rPr>
        <w:t>Комплекс решает следующие задачи предприятия: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воздухораспределения и подбор вентиляционного оборудования;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определение требуемого количества воздуха по забоям, участкам и руднику в целом;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проветривания тупиковых забоев вентиляционными ставами;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моделирование аварийных режимов — пожара и взрыва — и подбор режима проветривания при пожаре;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гидравлический расчёт и нормативная проверка противопожарного трубопровода;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подготовка материалов плана ликвидации аварий, маршрутов горноспасателей и выхода людей;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обработка результатов воздушно-депрессионной съёмки;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выпуск графической и табличной документации для проекта, ПЛА и экспертизы.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2.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ФУНКЦИОНАЛЬНЫЕ ВОЗМОЖНОСТИ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2.1. Расчёт воздухораспределения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сети методом контурных расходов (МКР) и методом Андрияшева–Кросса на основе законов Кирхгофа с контролем сходимости по невязке депрессии и расхода;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учёт естественной тяги, влажности воздуха, сезонного режима калориферов;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аэродинамического сопротивления по типу крепи, коэффициенту α, шероховатости, геометрии и форме сечения, а также для трубопроводов;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вентиляторы главного и вспомогательного проветривания из каталога с Q-H характеристиками по углам лопаток; рабочая точка, КПД, реверс, остановка, работа в параллель;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депрессиограмма маршрута от поверхности до вентилятора с выгрузкой в Excel.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2.2. Расчёт количества воздуха (ФНиП № 505, п. 155)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позабойный расчёт с суммированием по участкам рудника;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потребность по четырём факторам с выбором наибольшего: число людей, газы взрывных работ, дизельная техника, минимальная скорость воздуха;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проверка по минимальной и максимальной допустимым скоростям;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редактируемый справочник норм — применяются значения, согласованные для предприятия;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сводная ведомость по руднику с выгрузкой в Excel и листом применённых норм.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2.3. Вентиляционные ставы тупиковых забоев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построение става по трассе выработок, выбор марки рукава из справочника;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утечек тремя методиками (по паспорту рукава, по нормативной формуле, по таблицам производителя) и коэффициента доставки воздуха;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определение предельной длины става и запаса, график расхода в забое от длины става.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2.4. Аварийные режимы: пожар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задание очага по мощности или температуре; горючая нагрузка: самоходная техника, конвейерная лента, кабель, деревянная крепь, ГСМ, уголь;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температура пожарных газов и их остывание по длине выработки, тепловая депрессия;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распространение продуктов горения: CO, CO₂, оптическая плотность дыма, видимость, время задымления, анимация задымления;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 xml:space="preserve">проверка устойчивости проветривания при пожаре с формированием </w:t>
      </w:r>
      <w:r>
        <w:rPr>
          <w:rFonts w:ascii="Times New Roman" w:hAnsi="Times New Roman" w:eastAsia="Times New Roman"/>
          <w:b/>
          <w:i w:val="0"/>
        </w:rPr>
        <w:t>акта в Excel</w:t>
      </w:r>
      <w:r>
        <w:rPr>
          <w:rFonts w:ascii="Times New Roman" w:hAnsi="Times New Roman" w:eastAsia="Times New Roman"/>
          <w:b w:val="0"/>
          <w:i w:val="0"/>
        </w:rPr>
        <w:t>; h–Q диаграмма;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/>
          <w:i w:val="0"/>
        </w:rPr>
        <w:t>автоматический подбор режима проветривания</w:t>
      </w:r>
      <w:r>
        <w:rPr>
          <w:rFonts w:ascii="Times New Roman" w:hAnsi="Times New Roman" w:eastAsia="Times New Roman"/>
          <w:b w:val="0"/>
          <w:i w:val="0"/>
        </w:rPr>
        <w:t xml:space="preserve"> при пожаре (реверс, остановка вентиляторов, управление дверями) с оценкой риска для людей.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2.5. Аварийные режимы: взрыв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взрыв газа и пыли по Методике ВГСЧ и заряда ВВ по ФНП № 494 с приведением к тротиловому эквиваленту;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избыточное давление, импульс, скорость фронта ударной волны, зоны поражения, анимация;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проверка вентиляционных перемычек на разрушение и расчёт толщины взрывоустойчивой перемычки (РБ № 343) с актом в Excel;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оценка взрывоопасности рудничной атмосферы по пробе (приложение № 11 к ФНП, приказ № 520).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2.6. Противопожарное водоснабжение (ППЗ)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гидравлический расчёт сети с определением напора и расхода в каждой точке водоразбора;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насосы по Q-H характеристике, резервуары, редукционные клапаны, местные сопротивления;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каталог пожарных стволов и потребителей воды;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пакетная проверка сети по нормативу (давление 0,6–1,5 МПа, расход, запас воды, число стволов) с указанием причин несоответствия.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2.7. План ликвидации аварий, горноспасательные работы и вывод людей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позиции ПЛА с привязкой к выработкам, выносками и условными обозначениями; нормальные и реверсивные позиции; прикрепление документов оперативной части;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маршруты отделений ВГСЧ с учётом задымления, расчёт времени и расхода кислорода дыхательного аппарата;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время выхода горнорабочих, проверка времени защитного действия самоспасателя, камеры-убежища и пункты переключения;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маршруты профилактического обследования (МПО) с расчётом времени обхода.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2.8. Воздушно-депрессионная съёмка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обработка результатов ВДС, эквивалентное отверстие, категория рудника по трудности проветривания;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расчёт вентиляционного канала главной вентиляторной установки.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2.9. Схема, координаты и обмен данными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построение схемы вручную или импорт: АэроСеть (.erp), «Вентиляция 2.0» (.cdf3), Ventsim, DXF (AutoCAD, НаноКАД, КОМПАС-3D), Excel и CSV;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привязка к маркшейдерским координатам с защитой расчёта от случайного сдвига схемы;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многоуровневые схемы с горизонтами, подложками и трёхмерным представлением сети;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раскраска по расходу, скорости, форме сечения, участкам, горизонтам; сравнение версий схемы;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встроенная проверка схемы до расчёта: разрывы, изолированные участки, некорректные данные.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2.10. Документация и печать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печать с рамкой, штампом, блоками «УТВЕРЖДАЮ» и «СОГЛАСОВАНО», форматы от А4 до А0, многолистовая раскладка;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экспорт графики в PDF (в том числе векторный), SVG, PNG, JPG, BMP, TIFF; таблицы — в Excel и CSV;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сведения об опасном производственном объекте (данные ОПО) формируются по схеме автоматически;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справочники: вентиляторы, типы выработок, перемычки, нормы расхода воздуха, насосы, трубы, техника, датчики, типовые мероприятия ПЛА, единицы измерения;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встроенное руководство пользователя с поиском и выгрузкой в Word.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3.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ПРЕИМУЩЕСТВА ДЛЯ ПРЕДПРИЯТИЯ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60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Критерий</w:t>
            </w:r>
          </w:p>
        </w:tc>
        <w:tc>
          <w:tcPr>
            <w:tcW w:type="dxa" w:w="714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Что даёт предприятию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Соответствие ФНиП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Расчёты по действующим приказам Ростехнадзора; отчёты содержат применённые нормы и формулы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Единая модель сети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Схема строится один раз и используется всеми модулями — исключены расхождения между разделами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Прозрачность расчёта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Показывается определяющий фактор и формула результата — расчёт можно проверить вручную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Гибкость норм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Справочники норм редактируются под значения, согласованные для конкретного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Переход без потерь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Импорт существующих схем из «АэроСети», «Вентиляции 2.0», Ventsim и чертежей DXF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Работа без Интернета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Настольная версия с локальным расчётным ядром работает в изолированном контуре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Отечественная разработка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Российский правообладатель, разработка и поддержка в РФ, интерфейс и документация на русском языке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4.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УСЛОВИЯ ЛИЦЕНЗИРОВАНИЯ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260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Параметр</w:t>
            </w:r>
          </w:p>
        </w:tc>
        <w:tc>
          <w:tcPr>
            <w:tcW w:type="dxa" w:w="714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Вид лицензии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Простая (неисключительная) лицензия на использование на территории предприятия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Единица лицензирования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Рабочее место (компьютер). Лицензионный ключ выдаётся на нужное число рабочих мест; перенос места на другой компьютер — через деактивацию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 действия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год с даты подписания договора; продление — по согласованию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Исполнения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Настольная версия для Windows и веб-версия — в составе одной лицензии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Работа без сети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Для рабочих мест без доступа в Интернет выдаётся автономный ключ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Требования к компьютеру</w:t>
            </w:r>
          </w:p>
        </w:tc>
        <w:tc>
          <w:tcPr>
            <w:tcW w:type="dxa" w:w="714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Windows 10 (версии 1809 и новее) или Windows 11, 64 бит; процессор от 2 ядер; ОЗУ от 4 ГБ; 500 МБ на диске; экран от 1366×768. Веб-версия — Яндекс.Браузер или другой браузер на основе Chromium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Интеграция с системами предприятия</w:t>
            </w:r>
          </w:p>
        </w:tc>
        <w:tc>
          <w:tcPr>
            <w:tcW w:type="dxa" w:w="714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Опционально, по отдельному соглашению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5.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СТОИМОСТЬ</w:t>
      </w:r>
    </w:p>
    <w:p>
      <w:pPr>
        <w:keepNext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Стоимость лицензии рассчитана индивидуально по параметрам горного предприятия: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A5F"/>
          <w:left w:val="single" w:sz="8" w:color="1F3A5F"/>
          <w:bottom w:val="single" w:sz="8" w:color="1F3A5F"/>
          <w:right w:val="single" w:sz="8" w:color="1F3A5F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EEF3F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 = 240 000 ₽ × Kпр × Kсл × количество рабочих мест × (1 − скидка)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(на 1 год)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240 000 ₽ — базовая стоимость рабочего места; Kпр — коэффициент протяжённости сети горных выработок; Kсл — коэффициент сложности вентиляционной сети; скидка — за количество рабочих мест (от 10 мест — 10 %, от 15 мест — 20 %).</w:t>
            </w:r>
          </w:p>
        </w:tc>
      </w:tr>
    </w:tbl>
    <w:p>
      <w:pPr>
        <w:spacing w:after="40"/>
      </w:pP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5.1. Исходные данные и стоимость рабочего места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/>
          <w:cantSplit/>
        </w:trPr>
        <w:tc>
          <w:tcPr>
            <w:tcW w:type="dxa" w:w="192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Рудник</w:t>
            </w:r>
          </w:p>
        </w:tc>
        <w:tc>
          <w:tcPr>
            <w:tcW w:type="dxa" w:w="1474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Протяжённость сети, км</w:t>
            </w:r>
          </w:p>
        </w:tc>
        <w:tc>
          <w:tcPr>
            <w:tcW w:type="dxa" w:w="73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Kпр</w:t>
            </w:r>
          </w:p>
        </w:tc>
        <w:tc>
          <w:tcPr>
            <w:tcW w:type="dxa" w:w="192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Категория сложности</w:t>
            </w:r>
          </w:p>
        </w:tc>
        <w:tc>
          <w:tcPr>
            <w:tcW w:type="dxa" w:w="73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Kсл</w:t>
            </w:r>
          </w:p>
        </w:tc>
        <w:tc>
          <w:tcPr>
            <w:tcW w:type="dxa" w:w="294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Стоимость места, 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«Весенний»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 — простая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«Джусинский»</w:t>
            </w:r>
          </w:p>
        </w:tc>
        <w:tc>
          <w:tcPr>
            <w:tcW w:type="dxa" w:w="1474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27</w:t>
            </w:r>
          </w:p>
        </w:tc>
        <w:tc>
          <w:tcPr>
            <w:tcW w:type="dxa" w:w="737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1,0</w:t>
            </w:r>
          </w:p>
        </w:tc>
        <w:tc>
          <w:tcPr>
            <w:tcW w:type="dxa" w:w="192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II — средняя</w:t>
            </w:r>
          </w:p>
        </w:tc>
        <w:tc>
          <w:tcPr>
            <w:tcW w:type="dxa" w:w="737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1,2</w:t>
            </w:r>
          </w:p>
        </w:tc>
        <w:tc>
          <w:tcPr>
            <w:tcW w:type="dxa" w:w="2948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288 000,00</w:t>
            </w:r>
          </w:p>
        </w:tc>
      </w:tr>
    </w:tbl>
    <w:p>
      <w:pPr>
        <w:spacing w:after="40"/>
      </w:pP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5.2. Варианты поставки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/>
          <w:cantSplit/>
        </w:trPr>
        <w:tc>
          <w:tcPr>
            <w:tcW w:type="dxa" w:w="124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Вариант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«Весенний», мест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«Джусинский», мест</w:t>
            </w:r>
          </w:p>
        </w:tc>
        <w:tc>
          <w:tcPr>
            <w:tcW w:type="dxa" w:w="907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Всего мест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Без скидки, ₽</w:t>
            </w:r>
          </w:p>
        </w:tc>
        <w:tc>
          <w:tcPr>
            <w:tcW w:type="dxa" w:w="850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Скидка</w:t>
            </w:r>
          </w:p>
        </w:tc>
        <w:tc>
          <w:tcPr>
            <w:tcW w:type="dxa" w:w="2324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Итого, ₽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528 000,00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528 000,00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2</w:t>
            </w:r>
          </w:p>
        </w:tc>
        <w:tc>
          <w:tcPr>
            <w:tcW w:type="dxa" w:w="1361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61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907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1 584 000,00</w:t>
            </w:r>
          </w:p>
        </w:tc>
        <w:tc>
          <w:tcPr>
            <w:tcW w:type="dxa" w:w="850"/>
            <w:vAlign w:val="center"/>
            <w:shd w:val="clear" w:color="auto" w:fill="EEF3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324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1 584 000,00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Вариант 3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2 640 000,00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10 %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2 376 000,00</w:t>
            </w:r>
          </w:p>
        </w:tc>
      </w:tr>
    </w:tbl>
    <w:p>
      <w:pPr>
        <w:spacing w:after="40"/>
      </w:pP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5.3. Расчёт по рудникам (на 1 год)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38"/>
        <w:gridCol w:w="2438"/>
        <w:gridCol w:w="2438"/>
        <w:gridCol w:w="2438"/>
      </w:tblGrid>
      <w:tr>
        <w:trPr>
          <w:tblHeader/>
          <w:cantSplit/>
        </w:trPr>
        <w:tc>
          <w:tcPr>
            <w:tcW w:type="dxa" w:w="362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Рудник</w:t>
            </w:r>
          </w:p>
        </w:tc>
        <w:tc>
          <w:tcPr>
            <w:tcW w:type="dxa" w:w="204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1 место, ₽</w:t>
            </w:r>
          </w:p>
        </w:tc>
        <w:tc>
          <w:tcPr>
            <w:tcW w:type="dxa" w:w="204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3 места, ₽</w:t>
            </w:r>
          </w:p>
        </w:tc>
        <w:tc>
          <w:tcPr>
            <w:tcW w:type="dxa" w:w="2041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5 мест, ₽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«Весенний»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240 000,00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720 000,00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1 200 000,00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«Джусинский»</w:t>
            </w:r>
          </w:p>
        </w:tc>
        <w:tc>
          <w:tcPr>
            <w:tcW w:type="dxa" w:w="204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288 000,00</w:t>
            </w:r>
          </w:p>
        </w:tc>
        <w:tc>
          <w:tcPr>
            <w:tcW w:type="dxa" w:w="204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864 000,00</w:t>
            </w:r>
          </w:p>
        </w:tc>
        <w:tc>
          <w:tcPr>
            <w:tcW w:type="dxa" w:w="2041"/>
            <w:vAlign w:val="center"/>
            <w:shd w:val="clear" w:color="auto" w:fill="EEF3F8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1 440 000,00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val="clear" w:color="auto" w:fill="F6F1E9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Итого по АО «Ормет» (без скидки)</w:t>
            </w:r>
          </w:p>
        </w:tc>
        <w:tc>
          <w:tcPr>
            <w:tcW w:type="dxa" w:w="2041"/>
            <w:vAlign w:val="center"/>
            <w:shd w:val="clear" w:color="auto" w:fill="F6F1E9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528 000,00</w:t>
            </w:r>
          </w:p>
        </w:tc>
        <w:tc>
          <w:tcPr>
            <w:tcW w:type="dxa" w:w="2041"/>
            <w:vAlign w:val="center"/>
            <w:shd w:val="clear" w:color="auto" w:fill="F6F1E9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1 584 000,00</w:t>
            </w:r>
          </w:p>
        </w:tc>
        <w:tc>
          <w:tcPr>
            <w:tcW w:type="dxa" w:w="2041"/>
            <w:vAlign w:val="center"/>
            <w:shd w:val="clear" w:color="auto" w:fill="F6F1E9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2 640 000,00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Расчёт совместный для двух рудников АО «Ормет»: в каждом варианте одинаковое число рабочих мест на каждом руднике. Скидка за количество мест применяется к общему числу мест по договору (от 10 мест — 10 %).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Категория сложности сети принята по данным заказчика и подтверждается по схеме вентиляции; при её изменении стоимость пересчитывается по той же формуле. Количество рабочих мест определяется заявкой предприятия; увеличение числа мест в течение срока лицензии — по согласованию.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Цены указаны без НДС. Основание освобождения от НДС указывается в лицензионном договоре и счёте.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В стоимость лицензии входит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установка и активация программного комплекса на рабочих местах заказчика (удалённо);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эксплуатационная документация пользователя на русском языке;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техническая поддержка по телефону и электронной почте;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обновления программного комплекса в течение срока действия лицензии;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консультации по эксплуатации и интерпретации результатов расчётов.</w:t>
      </w:r>
    </w:p>
    <w:p>
      <w:pPr>
        <w:keepNext/>
        <w:spacing w:after="40" w:before="140"/>
      </w:pPr>
      <w:r>
        <w:rPr>
          <w:rFonts w:ascii="Times New Roman" w:hAnsi="Times New Roman" w:eastAsia="Times New Roman"/>
          <w:b/>
          <w:i w:val="0"/>
          <w:color w:val="1F3A5F"/>
          <w:sz w:val="24"/>
        </w:rPr>
        <w:t>Дополнительно (по договорённости)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обучение персонала работе с комплексом (40 академических часов, очно или дистанционно) с выдачей удостоверения о повышении квалификации и внесением сведений в ФИС ФРДО.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6.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ПОРЯДОК РАСЧЁТОВ И ПОСТАВКИ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оплата производится единовременно в течение 5 рабочих дней с даты подписания договора на основании счёта лицензиара;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лицензиар передаёт лицензионный ключ и эксплуатационную документацию в течение 3 рабочих дней после поступления оплаты;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передача права использования оформляется актом приёма-передачи;</w:t>
      </w:r>
    </w:p>
    <w:p>
      <w:pPr>
        <w:spacing w:after="30"/>
        <w:ind w:left="340" w:hanging="227"/>
        <w:jc w:val="both"/>
      </w:pPr>
      <w:r>
        <w:rPr>
          <w:rFonts w:ascii="Times New Roman" w:hAnsi="Times New Roman" w:eastAsia="Times New Roman"/>
          <w:b w:val="0"/>
          <w:i w:val="0"/>
          <w:color w:val="C26A12"/>
          <w:sz w:val="18"/>
        </w:rPr>
        <w:t xml:space="preserve">▪ </w:t>
      </w:r>
      <w:r>
        <w:rPr>
          <w:rFonts w:ascii="Times New Roman" w:hAnsi="Times New Roman" w:eastAsia="Times New Roman"/>
          <w:b w:val="0"/>
          <w:i w:val="0"/>
        </w:rPr>
        <w:t>техническая поддержка оказывается в рабочие дни; обращения принимаются круглосуточно.</w:t>
      </w: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7.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КАК НАЧАТЬ РАБОТУ</w:t>
      </w:r>
    </w:p>
    <w:p>
      <w:pPr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Готовы провести презентацию «ПВ-Системы» на площадке предприятия или дистанционно, выполнить тестовый расчёт на реальной схеме рудника «Весенний» или «Джусинский» и ответить на вопросы технических специалистов.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3A5F"/>
          <w:left w:val="single" w:sz="8" w:color="1F3A5F"/>
          <w:bottom w:val="single" w:sz="8" w:color="1F3A5F"/>
          <w:right w:val="single" w:sz="8" w:color="1F3A5F"/>
        </w:tblBorders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52"/>
      </w:tblGrid>
      <w:tr>
        <w:trPr>
          <w:cantSplit/>
        </w:trPr>
        <w:tc>
          <w:tcPr>
            <w:tcW w:type="dxa" w:w="9751"/>
            <w:shd w:val="clear" w:color="auto" w:fill="EEF3F8"/>
          </w:tcPr>
          <w:p>
            <w:pPr>
              <w:spacing w:after="8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4"/>
              </w:rPr>
              <w:t>Тестовый доступ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Тестовый ключ на 5 рабочих мест: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______________________________  (действует до ____________)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Веб-версия: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Настольная версия для Windows: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https://пв-система.рф/download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Документация: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 xml:space="preserve">  https://пв-система.рф/docs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 подходит для обеих версий: «Файл» → «Лицензия» → ввести ключ → «Активировать лицензию».</w:t>
            </w:r>
          </w:p>
        </w:tc>
      </w:tr>
    </w:tbl>
    <w:p>
      <w:pPr>
        <w:spacing w:after="40"/>
      </w:pPr>
    </w:p>
    <w:p>
      <w:pPr>
        <w:keepNext/>
        <w:spacing w:after="100" w:before="240"/>
        <w:pBdr>
          <w:bottom w:val="single" w:sz="8" w:color="C26A12" w:space="2"/>
        </w:pBdr>
      </w:pPr>
      <w:r>
        <w:rPr>
          <w:rFonts w:ascii="Times New Roman" w:hAnsi="Times New Roman" w:eastAsia="Times New Roman"/>
          <w:b/>
          <w:i w:val="0"/>
          <w:color w:val="C26A12"/>
          <w:sz w:val="27"/>
        </w:rPr>
        <w:t xml:space="preserve">8. </w:t>
      </w:r>
      <w:r>
        <w:rPr>
          <w:rFonts w:ascii="Times New Roman" w:hAnsi="Times New Roman" w:eastAsia="Times New Roman"/>
          <w:b/>
          <w:i w:val="0"/>
          <w:color w:val="1F3A5F"/>
          <w:sz w:val="27"/>
        </w:rPr>
        <w:t>КОНТАКТЫ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C4D3"/>
          <w:left w:val="single" w:sz="4" w:color="B7C4D3"/>
          <w:bottom w:val="single" w:sz="4" w:color="B7C4D3"/>
          <w:right w:val="single" w:sz="4" w:color="B7C4D3"/>
          <w:insideH w:val="single" w:sz="4" w:color="B7C4D3"/>
          <w:insideV w:val="single" w:sz="4" w:color="B7C4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3118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Направление</w:t>
            </w:r>
          </w:p>
        </w:tc>
        <w:tc>
          <w:tcPr>
            <w:tcW w:type="dxa" w:w="6633"/>
            <w:vAlign w:val="center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Контакт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Коммерческие вопросы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+7 (905) 005-36-19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Техническая поддержка</w:t>
            </w:r>
          </w:p>
        </w:tc>
        <w:tc>
          <w:tcPr>
            <w:tcW w:type="dxa" w:w="663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+7 (933) 044-70-17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Электронная почта</w:t>
            </w:r>
          </w:p>
        </w:tc>
        <w:tc>
          <w:tcPr>
            <w:tcW w:type="dxa" w:w="663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pvsistema@mail.ru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Сайт программы</w:t>
            </w:r>
          </w:p>
        </w:tc>
        <w:tc>
          <w:tcPr>
            <w:tcW w:type="dxa" w:w="6633"/>
            <w:vAlign w:val="center"/>
            <w:shd w:val="clear" w:color="auto" w:fill="EEF3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https://пв-система.рф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keepNext/>
        <w:spacing w:after="80"/>
      </w:pPr>
      <w:r>
        <w:rPr>
          <w:rFonts w:ascii="Times New Roman" w:hAnsi="Times New Roman" w:eastAsia="Times New Roman"/>
          <w:b w:val="0"/>
          <w:i w:val="0"/>
        </w:rPr>
        <w:t>С уважением,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4082"/>
            <w:vAlign w:val="center"/>
          </w:tcPr>
          <w:p>
            <w:r>
              <w:rPr>
                <w:rFonts w:ascii="Times New Roman" w:hAnsi="Times New Roman" w:eastAsia="Times New Roman"/>
                <w:b/>
                <w:i w:val="0"/>
              </w:rPr>
              <w:t>Директор</w:t>
            </w:r>
          </w:p>
          <w:p>
            <w:r>
              <w:rPr>
                <w:rFonts w:ascii="Times New Roman" w:hAnsi="Times New Roman" w:eastAsia="Times New Roman"/>
                <w:b/>
                <w:i w:val="0"/>
              </w:rPr>
              <w:t>АНО ДПО «Учебный центр ГорГазНефть»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23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2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/>
                <w:i w:val="0"/>
              </w:rPr>
              <w:t>И. Н. Басантаев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headerReference w:type="default" r:id="rId11"/>
      <w:pgSz w:w="11906" w:h="16838"/>
      <w:pgMar w:top="794" w:right="907" w:bottom="90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7C4D3" w:space="4"/>
      </w:pBdr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Коммерческое предложение · программный комплекс «ПВ-Система» · АНО ДПО «Учебный центр ГорГазНефть» · стр.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B7C4D3" w:space="4"/>
      </w:pBdr>
    </w:pP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Коммерческое предложение · программный комплекс «ПВ-Система» · АНО ДПО «Учебный центр ГорГазНефть» · стр.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18"/>
      </w:rPr>
      <w:t xml:space="preserve"> из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595959"/>
        <w:sz w:val="18"/>
      </w:rPr>
      <w:t>АНО ДПО «Учебный центр ГорГазНефть» · Коммерческое предложение «ПВ-Система» для АО «Ормет»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«ПВ-Система» для АО «Ормет»</dc:title>
  <dc:subject/>
  <dc:creator>АНО ДПО «Учебный центр ГорГазНефть»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