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pStyle w:val="Title"/>
        <w:widowControl/>
        <w:jc w:val="center"/>
      </w:pPr>
      <w:r>
        <w:rPr>
          <w:rFonts w:ascii="Times New Roman" w:hAnsi="Times New Roman" w:eastAsia="Times New Roman"/>
          <w:b/>
          <w:color w:val="000000"/>
          <w:sz w:val="40"/>
        </w:rPr>
        <w:t>Conscious experience and cognitive operations define dissociable dimensions of human brain dynamics</w:t>
      </w:r>
    </w:p>
    <w:p>
      <w:pPr>
        <w:pStyle w:val="Subtitle"/>
        <w:widowControl/>
        <w:jc w:val="center"/>
      </w:pPr>
      <w:r>
        <w:rPr>
          <w:rFonts w:ascii="Times New Roman" w:hAnsi="Times New Roman" w:eastAsia="Times New Roman"/>
          <w:i/>
          <w:color w:val="000000"/>
          <w:sz w:val="26"/>
        </w:rPr>
        <w:t>An open-data, multimodal, intervention-grounded study across perception, sleep, working memory, and anesthesia</w:t>
      </w:r>
    </w:p>
    <w:p>
      <w:pPr>
        <w:widowControl/>
      </w:pPr>
    </w:p>
    <w:p>
      <w:pPr>
        <w:widowControl/>
        <w:jc w:val="center"/>
      </w:pPr>
      <w:r>
        <w:rPr>
          <w:rFonts w:ascii="Times New Roman" w:hAnsi="Times New Roman" w:eastAsia="Times New Roman"/>
          <w:b/>
          <w:color w:val="000000"/>
          <w:sz w:val="24"/>
        </w:rPr>
        <w:t>Peng Wang</w:t>
      </w:r>
    </w:p>
    <w:p>
      <w:pPr>
        <w:widowControl/>
        <w:jc w:val="center"/>
      </w:pPr>
      <w:r>
        <w:rPr>
          <w:rFonts w:ascii="Times New Roman" w:hAnsi="Times New Roman" w:eastAsia="Times New Roman"/>
          <w:b w:val="0"/>
          <w:color w:val="000000"/>
          <w:sz w:val="24"/>
        </w:rPr>
        <w:t>Primary target: Neuron</w:t>
      </w:r>
    </w:p>
    <w:p>
      <w:pPr>
        <w:widowControl/>
        <w:jc w:val="center"/>
      </w:pPr>
      <w:r>
        <w:rPr>
          <w:rFonts w:ascii="Times New Roman" w:hAnsi="Times New Roman" w:eastAsia="Times New Roman"/>
          <w:b w:val="0"/>
          <w:color w:val="000000"/>
          <w:sz w:val="24"/>
        </w:rPr>
        <w:t>Alternative target: Nature Human Behaviour</w:t>
      </w:r>
    </w:p>
    <w:p>
      <w:pPr>
        <w:widowControl/>
        <w:jc w:val="center"/>
      </w:pPr>
      <w:r>
        <w:rPr>
          <w:rFonts w:ascii="Times New Roman" w:hAnsi="Times New Roman" w:eastAsia="Times New Roman"/>
          <w:b w:val="0"/>
          <w:color w:val="000000"/>
          <w:sz w:val="24"/>
        </w:rPr>
        <w:t>Prospective secondary analysis of fully open, de-identified data</w:t>
      </w:r>
    </w:p>
    <w:p>
      <w:pPr>
        <w:widowControl/>
        <w:jc w:val="center"/>
      </w:pPr>
      <w:r>
        <w:rPr>
          <w:rFonts w:ascii="Times New Roman" w:hAnsi="Times New Roman" w:eastAsia="Times New Roman"/>
          <w:b w:val="0"/>
          <w:color w:val="000000"/>
          <w:sz w:val="24"/>
        </w:rPr>
        <w:t>30 August 2026</w:t>
      </w:r>
    </w:p>
    <w:p>
      <w:pPr>
        <w:widowControl/>
      </w:pP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640"/>
      </w:tblGrid>
      <w:tr>
        <w:tc>
          <w:tcPr>
            <w:tcW w:type="dxa" w:w="9648"/>
            <w:shd w:fill="F2F2F2"/>
            <w:tcMar>
              <w:top w:w="180" w:type="dxa"/>
              <w:start w:w="220" w:type="dxa"/>
              <w:bottom w:w="180" w:type="dxa"/>
              <w:end w:w="220" w:type="dxa"/>
            </w:tcMar>
          </w:tcPr>
          <w:p>
            <w:pPr>
              <w:jc w:val="center"/>
            </w:pPr>
            <w:r>
              <w:rPr>
                <w:rFonts w:ascii="Times New Roman" w:hAnsi="Times New Roman" w:eastAsia="Times New Roman"/>
                <w:b/>
                <w:color w:val="000000"/>
                <w:sz w:val="22"/>
              </w:rPr>
              <w:t>Primary scientific question</w:t>
            </w:r>
          </w:p>
          <w:p>
            <w:pPr>
              <w:jc w:val="center"/>
            </w:pPr>
            <w:r>
              <w:rPr>
                <w:rFonts w:ascii="Times New Roman" w:hAnsi="Times New Roman" w:eastAsia="Times New Roman"/>
                <w:color w:val="000000"/>
                <w:sz w:val="22"/>
              </w:rPr>
              <w:t>Does held-out human behavior and neural activity require distinguishable components for experiential status, cognitive operations, arousal, and report, or can a simpler unitary or nested architecture explain the data?</w:t>
            </w:r>
          </w:p>
        </w:tc>
      </w:tr>
    </w:tbl>
    <w:p>
      <w:pPr>
        <w:widowControl/>
      </w:pPr>
      <w:r>
        <w:rPr>
          <w:color w:val="000000"/>
        </w:rPr>
        <w:br w:type="page"/>
      </w:r>
    </w:p>
    <w:p>
      <w:pPr>
        <w:pStyle w:val="Heading1"/>
        <w:widowControl/>
      </w:pPr>
      <w:r>
        <w:rPr>
          <w:rFonts w:ascii="Times New Roman" w:hAnsi="Times New Roman" w:eastAsia="Times New Roman"/>
          <w:b/>
          <w:i w:val="0"/>
          <w:color w:val="000000"/>
          <w:sz w:val="30"/>
        </w:rPr>
        <w:t>Editorial proposition</w:t>
      </w:r>
    </w:p>
    <w:tbl>
      <w:tblPr>
        <w:tblW w:type="auto" w:w="0"/>
        <w:jc w:val="center"/>
        <w:tblLayout w:type="fixed"/>
        <w:tblLook w:firstColumn="1" w:firstRow="1" w:lastColumn="0" w:lastRow="0" w:noHBand="0" w:noVBand="1" w:val="04A0"/>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288"/>
      </w:tblGrid>
      <w:tr>
        <w:tc>
          <w:tcPr>
            <w:tcW w:type="dxa" w:w="9648"/>
            <w:shd w:fill="F2F2F2"/>
            <w:tcMar>
              <w:top w:w="150" w:type="dxa"/>
              <w:start w:w="180" w:type="dxa"/>
              <w:bottom w:w="150" w:type="dxa"/>
              <w:end w:w="180" w:type="dxa"/>
            </w:tcMar>
          </w:tcPr>
          <w:p>
            <w:pPr>
              <w:jc w:val="both"/>
            </w:pPr>
            <w:r>
              <w:rPr>
                <w:rFonts w:ascii="Times New Roman" w:hAnsi="Times New Roman" w:eastAsia="Times New Roman"/>
                <w:i/>
                <w:color w:val="000000"/>
                <w:sz w:val="22"/>
              </w:rPr>
              <w:t>The study does not ask whether consciousness contains cognition or cognition contains consciousness. It asks which formally specified neural architecture best predicts held-out human data: a unitary global-state axis, a consciousness-gating hierarchy, a cognitive-access hierarchy, a report bottleneck, or a factorized architecture in which experiential status, cognitive operations, arousal, and report have distinguishable but interacting neural components.</w:t>
            </w:r>
          </w:p>
        </w:tc>
      </w:tr>
    </w:tbl>
    <w:p>
      <w:pPr>
        <w:widowControl/>
        <w:spacing w:after="0"/>
      </w:pPr>
    </w:p>
    <w:p>
      <w:pPr>
        <w:widowControl/>
        <w:jc w:val="both"/>
      </w:pPr>
      <w:r>
        <w:rPr>
          <w:rFonts w:ascii="Times New Roman" w:hAnsi="Times New Roman" w:eastAsia="Times New Roman"/>
          <w:color w:val="000000"/>
          <w:sz w:val="24"/>
        </w:rPr>
        <w:t>The central advance is methodological as well as conceptual. Existing dissociations are usually obtained one paradigm at a time, leaving experience confounded with report, cognition with task performance, and unconsciousness with low arousal or behavioral unresponsiveness. The proposed study combines experimental datasets that intervene on different pairs of constructs. Their overlap forms a connected construct-bridge graph with multiple independent paths between experiential status (E), cognitive operations (K), arousal or global physiological state (A), and report or action output (R). This structure makes the latent architecture overidentified: a model must explain not only each local dissociation, but also the consistency of construct relations across modalities, states, laboratories, and tasks.</w:t>
      </w:r>
    </w:p>
    <w:p>
      <w:pPr>
        <w:widowControl/>
        <w:jc w:val="both"/>
      </w:pPr>
      <w:r>
        <w:rPr>
          <w:rFonts w:ascii="Times New Roman" w:hAnsi="Times New Roman" w:eastAsia="Times New Roman"/>
          <w:color w:val="000000"/>
          <w:sz w:val="24"/>
        </w:rPr>
        <w:t>For Neuron, the decisive result would be a reproducible neural mechanism: distinct representational and dynamical components for E, K, A, and R; temporal divergence of these components in MEG, EEG, and iEEG; and successful prediction of a completely held-out paradigm from the construct geometry learned elsewhere. For Nature Human Behaviour, the decisive result would be the broad cross-paradigm architecture: a preregistered, large-scale open-data test showing that human behavior and brain state cannot be reduced to a single consciousness-cognition continuum.</w:t>
      </w:r>
    </w:p>
    <w:p>
      <w:pPr>
        <w:widowControl/>
        <w:jc w:val="both"/>
      </w:pPr>
      <w:r>
        <w:rPr>
          <w:rFonts w:ascii="Times New Roman" w:hAnsi="Times New Roman" w:eastAsia="Times New Roman"/>
          <w:color w:val="000000"/>
          <w:sz w:val="24"/>
        </w:rPr>
        <w:t>The design is deliberately failure-resistant. If the factorized model fails, the same confirmatory comparisons can support a unitary, nested, or report-bottleneck architecture and identify the boundary conditions under which experiential and cognitive measures collapse onto a common dimension. The inferential value therefore does not depend on obtaining the preferred result.</w:t>
      </w:r>
    </w:p>
    <w:p>
      <w:pPr>
        <w:pStyle w:val="Heading1"/>
        <w:widowControl/>
      </w:pPr>
      <w:r>
        <w:rPr>
          <w:rFonts w:ascii="Times New Roman" w:hAnsi="Times New Roman" w:eastAsia="Times New Roman"/>
          <w:b/>
          <w:i w:val="0"/>
          <w:color w:val="000000"/>
          <w:sz w:val="30"/>
        </w:rPr>
        <w:t>Prospective abstract</w:t>
      </w:r>
    </w:p>
    <w:p>
      <w:pPr>
        <w:widowControl/>
        <w:jc w:val="both"/>
      </w:pPr>
      <w:r>
        <w:rPr>
          <w:rFonts w:ascii="Times New Roman" w:hAnsi="Times New Roman" w:eastAsia="Times New Roman"/>
          <w:color w:val="000000"/>
          <w:sz w:val="24"/>
        </w:rPr>
        <w:t>Consciousness and cognition are often treated as nested capacities, yet the empirical measures used to order them also conflate experience, cognitive operation, arousal, and report. We will test five competing architectures using openly available behavioral, fMRI, MEG, EEG, iEEG, and TMS-EEG data spanning masked perception, working memory, task relevance, no-report perception, sleep, and propofol anesthesia. Each dataset supplies a partially independent intervention on experiential status, cognitive processing, arousal, or overt response, creating an overidentified construct-bridge design. Crossvalidated pattern-component models will compare a unitary latent axis, two directional hierarchies, a report bottleneck, and a factorized interactive architecture. Primary inference will use held-out predictive likelihood and leave-one-paradigm-out prediction rather than post hoc embeddings or classifier accuracy. The study will establish whether conscious experience and cognitive operations share one neural continuum, occupy distinguishable dimensions, or dissociate only under specific states and computational demands.</w:t>
      </w:r>
    </w:p>
    <w:p>
      <w:pPr>
        <w:pStyle w:val="Heading1"/>
        <w:pageBreakBefore/>
        <w:widowControl/>
      </w:pPr>
      <w:r>
        <w:rPr>
          <w:rFonts w:ascii="Times New Roman" w:hAnsi="Times New Roman" w:eastAsia="Times New Roman"/>
          <w:b/>
          <w:i w:val="0"/>
          <w:color w:val="000000"/>
          <w:sz w:val="30"/>
        </w:rPr>
        <w:t>Submission-ready Introduction</w:t>
      </w:r>
    </w:p>
    <w:p>
      <w:pPr>
        <w:widowControl/>
        <w:jc w:val="both"/>
      </w:pPr>
      <w:r>
        <w:rPr>
          <w:rFonts w:ascii="Times New Roman" w:hAnsi="Times New Roman" w:eastAsia="Times New Roman"/>
          <w:color w:val="000000"/>
          <w:sz w:val="24"/>
        </w:rPr>
        <w:t>Consciousness and cognition are among the most intensively studied constructs in psychology and neuroscience, but their relationship remains conceptually unstable. Consciousness is sometimes treated as the condition that makes cognition possible: information becomes cognitively available only when it enters awareness. In other accounts, consciousness is treated as one product of cognition, dependent on attention, working memory, metacognition, or global access. Still other positions deny that the two can be cleanly separated because conscious experience is identified by the functional capacities through which it is expressed [1-3]. These disagreements are not merely terminological. They determine how experiments classify masked perception, dreaming, anesthesia, cognitive motor dissociation, and artificial systems. Yet the familiar question - whether consciousness contains cognition or cognition contains consciousness - presupposes that both are unitary quantities that can be placed in a single ordering.</w:t>
      </w:r>
    </w:p>
    <w:p>
      <w:pPr>
        <w:widowControl/>
        <w:jc w:val="both"/>
      </w:pPr>
      <w:r>
        <w:rPr>
          <w:rFonts w:ascii="Times New Roman" w:hAnsi="Times New Roman" w:eastAsia="Times New Roman"/>
          <w:color w:val="000000"/>
          <w:sz w:val="24"/>
        </w:rPr>
        <w:t>Contemporary theories make different commitments about that ordering. Global-workspace accounts link conscious access to widespread availability for flexible reasoning, memory, report, and control [4,7]. Recurrent-processing accounts allow perceptual experience to arise before or without full global access [5]. Integrated-information approaches emphasize the intrinsic causal organization of a system rather than its overt cognitive output [6]. These theories differ in scope and explanatory target, but empirical comparisons often inherit a common measurement problem. A trial is called conscious because a participant reports it, a patient is called unconscious because no command is followed, or a brain state is treated as cognitively impoverished because no action is produced. Under those definitions, experience, cognition, arousal, and report are partly built into one another before neural data are analyzed [8-12].</w:t>
      </w:r>
    </w:p>
    <w:p>
      <w:pPr>
        <w:widowControl/>
        <w:jc w:val="both"/>
      </w:pPr>
      <w:r>
        <w:rPr>
          <w:rFonts w:ascii="Times New Roman" w:hAnsi="Times New Roman" w:eastAsia="Times New Roman"/>
          <w:color w:val="000000"/>
          <w:sz w:val="24"/>
        </w:rPr>
        <w:t>A growing literature reveals states that appear to violate a simple hierarchy. Masked or subjectively unseen stimuli can remain neurally informative and can guide later decisions [15-17]. A large multisite study has reported above-chance delayed discrimination for stimuli assigned the lowest category of a perceptual-awareness scale, while also showing that performance remains related to perceptual sensitivity [18]. Volitional mental imagery can sometimes be detected during behavioral unresponsiveness [13,14,24]. Conscious experiences are reported during sleep and deep sedation, including conditions in which external responsiveness is greatly reduced [12,25-28]. Conversely, no-report paradigms show that neural differences associated with perceived versus unperceived stimuli need not be identical to the activity associated with an explicit report [10,11,19]. These observations motivate separability, but no individual observation is decisive. Residual awareness can masquerade as unconscious cognition; failure to report can reflect memory loss or motor disconnection; and changes attributed to consciousness can instead follow stimulus strength, task relevance, arousal, or response preparation [9,10,12,30-32].</w:t>
      </w:r>
    </w:p>
    <w:p>
      <w:pPr>
        <w:widowControl/>
        <w:jc w:val="both"/>
      </w:pPr>
      <w:r>
        <w:rPr>
          <w:rFonts w:ascii="Times New Roman" w:hAnsi="Times New Roman" w:eastAsia="Times New Roman"/>
          <w:color w:val="000000"/>
          <w:sz w:val="24"/>
        </w:rPr>
        <w:t>The stronger question is therefore not whether one can find an isolated dissociation, but whether a common formal architecture can explain interventions that cut the measurement problem in different directions. We distinguish four construct families. Experiential status, E, denotes the latent probability that a content or state was consciously experienced, inferred with uncertainty from immediate reports, graded visibility judgments, or validated no-report indicators. Cognitive operations, K, remain a vector rather than a single score and include stimulus-content representation, delayed maintenance, task selection, and volitional imagery. Arousal or global physiological state, A, includes sleep stage, anesthetic concentration, and responsiveness transitions. Report or action output, R, includes verbal report, button press, and force-measured command following. Physical stimulus and sensory evidence, S, are modeled separately. The proposed claim is not that E, K, A, and R are independent. It is that their neural effects may be distinguishable and need not be constrained to one rank-one continuum.</w:t>
      </w:r>
    </w:p>
    <w:p>
      <w:pPr>
        <w:widowControl/>
        <w:jc w:val="both"/>
      </w:pPr>
      <w:r>
        <w:rPr>
          <w:rFonts w:ascii="Times New Roman" w:hAnsi="Times New Roman" w:eastAsia="Times New Roman"/>
          <w:color w:val="000000"/>
          <w:sz w:val="24"/>
        </w:rPr>
        <w:t>Open datasets now make this architecture testable at an unusual scale. The COGITATE releases apply a common visual paradigm across independent fMRI, simultaneous MEG-EEG, and intracranial EEG cohorts, with suprathreshold perception while task relevance, category, duration, orientation, and response requirements vary [20-23]. The BMVP dataset contrasts perceived and unperceived threshold stimuli in report and no-report conditions, with behavioral, eye-tracking, EEG, fMRI, and thalamic recordings [19]. A densely sampled fMRI study tests whether neural content representations persist on trials rated unseen [15], while a 19-laboratory behavioral dataset provides a high-powered test of delayed discrimination under low reported awareness [18]. Two anesthesia resources separately manipulate propofol level, overt responsiveness, volitional imagery, and immediate experience reports [24,26]. The DREAM database contributes sleep electrophysiology linked to experience, experience without recall, and no-experience reports across many awakenings [25]. No single dataset measures every construct, but their experimental overlaps create multiple paths linking E, K, A, and R.</w:t>
      </w:r>
    </w:p>
    <w:p>
      <w:pPr>
        <w:widowControl/>
        <w:jc w:val="both"/>
      </w:pPr>
      <w:r>
        <w:rPr>
          <w:rFonts w:ascii="Times New Roman" w:hAnsi="Times New Roman" w:eastAsia="Times New Roman"/>
          <w:color w:val="000000"/>
          <w:sz w:val="24"/>
        </w:rPr>
        <w:t>We use those overlaps to compare five architectures. A unitary model proposes that all condition effects are projections of one global neural state, G. A consciousness-gating model proposes that cognitive operations depend on E and should lose their unique neural expression as E approaches zero. A cognitive-access model proposes that E is generated by sufficiently strong or globally available K. A report-bottleneck model attributes apparent E-K overlap primarily to common preparation for report and action. The factorized-interactive model assigns E, A, R, and each K component separate neural covariance components, while permitting preregistered interactions. These models make different predictions about the rank of condition geometry, the incremental predictive value of each construct, the angles between neural effect subspaces, and the transfer of construct-specific representations to held-out paradigms.</w:t>
      </w:r>
    </w:p>
    <w:p>
      <w:pPr>
        <w:widowControl/>
        <w:jc w:val="both"/>
      </w:pPr>
      <w:r>
        <w:rPr>
          <w:rFonts w:ascii="Times New Roman" w:hAnsi="Times New Roman" w:eastAsia="Times New Roman"/>
          <w:color w:val="000000"/>
          <w:sz w:val="24"/>
        </w:rPr>
        <w:t>The analysis is designed around prediction rather than visual interpretation of a low-dimensional embedding. Within each dataset, crossvalidated representational distances and pattern-component likelihoods will quantify unique E, K, A, R, and S components after nuisance control. Across datasets, a hierarchical evidence model will give each experimental family equal inferential weight. The strongest test will withhold an entire paradigm, learn construct geometry from the remaining data, and predict the unseen paradigm from its preregistered construct map. Raw fMRI, electrophysiology, and intracranial signals will not be forced into a common feature space. Instead, convergence will be assessed through second-order representational geometry, while anatomically aligned fMRI patterns and temporally resolved electrophysiological components provide complementary transfer tests [33-38].</w:t>
      </w:r>
    </w:p>
    <w:p>
      <w:pPr>
        <w:widowControl/>
        <w:jc w:val="both"/>
      </w:pPr>
      <w:r>
        <w:rPr>
          <w:rFonts w:ascii="Times New Roman" w:hAnsi="Times New Roman" w:eastAsia="Times New Roman"/>
          <w:color w:val="000000"/>
          <w:sz w:val="24"/>
        </w:rPr>
        <w:t>This approach reframes the consciousness-cognition problem as a falsifiable model-selection problem. Evidence for factorization would require more than above-chance processing without report. It would require that separate construct components improve held-out prediction, that within-construct transfer exceeds cross-construct transfer, and that the architecture generalizes across perturbations of perception, task, sleep, and anesthesia. Evidence against factorization would be equally informative if a simpler global or nested model predicts the data as well or better. The study therefore aims to determine not whether consciousness and cognition can be separated by definition, but whether human neural dynamics require distinguishable dimensions for experience and cognitive operation once arousal, sensory evidence, and report are explicitly modeled.</w:t>
      </w:r>
    </w:p>
    <w:p>
      <w:pPr>
        <w:pStyle w:val="Heading1"/>
        <w:widowControl/>
      </w:pPr>
      <w:r>
        <w:rPr>
          <w:rFonts w:ascii="Times New Roman" w:hAnsi="Times New Roman" w:eastAsia="Times New Roman"/>
          <w:b/>
          <w:i w:val="0"/>
          <w:color w:val="000000"/>
          <w:sz w:val="30"/>
        </w:rPr>
        <w:t>Specific aims and confirmatory hypotheses</w:t>
      </w:r>
    </w:p>
    <w:p>
      <w:pPr>
        <w:pStyle w:val="Heading2"/>
        <w:widowControl/>
      </w:pPr>
      <w:r>
        <w:rPr>
          <w:rFonts w:ascii="Times New Roman" w:hAnsi="Times New Roman" w:eastAsia="Times New Roman"/>
          <w:b/>
          <w:i w:val="0"/>
          <w:color w:val="000000"/>
          <w:sz w:val="26"/>
        </w:rPr>
        <w:t>Aim 1. Determine the minimum-rank architecture required to explain behavioral and neural condition geometry</w:t>
      </w:r>
    </w:p>
    <w:p>
      <w:pPr>
        <w:widowControl/>
        <w:jc w:val="both"/>
      </w:pPr>
      <w:r>
        <w:rPr>
          <w:rFonts w:ascii="Times New Roman" w:hAnsi="Times New Roman" w:eastAsia="Times New Roman"/>
          <w:color w:val="000000"/>
          <w:sz w:val="24"/>
        </w:rPr>
        <w:t>The primary comparison will test whether the factorized-interactive model predicts held-out observations better than the best nonfactorized alternative. The primary estimand is the dataset-family-weighted difference in expected log predictive density:</w:t>
      </w:r>
    </w:p>
    <w:p>
      <w:pPr>
        <w:keepLines/>
        <w:widowControl/>
        <w:spacing w:before="80" w:after="120"/>
      </w:pPr>
      <m:oMathPara>
        <m:oMathParaPr>
          <m:jc m:val="center"/>
        </m:oMathParaPr>
        <m:oMath>
          <m:r>
            <m:t>Δ</m:t>
          </m:r>
          <m:sSub>
            <m:e>
              <m:r>
                <m:rPr>
                  <m:sty m:val="p"/>
                </m:rPr>
                <m:t>E</m:t>
              </m:r>
              <m:r>
                <m:rPr>
                  <m:sty m:val="p"/>
                </m:rPr>
                <m:t>L</m:t>
              </m:r>
              <m:r>
                <m:rPr>
                  <m:sty m:val="p"/>
                </m:rPr>
                <m:t>P</m:t>
              </m:r>
              <m:r>
                <m:rPr>
                  <m:sty m:val="p"/>
                </m:rPr>
                <m:t>D</m:t>
              </m:r>
            </m:e>
            <m:sub>
              <m:r>
                <m:t>F</m:t>
              </m:r>
            </m:sub>
          </m:sSub>
          <m:r>
            <m:rPr>
              <m:sty m:val="p"/>
            </m:rPr>
            <m:t>=</m:t>
          </m:r>
          <m:sSub>
            <m:e>
              <m:r>
                <m:rPr>
                  <m:sty m:val="p"/>
                </m:rPr>
                <m:t>E</m:t>
              </m:r>
              <m:r>
                <m:rPr>
                  <m:sty m:val="p"/>
                </m:rPr>
                <m:t>L</m:t>
              </m:r>
              <m:r>
                <m:rPr>
                  <m:sty m:val="p"/>
                </m:rPr>
                <m:t>P</m:t>
              </m:r>
              <m:r>
                <m:rPr>
                  <m:sty m:val="p"/>
                </m:rPr>
                <m:t>D</m:t>
              </m:r>
            </m:e>
            <m:sub>
              <m:r>
                <m:rPr>
                  <m:sty m:val="p"/>
                </m:rPr>
                <m:t>f</m:t>
              </m:r>
              <m:r>
                <m:rPr>
                  <m:sty m:val="p"/>
                </m:rPr>
                <m:t>a</m:t>
              </m:r>
              <m:r>
                <m:rPr>
                  <m:sty m:val="p"/>
                </m:rPr>
                <m:t>c</m:t>
              </m:r>
              <m:r>
                <m:rPr>
                  <m:sty m:val="p"/>
                </m:rPr>
                <m:t>t</m:t>
              </m:r>
              <m:r>
                <m:rPr>
                  <m:sty m:val="p"/>
                </m:rPr>
                <m:t>o</m:t>
              </m:r>
              <m:r>
                <m:rPr>
                  <m:sty m:val="p"/>
                </m:rPr>
                <m:t>r</m:t>
              </m:r>
              <m:r>
                <m:rPr>
                  <m:sty m:val="p"/>
                </m:rPr>
                <m:t>i</m:t>
              </m:r>
              <m:r>
                <m:rPr>
                  <m:sty m:val="p"/>
                </m:rPr>
                <m:t>z</m:t>
              </m:r>
              <m:r>
                <m:rPr>
                  <m:sty m:val="p"/>
                </m:rPr>
                <m:t>e</m:t>
              </m:r>
              <m:r>
                <m:rPr>
                  <m:sty m:val="p"/>
                </m:rPr>
                <m:t>d</m:t>
              </m:r>
            </m:sub>
          </m:sSub>
          <m:r>
            <m:rPr>
              <m:sty m:val="p"/>
            </m:rPr>
            <m:t>−</m:t>
          </m:r>
          <m:limLow>
            <m:e>
              <m:r>
                <m:rPr>
                  <m:sty m:val="p"/>
                </m:rPr>
                <m:t>max</m:t>
              </m:r>
            </m:e>
            <m:lim>
              <m:r>
                <m:t>m</m:t>
              </m:r>
              <m:r>
                <m:rPr>
                  <m:sty m:val="p"/>
                </m:rPr>
                <m:t>∈</m:t>
              </m:r>
              <m:sSub>
                <m:e>
                  <m:r>
                    <m:rPr>
                      <m:sty m:val="p"/>
                      <m:scr m:val="script"/>
                    </m:rPr>
                    <m:t>M</m:t>
                  </m:r>
                </m:e>
                <m:sub>
                  <m:r>
                    <m:rPr>
                      <m:sty m:val="p"/>
                    </m:rPr>
                    <m:t>n</m:t>
                  </m:r>
                  <m:r>
                    <m:rPr>
                      <m:sty m:val="p"/>
                    </m:rPr>
                    <m:t>o</m:t>
                  </m:r>
                  <m:r>
                    <m:rPr>
                      <m:sty m:val="p"/>
                    </m:rPr>
                    <m:t>n</m:t>
                  </m:r>
                  <m:r>
                    <m:rPr>
                      <m:sty m:val="p"/>
                    </m:rPr>
                    <m:t>f</m:t>
                  </m:r>
                  <m:r>
                    <m:rPr>
                      <m:sty m:val="p"/>
                    </m:rPr>
                    <m:t>a</m:t>
                  </m:r>
                  <m:r>
                    <m:rPr>
                      <m:sty m:val="p"/>
                    </m:rPr>
                    <m:t>c</m:t>
                  </m:r>
                  <m:r>
                    <m:rPr>
                      <m:sty m:val="p"/>
                    </m:rPr>
                    <m:t>t</m:t>
                  </m:r>
                  <m:r>
                    <m:rPr>
                      <m:sty m:val="p"/>
                    </m:rPr>
                    <m:t>o</m:t>
                  </m:r>
                  <m:r>
                    <m:rPr>
                      <m:sty m:val="p"/>
                    </m:rPr>
                    <m:t>r</m:t>
                  </m:r>
                  <m:r>
                    <m:rPr>
                      <m:sty m:val="p"/>
                    </m:rPr>
                    <m:t>i</m:t>
                  </m:r>
                  <m:r>
                    <m:rPr>
                      <m:sty m:val="p"/>
                    </m:rPr>
                    <m:t>z</m:t>
                  </m:r>
                  <m:r>
                    <m:rPr>
                      <m:sty m:val="p"/>
                    </m:rPr>
                    <m:t>e</m:t>
                  </m:r>
                  <m:r>
                    <m:rPr>
                      <m:sty m:val="p"/>
                    </m:rPr>
                    <m:t>d</m:t>
                  </m:r>
                </m:sub>
              </m:sSub>
            </m:lim>
          </m:limLow>
          <m:sSub>
            <m:e>
              <m:r>
                <m:rPr>
                  <m:sty m:val="p"/>
                </m:rPr>
                <m:t>E</m:t>
              </m:r>
              <m:r>
                <m:rPr>
                  <m:sty m:val="p"/>
                </m:rPr>
                <m:t>L</m:t>
              </m:r>
              <m:r>
                <m:rPr>
                  <m:sty m:val="p"/>
                </m:rPr>
                <m:t>P</m:t>
              </m:r>
              <m:r>
                <m:rPr>
                  <m:sty m:val="p"/>
                </m:rPr>
                <m:t>D</m:t>
              </m:r>
            </m:e>
            <m:sub>
              <m:r>
                <m:t>m</m:t>
              </m:r>
            </m:sub>
          </m:sSub>
          <m:r>
            <m:rPr>
              <m:sty m:val="p"/>
            </m:rPr>
            <m:t>.</m:t>
          </m:r>
        </m:oMath>
      </m:oMathPara>
    </w:p>
    <w:p>
      <w:pPr>
        <w:widowControl/>
        <w:jc w:val="both"/>
      </w:pPr>
      <w:r>
        <w:rPr>
          <w:rFonts w:ascii="Times New Roman" w:hAnsi="Times New Roman" w:eastAsia="Times New Roman"/>
          <w:color w:val="000000"/>
          <w:sz w:val="24"/>
        </w:rPr>
        <w:t>Hypothesis 1 is directional: ΔELPD_F will be positive at the group level, with a 95% credible interval excluding zero, and the direction of evidence will be positive in at least four independent experimental families. Model complexity will be controlled through nested cross-validation and matched regularization; the factorized model will not receive credit for in-sample fit.</w:t>
      </w:r>
    </w:p>
    <w:p>
      <w:pPr>
        <w:pStyle w:val="Heading2"/>
        <w:widowControl/>
      </w:pPr>
      <w:r>
        <w:rPr>
          <w:rFonts w:ascii="Times New Roman" w:hAnsi="Times New Roman" w:eastAsia="Times New Roman"/>
          <w:b/>
          <w:i w:val="0"/>
          <w:color w:val="000000"/>
          <w:sz w:val="26"/>
        </w:rPr>
        <w:t>Aim 2. Test whether experiential and cognitive representations generalize preferentially within construct</w:t>
      </w:r>
    </w:p>
    <w:p>
      <w:pPr>
        <w:widowControl/>
        <w:jc w:val="both"/>
      </w:pPr>
      <w:r>
        <w:rPr>
          <w:rFonts w:ascii="Times New Roman" w:hAnsi="Times New Roman" w:eastAsia="Times New Roman"/>
          <w:color w:val="000000"/>
          <w:sz w:val="24"/>
        </w:rPr>
        <w:t>An E component estimated from one experience manipulation should better predict independent E manipulations than K, A, or R manipulations. Likewise, a K component should transfer better to another cognitive operation than to E, A, or R. The confirmatory contrast is:</w:t>
      </w:r>
    </w:p>
    <w:p>
      <w:pPr>
        <w:keepLines/>
        <w:widowControl/>
        <w:spacing w:before="80" w:after="120"/>
      </w:pPr>
      <m:oMathPara>
        <m:oMathParaPr>
          <m:jc m:val="center"/>
        </m:oMathParaPr>
        <m:oMath>
          <m:sSub>
            <m:e>
              <m:r>
                <m:t>G</m:t>
              </m:r>
            </m:e>
            <m:sub>
              <m:r>
                <m:rPr>
                  <m:sty m:val="p"/>
                </m:rPr>
                <m:t>w</m:t>
              </m:r>
              <m:r>
                <m:rPr>
                  <m:sty m:val="p"/>
                </m:rPr>
                <m:t>i</m:t>
              </m:r>
              <m:r>
                <m:rPr>
                  <m:sty m:val="p"/>
                </m:rPr>
                <m:t>t</m:t>
              </m:r>
              <m:r>
                <m:rPr>
                  <m:sty m:val="p"/>
                </m:rPr>
                <m:t>h</m:t>
              </m:r>
              <m:r>
                <m:rPr>
                  <m:sty m:val="p"/>
                </m:rPr>
                <m:t>i</m:t>
              </m:r>
              <m:r>
                <m:rPr>
                  <m:sty m:val="p"/>
                </m:rPr>
                <m:t>n</m:t>
              </m:r>
              <m:r>
                <m:rPr>
                  <m:sty m:val="p"/>
                </m:rPr>
                <m:t>−</m:t>
              </m:r>
              <m:r>
                <m:rPr>
                  <m:sty m:val="p"/>
                </m:rPr>
                <m:t>c</m:t>
              </m:r>
              <m:r>
                <m:rPr>
                  <m:sty m:val="p"/>
                </m:rPr>
                <m:t>r</m:t>
              </m:r>
              <m:r>
                <m:rPr>
                  <m:sty m:val="p"/>
                </m:rPr>
                <m:t>o</m:t>
              </m:r>
              <m:r>
                <m:rPr>
                  <m:sty m:val="p"/>
                </m:rPr>
                <m:t>s</m:t>
              </m:r>
              <m:r>
                <m:rPr>
                  <m:sty m:val="p"/>
                </m:rPr>
                <m:t>s</m:t>
              </m:r>
            </m:sub>
          </m:sSub>
          <m:r>
            <m:rPr>
              <m:sty m:val="p"/>
            </m:rPr>
            <m:t>=</m:t>
          </m:r>
          <m:sSub>
            <m:e>
              <m:bar>
                <m:barPr>
                  <m:pos m:val="top"/>
                </m:barPr>
                <m:e>
                  <m:r>
                    <m:t>s</m:t>
                  </m:r>
                </m:e>
              </m:bar>
            </m:e>
            <m:sub>
              <m:r>
                <m:rPr>
                  <m:sty m:val="p"/>
                </m:rPr>
                <m:t>w</m:t>
              </m:r>
              <m:r>
                <m:rPr>
                  <m:sty m:val="p"/>
                </m:rPr>
                <m:t>i</m:t>
              </m:r>
              <m:r>
                <m:rPr>
                  <m:sty m:val="p"/>
                </m:rPr>
                <m:t>t</m:t>
              </m:r>
              <m:r>
                <m:rPr>
                  <m:sty m:val="p"/>
                </m:rPr>
                <m:t>h</m:t>
              </m:r>
              <m:r>
                <m:rPr>
                  <m:sty m:val="p"/>
                </m:rPr>
                <m:t>i</m:t>
              </m:r>
              <m:r>
                <m:rPr>
                  <m:sty m:val="p"/>
                </m:rPr>
                <m:t>n</m:t>
              </m:r>
            </m:sub>
          </m:sSub>
          <m:r>
            <m:rPr>
              <m:sty m:val="p"/>
            </m:rPr>
            <m:t>−</m:t>
          </m:r>
          <m:sSub>
            <m:e>
              <m:bar>
                <m:barPr>
                  <m:pos m:val="top"/>
                </m:barPr>
                <m:e>
                  <m:r>
                    <m:t>s</m:t>
                  </m:r>
                </m:e>
              </m:bar>
            </m:e>
            <m:sub>
              <m:r>
                <m:rPr>
                  <m:sty m:val="p"/>
                </m:rPr>
                <m:t>c</m:t>
              </m:r>
              <m:r>
                <m:rPr>
                  <m:sty m:val="p"/>
                </m:rPr>
                <m:t>r</m:t>
              </m:r>
              <m:r>
                <m:rPr>
                  <m:sty m:val="p"/>
                </m:rPr>
                <m:t>o</m:t>
              </m:r>
              <m:r>
                <m:rPr>
                  <m:sty m:val="p"/>
                </m:rPr>
                <m:t>s</m:t>
              </m:r>
              <m:r>
                <m:rPr>
                  <m:sty m:val="p"/>
                </m:rPr>
                <m:t>s</m:t>
              </m:r>
            </m:sub>
          </m:sSub>
          <m:r>
            <m:rPr>
              <m:sty m:val="p"/>
            </m:rPr>
            <m:t>.</m:t>
          </m:r>
        </m:oMath>
      </m:oMathPara>
    </w:p>
    <w:p>
      <w:pPr>
        <w:widowControl/>
        <w:jc w:val="both"/>
      </w:pPr>
      <w:r>
        <w:rPr>
          <w:rFonts w:ascii="Times New Roman" w:hAnsi="Times New Roman" w:eastAsia="Times New Roman"/>
          <w:color w:val="000000"/>
          <w:sz w:val="24"/>
        </w:rPr>
        <w:t>Hypothesis 2 predicts G_within-minus-cross &gt; 0 in both the fMRI transfer analysis and the second-order cross-modal analysis. This test addresses whether apparent separability reflects stable construct geometry rather than dataset-specific idiosyncrasy.</w:t>
      </w:r>
    </w:p>
    <w:p>
      <w:pPr>
        <w:pStyle w:val="Heading2"/>
        <w:widowControl/>
      </w:pPr>
      <w:r>
        <w:rPr>
          <w:rFonts w:ascii="Times New Roman" w:hAnsi="Times New Roman" w:eastAsia="Times New Roman"/>
          <w:b/>
          <w:i w:val="0"/>
          <w:color w:val="000000"/>
          <w:sz w:val="26"/>
        </w:rPr>
        <w:t>Aim 3. Identify when and where the components diverge</w:t>
      </w:r>
    </w:p>
    <w:p>
      <w:pPr>
        <w:widowControl/>
        <w:jc w:val="both"/>
      </w:pPr>
      <w:r>
        <w:rPr>
          <w:rFonts w:ascii="Times New Roman" w:hAnsi="Times New Roman" w:eastAsia="Times New Roman"/>
          <w:color w:val="000000"/>
          <w:sz w:val="24"/>
        </w:rPr>
        <w:t>Time-resolved MEG, EEG, and iEEG analyses will test whether E, task selection, content information, and report have distinguishable onset, duration, and temporal-generalization structure. fMRI and source-space analyses will quantify whether their unique variance maps and network profiles are non-collinear. Hypothesis 3 predicts that at least one K component and E occupy separable neural subspaces after sensory and response effects are removed; exact orthogonality is neither expected nor required.</w:t>
      </w:r>
    </w:p>
    <w:p>
      <w:pPr>
        <w:pStyle w:val="Heading2"/>
        <w:widowControl/>
      </w:pPr>
      <w:r>
        <w:rPr>
          <w:rFonts w:ascii="Times New Roman" w:hAnsi="Times New Roman" w:eastAsia="Times New Roman"/>
          <w:b/>
          <w:i w:val="0"/>
          <w:color w:val="000000"/>
          <w:sz w:val="26"/>
        </w:rPr>
        <w:t>Aim 4. Test architecture-level generalization to unseen paradigms and states</w:t>
      </w:r>
    </w:p>
    <w:p>
      <w:pPr>
        <w:widowControl/>
        <w:jc w:val="both"/>
      </w:pPr>
      <w:r>
        <w:rPr>
          <w:rFonts w:ascii="Times New Roman" w:hAnsi="Times New Roman" w:eastAsia="Times New Roman"/>
          <w:color w:val="000000"/>
          <w:sz w:val="24"/>
        </w:rPr>
        <w:t>Each experimental family will be withheld in turn. Construct parameters learned from the remaining families will be used to predict the held-out representational geometry without refitting the architecture to that family's neural outcomes. Hypothesis 4 predicts that the factorized-interactive architecture will outperform the unitary model in the majority of leave-one-family-out tests, including at least one altered-state family and one perceptual family.</w:t>
      </w:r>
    </w:p>
    <w:p>
      <w:pPr>
        <w:keepNext/>
        <w:widowControl/>
        <w:jc w:val="center"/>
      </w:pPr>
      <w:r>
        <w:rPr>
          <w:color w:val="000000"/>
        </w:rPr>
        <w:drawing>
          <wp:inline xmlns:a="http://schemas.openxmlformats.org/drawingml/2006/main" xmlns:pic="http://schemas.openxmlformats.org/drawingml/2006/picture">
            <wp:extent cx="6080760" cy="3873728"/>
            <wp:docPr id="1" name="Picture 1"/>
            <wp:cNvGraphicFramePr>
              <a:graphicFrameLocks noChangeAspect="1"/>
            </wp:cNvGraphicFramePr>
            <a:graphic>
              <a:graphicData uri="http://schemas.openxmlformats.org/drawingml/2006/picture">
                <pic:pic>
                  <pic:nvPicPr>
                    <pic:cNvPr id="0" name="figure1_construct_bridge.png"/>
                    <pic:cNvPicPr/>
                  </pic:nvPicPr>
                  <pic:blipFill>
                    <a:blip r:embed="rId10"/>
                    <a:stretch>
                      <a:fillRect/>
                    </a:stretch>
                  </pic:blipFill>
                  <pic:spPr>
                    <a:xfrm>
                      <a:off x="0" y="0"/>
                      <a:ext cx="6080760" cy="3873728"/>
                    </a:xfrm>
                    <a:prstGeom prst="rect"/>
                  </pic:spPr>
                </pic:pic>
              </a:graphicData>
            </a:graphic>
          </wp:inline>
        </w:drawing>
      </w:r>
    </w:p>
    <w:p>
      <w:pPr>
        <w:keepNext w:val="0"/>
        <w:widowControl/>
        <w:jc w:val="both"/>
      </w:pPr>
      <w:r>
        <w:rPr>
          <w:rFonts w:ascii="Times New Roman" w:hAnsi="Times New Roman" w:eastAsia="Times New Roman"/>
          <w:i/>
          <w:color w:val="000000"/>
          <w:sz w:val="20"/>
        </w:rPr>
        <w:t>Figure 1. Intervention-grounded construct bridge. Open datasets manipulate overlapping subsets of experiential status (E), cognitive operations (K), arousal or global state (A), report or action (R), and sensory evidence (S). Their overlaps permit formal comparison of unitary, nested, report-bottleneck, and factorized-interactive architectures.</w:t>
      </w:r>
    </w:p>
    <w:p>
      <w:pPr>
        <w:pStyle w:val="Heading1"/>
        <w:pageBreakBefore/>
        <w:widowControl/>
      </w:pPr>
      <w:r>
        <w:rPr>
          <w:rFonts w:ascii="Times New Roman" w:hAnsi="Times New Roman" w:eastAsia="Times New Roman"/>
          <w:b/>
          <w:i w:val="0"/>
          <w:color w:val="000000"/>
          <w:sz w:val="30"/>
        </w:rPr>
        <w:t>Methods</w:t>
      </w:r>
    </w:p>
    <w:p>
      <w:pPr>
        <w:widowControl/>
        <w:jc w:val="left"/>
      </w:pPr>
      <w:r>
        <w:rPr>
          <w:rFonts w:ascii="Times New Roman" w:hAnsi="Times New Roman" w:eastAsia="Times New Roman"/>
          <w:i/>
          <w:color w:val="000000"/>
          <w:sz w:val="21"/>
        </w:rPr>
        <w:t>Methods word count: 12,251 (excluding tables, equations, and references).</w:t>
      </w:r>
    </w:p>
    <w:p>
      <w:pPr>
        <w:pStyle w:val="Heading2"/>
        <w:widowControl/>
      </w:pPr>
      <w:r>
        <w:rPr>
          <w:rFonts w:ascii="Times New Roman" w:hAnsi="Times New Roman" w:eastAsia="Times New Roman"/>
          <w:b/>
          <w:i w:val="0"/>
          <w:color w:val="000000"/>
          <w:sz w:val="26"/>
        </w:rPr>
        <w:t>1. Study design and inferential scope</w:t>
      </w:r>
    </w:p>
    <w:p>
      <w:pPr>
        <w:widowControl/>
        <w:jc w:val="both"/>
      </w:pPr>
      <w:r>
        <w:rPr>
          <w:rFonts w:ascii="Times New Roman" w:hAnsi="Times New Roman" w:eastAsia="Times New Roman"/>
          <w:color w:val="000000"/>
          <w:sz w:val="24"/>
        </w:rPr>
        <w:t>This is a prospective, confirmatory secondary analysis of fully open and de-identified datasets. No new participant recruitment or data collection is required. The study will integrate behavioral, fMRI, MEG, EEG, intracranial EEG, and TMS-EEG observations through a common construct model while preserving dataset-specific measurement scales and preprocessing requirements. The unit of scientific replication is the experimental family, not the pooled trial. Large datasets will improve precision within a family, but no single family will dominate the cross-paradigm conclusion merely because it contains more trials, channels, or participants.</w:t>
      </w:r>
    </w:p>
    <w:p>
      <w:pPr>
        <w:widowControl/>
        <w:jc w:val="both"/>
      </w:pPr>
      <w:r>
        <w:rPr>
          <w:rFonts w:ascii="Times New Roman" w:hAnsi="Times New Roman" w:eastAsia="Times New Roman"/>
          <w:color w:val="000000"/>
          <w:sz w:val="24"/>
        </w:rPr>
        <w:t>The analysis has six ordered stages. First, all eligible resources will be frozen in an immutable data manifest containing persistent identifier, version, license, file inventory, checksums, and access date. Second, every experimental condition will be mapped to E, K, A, R, and S before neural outcomes are inspected. Third, development partitions will be used to validate ingestion, quality-control thresholds, preprocessing, and computational tractability. Fourth, the analysis configuration, containers, software lockfiles, construct maps, contrast files, and synthetic-data tests will be frozen. Fifth, confirmatory models will be run once on held-out partitions. Sixth, exploratory analyses will be clearly separated and may refine anatomical interpretation but will not alter the primary architecture comparison.</w:t>
      </w:r>
    </w:p>
    <w:p>
      <w:pPr>
        <w:widowControl/>
        <w:jc w:val="both"/>
      </w:pPr>
      <w:r>
        <w:rPr>
          <w:rFonts w:ascii="Times New Roman" w:hAnsi="Times New Roman" w:eastAsia="Times New Roman"/>
          <w:color w:val="000000"/>
          <w:sz w:val="24"/>
        </w:rPr>
        <w:t>The main inferential target is architectural. We do not attempt to establish a metaphysical criterion for consciousness, to prove that any individual trial was wholly unconscious, or to reduce cognition to one scalar. Instead, we ask whether condition-related neural variation can be represented by one latent direction or requires multiple construct-specific components. E is therefore treated as a latent, fallible variable. K remains multidimensional. Behavioral unresponsiveness is coded under R and A, not automatically under E. Sleep stage and anesthetic concentration are coded under A, not automatically as levels of consciousness. This conservative separation is essential to prevent the desired conclusion from being built into the labels.</w:t>
      </w:r>
    </w:p>
    <w:p>
      <w:pPr>
        <w:pStyle w:val="Heading3"/>
        <w:widowControl/>
      </w:pPr>
      <w:r>
        <w:rPr>
          <w:rFonts w:ascii="Times New Roman" w:hAnsi="Times New Roman" w:eastAsia="Times New Roman"/>
          <w:b/>
          <w:i/>
          <w:color w:val="000000"/>
          <w:sz w:val="24"/>
        </w:rPr>
        <w:t>1.1 Confirmatory dataset families</w:t>
      </w:r>
    </w:p>
    <w:p>
      <w:pPr>
        <w:widowControl/>
        <w:jc w:val="both"/>
      </w:pPr>
      <w:r>
        <w:rPr>
          <w:rFonts w:ascii="Times New Roman" w:hAnsi="Times New Roman" w:eastAsia="Times New Roman"/>
          <w:color w:val="000000"/>
          <w:sz w:val="24"/>
        </w:rPr>
        <w:t>The confirmatory evidence base comprises seven experimental families. COGITATE is treated as one family with three independent modality cohorts because the experimental design is shared. The BMVP multimodal resource is one family. The two propofol resources are separate families because one manipulates volitional imagery and responsiveness in fMRI, whereas the other obtains immediate experience reports after repeated awakenings with EEG and TMS-EEG. DREAM is one heterogeneous family with dataset-level random effects. The multisite working-memory study and the masked-content fMRI study provide complementary E-K constraints. If an advertised resource cannot be downloaded, lacks the metadata required to reproduce its published condition labels, or has a license incompatible with analysis and redistribution of derivatives, it will be removed before the manifest is frozen and will not be replaced after confirmatory analysis begins.</w:t>
      </w:r>
    </w:p>
    <w:p>
      <w:pPr>
        <w:pStyle w:val="Heading3"/>
        <w:widowControl/>
      </w:pPr>
      <w:r>
        <w:rPr>
          <w:rFonts w:ascii="Times New Roman" w:hAnsi="Times New Roman" w:eastAsia="Times New Roman"/>
          <w:b/>
          <w:i/>
          <w:color w:val="000000"/>
          <w:sz w:val="24"/>
        </w:rPr>
        <w:t>1.2 Core versus supporting evidence</w:t>
      </w:r>
    </w:p>
    <w:p>
      <w:pPr>
        <w:widowControl/>
        <w:jc w:val="both"/>
      </w:pPr>
      <w:r>
        <w:rPr>
          <w:rFonts w:ascii="Times New Roman" w:hAnsi="Times New Roman" w:eastAsia="Times New Roman"/>
          <w:color w:val="000000"/>
          <w:sz w:val="24"/>
        </w:rPr>
        <w:t>A dataset is designated core if its design identifies at least two constructs while holding a third major confound fixed or explicitly measured. Core families are COGITATE, BMVP, the multisite working-memory study, the propofol volition fMRI resource, and DREAM open subsets. The masked-content fMRI resource is core for dense within-participant content representation but is interpreted cautiously because of its small participant sample. The repeated-awakening propofol EEG/TMS-EEG resource is a high-value supporting validation because it compares reported experience within a broadly matched deep-sedation regime but contains few no-experience awakenings. Supporting resources contribute to hierarchical estimates with their uncertainty preserved; they cannot independently trigger the headline conclusion.</w:t>
      </w:r>
    </w:p>
    <w:p>
      <w:pPr>
        <w:pStyle w:val="Heading3"/>
        <w:widowControl/>
      </w:pPr>
      <w:r>
        <w:rPr>
          <w:rFonts w:ascii="Times New Roman" w:hAnsi="Times New Roman" w:eastAsia="Times New Roman"/>
          <w:b/>
          <w:i/>
          <w:color w:val="000000"/>
          <w:sz w:val="24"/>
        </w:rPr>
        <w:t>1.3 Primary and secondary outcomes</w:t>
      </w:r>
    </w:p>
    <w:p>
      <w:pPr>
        <w:widowControl/>
        <w:jc w:val="both"/>
      </w:pPr>
      <w:r>
        <w:rPr>
          <w:rFonts w:ascii="Times New Roman" w:hAnsi="Times New Roman" w:eastAsia="Times New Roman"/>
          <w:color w:val="000000"/>
          <w:sz w:val="24"/>
        </w:rPr>
        <w:t>The primary outcome is out-of-sample log predictive density for each candidate representational architecture. Secondary outcomes are: unique crossvalidated variance associated with E and each K component; principal angles between construct subspaces; within-construct versus cross-construct transfer; temporal onset and persistence differences; and the proportion of saturated-model performance recovered by each theory. Classifier accuracy is a diagnostic outcome only. A high-performing decoder does not by itself demonstrate a distinct neural mechanism, because correlated confounds can support prediction. All interpretive claims therefore require variance partitioning or model comparison against explicit alternatives.</w:t>
      </w:r>
    </w:p>
    <w:p>
      <w:pPr>
        <w:pStyle w:val="Heading2"/>
        <w:widowControl/>
      </w:pPr>
      <w:r>
        <w:rPr>
          <w:rFonts w:ascii="Times New Roman" w:hAnsi="Times New Roman" w:eastAsia="Times New Roman"/>
          <w:b/>
          <w:i w:val="0"/>
          <w:color w:val="000000"/>
          <w:sz w:val="26"/>
        </w:rPr>
        <w:t>2. Open-data eligibility, versioning, and provenance</w:t>
      </w:r>
    </w:p>
    <w:p>
      <w:pPr>
        <w:pStyle w:val="Heading3"/>
        <w:widowControl/>
      </w:pPr>
      <w:r>
        <w:rPr>
          <w:rFonts w:ascii="Times New Roman" w:hAnsi="Times New Roman" w:eastAsia="Times New Roman"/>
          <w:b/>
          <w:i/>
          <w:color w:val="000000"/>
          <w:sz w:val="24"/>
        </w:rPr>
        <w:t>2.1 Eligibility criteria</w:t>
      </w:r>
    </w:p>
    <w:p>
      <w:pPr>
        <w:widowControl/>
        <w:jc w:val="both"/>
      </w:pPr>
      <w:r>
        <w:rPr>
          <w:rFonts w:ascii="Times New Roman" w:hAnsi="Times New Roman" w:eastAsia="Times New Roman"/>
          <w:color w:val="000000"/>
          <w:sz w:val="24"/>
        </w:rPr>
        <w:t>A resource will be eligible when all of the following conditions are met: (i) participant-level data are publicly downloadable without a case-by-case scientific collaboration agreement; (ii) the available license or terms permit scientific reuse; (iii) the data are de-identified; (iv) trial, block, awakening, or state metadata permit reconstruction of at least one preregistered construct contrast; (v) participant and run identifiers permit leakage-free cross-validation; and (vi) documentation is sufficient to align events with behavioral or physiological observations. Resources requiring registration for a public repository remain eligible if access is automatic and does not depend on proposal approval. DREAM subsets marked restricted will not be used in the confirmatory analysis.</w:t>
      </w:r>
    </w:p>
    <w:p>
      <w:pPr>
        <w:widowControl/>
        <w:jc w:val="both"/>
      </w:pPr>
      <w:r>
        <w:rPr>
          <w:rFonts w:ascii="Times New Roman" w:hAnsi="Times New Roman" w:eastAsia="Times New Roman"/>
          <w:color w:val="000000"/>
          <w:sz w:val="24"/>
        </w:rPr>
        <w:t>The data freeze will occur before any new neural result is examined. A machine-readable file, manifests/data_sources.tsv, will contain dataset_family, modality, repository, persistent_identifier, release_version, license, expected_size, expected_subjects, access_date, and checksum_manifest. Each downloaded file will receive a SHA-256 checksum. For DataLad or git-annex resources, the commit identifier and annex key will also be stored. For bundled archives, both the archive hash and extracted file inventory will be recorded. A command, python -m factorcon.manifest verify, will fail if a file is absent, altered, or associated with a different dataset version.</w:t>
      </w:r>
    </w:p>
    <w:p>
      <w:pPr>
        <w:pStyle w:val="Heading3"/>
        <w:widowControl/>
      </w:pPr>
      <w:r>
        <w:rPr>
          <w:rFonts w:ascii="Times New Roman" w:hAnsi="Times New Roman" w:eastAsia="Times New Roman"/>
          <w:b/>
          <w:i/>
          <w:color w:val="000000"/>
          <w:sz w:val="24"/>
        </w:rPr>
        <w:t>2.2 Version-specific safeguards</w:t>
      </w:r>
    </w:p>
    <w:p>
      <w:pPr>
        <w:widowControl/>
        <w:jc w:val="both"/>
      </w:pPr>
      <w:r>
        <w:rPr>
          <w:rFonts w:ascii="Times New Roman" w:hAnsi="Times New Roman" w:eastAsia="Times New Roman"/>
          <w:color w:val="000000"/>
          <w:sz w:val="24"/>
        </w:rPr>
        <w:t>Repository accessions can be reassigned, mirrored, or indexed inconsistently. The manifest will therefore verify each resource through at least two identifiers: the article DOI plus the dataset DOI or release hash. Dataset titles, participant counts, BIDS dataset_description.json fields, and a small set of expected filenames will be asserted in automated tests. A resource whose accession resolves to a mismatched title or modality will be quarantined rather than silently ingested. This safeguard is especially important for long-lived OpenNeuro mirrors and for records available through both static DOI bundles and interactive XNAT interfaces.</w:t>
      </w:r>
    </w:p>
    <w:p>
      <w:pPr>
        <w:pStyle w:val="Heading3"/>
        <w:widowControl/>
      </w:pPr>
      <w:r>
        <w:rPr>
          <w:rFonts w:ascii="Times New Roman" w:hAnsi="Times New Roman" w:eastAsia="Times New Roman"/>
          <w:b/>
          <w:i/>
          <w:color w:val="000000"/>
          <w:sz w:val="24"/>
        </w:rPr>
        <w:t>2.3 Reproducible retrieval</w:t>
      </w:r>
    </w:p>
    <w:p>
      <w:pPr>
        <w:widowControl/>
        <w:jc w:val="both"/>
      </w:pPr>
      <w:r>
        <w:rPr>
          <w:rFonts w:ascii="Times New Roman" w:hAnsi="Times New Roman" w:eastAsia="Times New Roman"/>
          <w:color w:val="000000"/>
          <w:sz w:val="24"/>
        </w:rPr>
        <w:t>Retrieval scripts will use DataLad, repository APIs, or DOI-resolved static archives rather than manual browser downloads wherever possible. Credentials, if required for free registration, will never be committed. The repository will contain only retrieval recipes and small metadata files, not raw data. Each recipe will support a --sample flag that downloads one participant or a published sample bundle for pipeline testing. The full workflow will use content-addressed raw-data directories mounted read-only inside containers. Derived results will be written to a separate BIDS-Derivatives-compatible tree.</w:t>
      </w:r>
    </w:p>
    <w:p>
      <w:pPr>
        <w:pStyle w:val="Heading2"/>
        <w:widowControl/>
      </w:pPr>
      <w:r>
        <w:rPr>
          <w:rFonts w:ascii="Times New Roman" w:hAnsi="Times New Roman" w:eastAsia="Times New Roman"/>
          <w:b/>
          <w:i w:val="0"/>
          <w:color w:val="000000"/>
          <w:sz w:val="26"/>
        </w:rPr>
        <w:t>3. Data resources and experimental roles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78"/>
        <w:gridCol w:w="1378"/>
        <w:gridCol w:w="1378"/>
        <w:gridCol w:w="1378"/>
        <w:gridCol w:w="1378"/>
        <w:gridCol w:w="1378"/>
        <w:gridCol w:w="1378"/>
      </w:tblGrid>
      <w:tr>
        <w:trPr>
          <w:tblHeader w:val="true"/>
          <w:cantSplit/>
        </w:trPr>
        <w:tc>
          <w:tcPr>
            <w:tcW w:type="dxa" w:w="1123"/>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Family</w:t>
            </w:r>
          </w:p>
        </w:tc>
        <w:tc>
          <w:tcPr>
            <w:tcW w:type="dxa" w:w="1469"/>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Open resource</w:t>
            </w:r>
          </w:p>
        </w:tc>
        <w:tc>
          <w:tcPr>
            <w:tcW w:type="dxa" w:w="1440"/>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Scale</w:t>
            </w:r>
          </w:p>
        </w:tc>
        <w:tc>
          <w:tcPr>
            <w:tcW w:type="dxa" w:w="979"/>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Modality</w:t>
            </w:r>
          </w:p>
        </w:tc>
        <w:tc>
          <w:tcPr>
            <w:tcW w:type="dxa" w:w="1800"/>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Experimental intervention</w:t>
            </w:r>
          </w:p>
        </w:tc>
        <w:tc>
          <w:tcPr>
            <w:tcW w:type="dxa" w:w="1123"/>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Construct bridge</w:t>
            </w:r>
          </w:p>
        </w:tc>
        <w:tc>
          <w:tcPr>
            <w:tcW w:type="dxa" w:w="1555"/>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5"/>
              </w:rPr>
              <w:t>Primary role</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Multisite working memory</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OSF xzv9t; Franco-Martinez et al. 2026</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531 participants; 19 laboratories; 720 trials each</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Behavior</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Masked cue, delayed discrimination, graded awareness</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 - K_memory - S</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Large-sample behavioral anchor; leave-one-laboratory-out prediction</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Masked-content fMRI</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Article-linked open fMRI release; Mei et al. 2022</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7 densely sampled participants</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fMRI</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Visibility varies while category information is decoded</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 - K_content - R - S</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Within-participant content representation at low E</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BMVP report/no-report</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NITRC BMVP release; Kronemer et al. 2022</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Behavior n=68; EEG n=65; fMRI report n=34; larger combined no-report sample; thalamic subset</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Behavior, eye tracking, EEG, fMRI, depth</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Perceived/unperceived crossed with report/no-report</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 - R - S</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Experience-related component independent of explicit report and ocular activity</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COGITATE</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Persistent COGITATE DOI bundles and XNAT</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fMRI n=118; MEG-EEG n=100; iEEG n=38</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fMRI, MEG, EEG, iEEG</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Task relevance, target status, category, duration, orientation</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K_task - R - S</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Cross-modal task and response factorization with shared paradigm</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Propofol covert volition</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OpenNeuro ds006623 v1.0.0</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26 healthy adults</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Task/rest fMRI, force, dose</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Graded propofol; imagery; actual hand squeeze</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A - K_volition - R</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Cognitive operation during behavioral unresponsiveness; loss/recovery trajectories</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DREAM open subsets</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DREAM repository; Wong et al. 2025</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Initial database: 20 datasets, 505 participants, 2,643 awakenings; open subsets only</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EEG and MEG</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Experience, experience without recall, no experience across sleep stages</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 - A - recall</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Within-stage experience contrast and broad replication</w:t>
            </w:r>
          </w:p>
        </w:tc>
      </w:tr>
      <w:tr>
        <w:trPr>
          <w:cantSplit/>
        </w:trPr>
        <w:tc>
          <w:tcPr>
            <w:tcW w:type="dxa" w:w="1123"/>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5"/>
              </w:rPr>
              <w:t>Propofol repeated awakening</w:t>
            </w:r>
          </w:p>
        </w:tc>
        <w:tc>
          <w:tcPr>
            <w:tcW w:type="dxa" w:w="146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OpenNeuro ds005620 v1.0.0</w:t>
            </w:r>
          </w:p>
        </w:tc>
        <w:tc>
          <w:tcPr>
            <w:tcW w:type="dxa" w:w="14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20 participants; 52 attempted awakenings; 24 experience, 5 no experience, 23 no information</w:t>
            </w:r>
          </w:p>
        </w:tc>
        <w:tc>
          <w:tcPr>
            <w:tcW w:type="dxa" w:w="97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EEG and TMS-EEG</w:t>
            </w:r>
          </w:p>
        </w:tc>
        <w:tc>
          <w:tcPr>
            <w:tcW w:type="dxa" w:w="180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Immediate report within deep sedation</w:t>
            </w:r>
          </w:p>
        </w:tc>
        <w:tc>
          <w:tcPr>
            <w:tcW w:type="dxa" w:w="1123"/>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E - A - delayed R</w:t>
            </w:r>
          </w:p>
        </w:tc>
        <w:tc>
          <w:tcPr>
            <w:tcW w:type="dxa" w:w="1555"/>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5"/>
              </w:rPr>
              <w:t>Within-state supporting validation; complexity specificity</w:t>
            </w:r>
          </w:p>
        </w:tc>
      </w:tr>
    </w:tbl>
    <w:p>
      <w:pPr>
        <w:widowControl/>
        <w:spacing w:after="0"/>
      </w:pPr>
    </w:p>
    <w:p>
      <w:pPr>
        <w:pStyle w:val="Heading3"/>
        <w:widowControl/>
      </w:pPr>
      <w:r>
        <w:rPr>
          <w:rFonts w:ascii="Times New Roman" w:hAnsi="Times New Roman" w:eastAsia="Times New Roman"/>
          <w:b/>
          <w:i/>
          <w:color w:val="000000"/>
          <w:sz w:val="24"/>
        </w:rPr>
        <w:t>3.1 Multisite unconscious working-memory behavior</w:t>
      </w:r>
    </w:p>
    <w:p>
      <w:pPr>
        <w:widowControl/>
        <w:jc w:val="both"/>
      </w:pPr>
      <w:r>
        <w:rPr>
          <w:rFonts w:ascii="Times New Roman" w:hAnsi="Times New Roman" w:eastAsia="Times New Roman"/>
          <w:color w:val="000000"/>
          <w:sz w:val="24"/>
        </w:rPr>
        <w:t>The 2026 multisite Registered Report contains 531 participants from 19 laboratories, with 720 trials per participant across two sessions and materials, data, codebooks, and scripts openly available through OSF [18]. Participants retained a briefly presented and masked Gabor orientation across a 2-s delay, judged the rotation of a test Gabor, and then rated awareness on a four-point Perceptual Awareness Scale. Cue-present, cue-absent, and supraliminal trials provide positive and negative controls. The resource identifies the relation between E and delayed-maintenance performance K_memory at large scale, with laboratory, language, session, reliability, stimulus contrast, and cue presence explicitly modeled.</w:t>
      </w:r>
    </w:p>
    <w:p>
      <w:pPr>
        <w:widowControl/>
        <w:jc w:val="both"/>
      </w:pPr>
      <w:r>
        <w:rPr>
          <w:rFonts w:ascii="Times New Roman" w:hAnsi="Times New Roman" w:eastAsia="Times New Roman"/>
          <w:color w:val="000000"/>
          <w:sz w:val="24"/>
        </w:rPr>
        <w:t>The proposed reanalysis will not define all PAS=1 trials as unconscious and compare their mean accuracy with 0.5. Instead, it will fit a hierarchical ordinal measurement model for PAS, a psychometric model linking stimulus contrast and cue presence to latent sensory evidence, and a trial-level delayed-discrimination model. This yields a posterior distribution for E rather than a hard category. The principal behavioral question is whether K_memory retains predictive information after uncertainty in E and measurement reliability is propagated, and whether a one-factor E-K model predicts held-out laboratories as well as a two-component model.</w:t>
      </w:r>
    </w:p>
    <w:p>
      <w:pPr>
        <w:pStyle w:val="Heading3"/>
        <w:widowControl/>
      </w:pPr>
      <w:r>
        <w:rPr>
          <w:rFonts w:ascii="Times New Roman" w:hAnsi="Times New Roman" w:eastAsia="Times New Roman"/>
          <w:b/>
          <w:i/>
          <w:color w:val="000000"/>
          <w:sz w:val="24"/>
        </w:rPr>
        <w:t>3.2 Masked-content fMRI</w:t>
      </w:r>
    </w:p>
    <w:p>
      <w:pPr>
        <w:widowControl/>
        <w:jc w:val="both"/>
      </w:pPr>
      <w:r>
        <w:rPr>
          <w:rFonts w:ascii="Times New Roman" w:hAnsi="Times New Roman" w:eastAsia="Times New Roman"/>
          <w:color w:val="000000"/>
          <w:sz w:val="24"/>
        </w:rPr>
        <w:t>The masked-content fMRI resource includes densely sampled participants performing living-versus-nonliving discrimination with trialwise visibility judgments [15]. Its main value is not population prevalence but within-participant neural precision. It identifies E through graded visibility and K_content through stimulus-category information. The confirmatory contrast asks whether content geometry is preserved at low E and whether the neural direction carrying category information is separable from the direction carrying visibility after stimulus energy, accuracy, and response are modeled.</w:t>
      </w:r>
    </w:p>
    <w:p>
      <w:pPr>
        <w:widowControl/>
        <w:jc w:val="both"/>
      </w:pPr>
      <w:r>
        <w:rPr>
          <w:rFonts w:ascii="Times New Roman" w:hAnsi="Times New Roman" w:eastAsia="Times New Roman"/>
          <w:color w:val="000000"/>
          <w:sz w:val="24"/>
        </w:rPr>
        <w:t>Because the published participant sample is small, inference will emphasize subject-replicated effects, run-level cross-validation, and uncertainty. No population-wide conclusion will rest solely on this family. Data-access verification will require that the downloaded BIDS title, article DOI, release DOI, and expected task files agree before preprocessing.</w:t>
      </w:r>
    </w:p>
    <w:p>
      <w:pPr>
        <w:pStyle w:val="Heading3"/>
        <w:widowControl/>
      </w:pPr>
      <w:r>
        <w:rPr>
          <w:rFonts w:ascii="Times New Roman" w:hAnsi="Times New Roman" w:eastAsia="Times New Roman"/>
          <w:b/>
          <w:i/>
          <w:color w:val="000000"/>
          <w:sz w:val="24"/>
        </w:rPr>
        <w:t>3.3 BMVP report and no-report multimodal resource</w:t>
      </w:r>
    </w:p>
    <w:p>
      <w:pPr>
        <w:widowControl/>
        <w:jc w:val="both"/>
      </w:pPr>
      <w:r>
        <w:rPr>
          <w:rFonts w:ascii="Times New Roman" w:hAnsi="Times New Roman" w:eastAsia="Times New Roman"/>
          <w:color w:val="000000"/>
          <w:sz w:val="24"/>
        </w:rPr>
        <w:t>The BMVP resource was designed to dissociate visual perception from explicit report and eye-movement activity [19]. Physically matched threshold stimuli were classified as perceived or unperceived in report and no-report paradigms, with covert labels supported by eye and pupil measurements. The broader project includes behavioral observations, scalp EEG, fMRI, and a smaller thalamic depth-electrode sample. This family identifies E while experimentally varying R, and therefore directly tests whether neural effects attributed to perception collapse into response-related geometry.</w:t>
      </w:r>
    </w:p>
    <w:p>
      <w:pPr>
        <w:widowControl/>
        <w:jc w:val="both"/>
      </w:pPr>
      <w:r>
        <w:rPr>
          <w:rFonts w:ascii="Times New Roman" w:hAnsi="Times New Roman" w:eastAsia="Times New Roman"/>
          <w:color w:val="000000"/>
          <w:sz w:val="24"/>
        </w:rPr>
        <w:t>The primary BMVP model is a factorial E x R design with stimulus presence, contrast, run, and ocular features as covariates. No-report labels will be probabilistic, based on the published covert-classification approach and its uncertainty, rather than treated as error-free ground truth. Report trials will be used to calibrate the relation between pupil or eye features and subjective perception within participant. Calibration and evaluation trials will be separated to prevent circular labeling. The principal contrast is the E component common to report and no-report conditions after response and ocular variance are removed.</w:t>
      </w:r>
    </w:p>
    <w:p>
      <w:pPr>
        <w:pStyle w:val="Heading3"/>
        <w:widowControl/>
      </w:pPr>
      <w:r>
        <w:rPr>
          <w:rFonts w:ascii="Times New Roman" w:hAnsi="Times New Roman" w:eastAsia="Times New Roman"/>
          <w:b/>
          <w:i/>
          <w:color w:val="000000"/>
          <w:sz w:val="24"/>
        </w:rPr>
        <w:t>3.4 COGITATE fMRI, simultaneous MEG-EEG, and iEEG</w:t>
      </w:r>
    </w:p>
    <w:p>
      <w:pPr>
        <w:widowControl/>
        <w:jc w:val="both"/>
      </w:pPr>
      <w:r>
        <w:rPr>
          <w:rFonts w:ascii="Times New Roman" w:hAnsi="Times New Roman" w:eastAsia="Times New Roman"/>
          <w:color w:val="000000"/>
          <w:sz w:val="24"/>
        </w:rPr>
        <w:t>COGITATE provides independent fMRI, simultaneous MEG-EEG, and iEEG cohorts collected with a common visual paradigm [20-23]. The released fMRI resource contains data from 118 participants. The simultaneous MEG-EEG release retains 100 participants across two sites, and the iEEG resource contains 38 patients across three centers. Participants viewed clearly visible faces, objects, letters, and false fonts at multiple orientations and durations while performing a nonspeeded target-detection task. Across mini-blocks, particular stimuli became targets, task-relevant nontargets, or task-irrelevant items.</w:t>
      </w:r>
    </w:p>
    <w:p>
      <w:pPr>
        <w:widowControl/>
        <w:jc w:val="both"/>
      </w:pPr>
      <w:r>
        <w:rPr>
          <w:rFonts w:ascii="Times New Roman" w:hAnsi="Times New Roman" w:eastAsia="Times New Roman"/>
          <w:color w:val="000000"/>
          <w:sz w:val="24"/>
        </w:rPr>
        <w:t>COGITATE is not used as a direct manipulation of E because stimuli were designed to be suprathreshold. Its role is to identify K_task and R while conscious visual availability is high and physical stimulus identity can be modeled. The cleanest K_task contrast is task-relevant nontarget versus task-irrelevant presentation, because neither condition requires a button press. Target versus matched task-relevant nontarget and motor-localizer information identify R, with target rarity and stimulus identity controlled. Shared design across modalities permits a stringent second-order convergence test: fMRI, MEG-EEG, and iEEG should favor the same construct architecture even though their raw features, spatial coverage, and timescales differ.</w:t>
      </w:r>
    </w:p>
    <w:p>
      <w:pPr>
        <w:pStyle w:val="Heading3"/>
        <w:widowControl/>
      </w:pPr>
      <w:r>
        <w:rPr>
          <w:rFonts w:ascii="Times New Roman" w:hAnsi="Times New Roman" w:eastAsia="Times New Roman"/>
          <w:b/>
          <w:i/>
          <w:color w:val="000000"/>
          <w:sz w:val="24"/>
        </w:rPr>
        <w:t>3.5 Propofol covert-volition fMRI</w:t>
      </w:r>
    </w:p>
    <w:p>
      <w:pPr>
        <w:widowControl/>
        <w:jc w:val="both"/>
      </w:pPr>
      <w:r>
        <w:rPr>
          <w:rFonts w:ascii="Times New Roman" w:hAnsi="Times New Roman" w:eastAsia="Times New Roman"/>
          <w:color w:val="000000"/>
          <w:sz w:val="24"/>
        </w:rPr>
        <w:t>The open propofol fMRI resource contains 26 healthy adults studied during graded sedation, including tennis imagery, spatial-navigation imagery, imagined hand squeeze, actual hand squeeze, resting-state scans, propofol infusion profiles, and force measurements [24]. The resource includes periods before loss of responsiveness, during behavioral unresponsiveness, and after recovery. It identifies A through dose and state transition, K_volition through command-following imagery patterns, and R through force-measured hand squeeze.</w:t>
      </w:r>
    </w:p>
    <w:p>
      <w:pPr>
        <w:widowControl/>
        <w:jc w:val="both"/>
      </w:pPr>
      <w:r>
        <w:rPr>
          <w:rFonts w:ascii="Times New Roman" w:hAnsi="Times New Roman" w:eastAsia="Times New Roman"/>
          <w:color w:val="000000"/>
          <w:sz w:val="24"/>
        </w:rPr>
        <w:t>Behavioral unresponsiveness will never be coded as E=0. The primary analysis trains participant-specific and group-level imagery templates on responsive baseline runs and tests their expression during sedation. A is modeled continuously using available infusion or estimated effect-site concentration, with PreLOR, LOR, and ROR periods as secondary categorical descriptions. R is derived from force traces rather than instruction timing alone. The critical test is whether K_volition contributes unique neural information during R=0 after A is modeled, and whether the architecture represents loss and recovery as movement primarily along A, R, K, or a common global axis.</w:t>
      </w:r>
    </w:p>
    <w:p>
      <w:pPr>
        <w:pStyle w:val="Heading3"/>
        <w:widowControl/>
      </w:pPr>
      <w:r>
        <w:rPr>
          <w:rFonts w:ascii="Times New Roman" w:hAnsi="Times New Roman" w:eastAsia="Times New Roman"/>
          <w:b/>
          <w:i/>
          <w:color w:val="000000"/>
          <w:sz w:val="24"/>
        </w:rPr>
        <w:t>3.6 DREAM sleep M/EEG and mentation database</w:t>
      </w:r>
    </w:p>
    <w:p>
      <w:pPr>
        <w:widowControl/>
        <w:jc w:val="both"/>
      </w:pPr>
      <w:r>
        <w:rPr>
          <w:rFonts w:ascii="Times New Roman" w:hAnsi="Times New Roman" w:eastAsia="Times New Roman"/>
          <w:color w:val="000000"/>
          <w:sz w:val="24"/>
        </w:rPr>
        <w:t>The initial DREAM release aggregates 20 datasets, 505 participants, and 2,643 awakenings linked to sleep EEG or MEG and standardized report categories [25]. Only subsets explicitly marked open and directly downloadable at the data freeze will enter the confirmatory analysis. DREAM distinguishes reported experience, experience without recall, and no experience. It therefore constrains E across variation in A indexed by sleep stage, spectral state, and awakening context.</w:t>
      </w:r>
    </w:p>
    <w:p>
      <w:pPr>
        <w:widowControl/>
        <w:jc w:val="both"/>
      </w:pPr>
      <w:r>
        <w:rPr>
          <w:rFonts w:ascii="Times New Roman" w:hAnsi="Times New Roman" w:eastAsia="Times New Roman"/>
          <w:color w:val="000000"/>
          <w:sz w:val="24"/>
        </w:rPr>
        <w:t>The primary contrast is experience versus no experience within the same scored sleep stage and dataset. Experience without recall is not collapsed with either category; it is treated as an ambiguous observation in the latent measurement model and examined separately. Dataset, laboratory, montage, awakening method, prior-awakening count, time of night, and available report-protocol variables will enter hierarchical nuisance terms. The analysis will focus on the 60 s preceding awakening, with 20-s and 30-s windows as preregistered sensitivity analyses. DREAM supplies broad replication, while within-stage matching prevents wakefulness or REM status from serving as a surrogate definition of E.</w:t>
      </w:r>
    </w:p>
    <w:p>
      <w:pPr>
        <w:pStyle w:val="Heading3"/>
        <w:widowControl/>
      </w:pPr>
      <w:r>
        <w:rPr>
          <w:rFonts w:ascii="Times New Roman" w:hAnsi="Times New Roman" w:eastAsia="Times New Roman"/>
          <w:b/>
          <w:i/>
          <w:color w:val="000000"/>
          <w:sz w:val="24"/>
        </w:rPr>
        <w:t>3.7 Repeated-awakening propofol EEG and TMS-EEG</w:t>
      </w:r>
    </w:p>
    <w:p>
      <w:pPr>
        <w:widowControl/>
        <w:jc w:val="both"/>
      </w:pPr>
      <w:r>
        <w:rPr>
          <w:rFonts w:ascii="Times New Roman" w:hAnsi="Times New Roman" w:eastAsia="Times New Roman"/>
          <w:color w:val="000000"/>
          <w:sz w:val="24"/>
        </w:rPr>
        <w:t>The repeated-awakening propofol dataset includes 20 healthy participants, resting EEG, TMS-EEG, and immediate reports obtained after repeated awakenings from deep sedation [26]. The public OpenNeuro release is BIDS organized. The published sample contains substantially more experience than no-experience reports, and many attempted awakenings provide no usable report. Accordingly, this family is used as a supporting within-state validation, not as a stand-alone powered test.</w:t>
      </w:r>
    </w:p>
    <w:p>
      <w:pPr>
        <w:widowControl/>
        <w:jc w:val="both"/>
      </w:pPr>
      <w:r>
        <w:rPr>
          <w:rFonts w:ascii="Times New Roman" w:hAnsi="Times New Roman" w:eastAsia="Times New Roman"/>
          <w:color w:val="000000"/>
          <w:sz w:val="24"/>
        </w:rPr>
        <w:t>E is inferred from the combined immediate questions about whether anything was experienced and what was experienced. A is constrained by the deep-sedation protocol, available dose information, RASS assessment, and physiological features. The primary analysis uses spontaneous EEG immediately preceding awakening; TMS-evoked features are secondary because their acquisition may be temporally farther from the report. No-information awakenings are missing labels, not no-experience observations. Their neural features will be used only in a pattern-mixture sensitivity analysis that asks how extreme their unobserved E distribution would need to be to change the conclusion.</w:t>
      </w:r>
    </w:p>
    <w:p>
      <w:pPr>
        <w:pStyle w:val="Heading2"/>
        <w:widowControl/>
      </w:pPr>
      <w:r>
        <w:rPr>
          <w:rFonts w:ascii="Times New Roman" w:hAnsi="Times New Roman" w:eastAsia="Times New Roman"/>
          <w:b/>
          <w:i w:val="0"/>
          <w:color w:val="000000"/>
          <w:sz w:val="26"/>
        </w:rPr>
        <w:t>4. Construct definitions and measurement models</w:t>
      </w:r>
    </w:p>
    <w:p>
      <w:pPr>
        <w:pStyle w:val="Heading3"/>
        <w:widowControl/>
      </w:pPr>
      <w:r>
        <w:rPr>
          <w:rFonts w:ascii="Times New Roman" w:hAnsi="Times New Roman" w:eastAsia="Times New Roman"/>
          <w:b/>
          <w:i/>
          <w:color w:val="000000"/>
          <w:sz w:val="24"/>
        </w:rPr>
        <w:t>4.1 Experiential status, E</w:t>
      </w:r>
    </w:p>
    <w:p>
      <w:pPr>
        <w:widowControl/>
        <w:jc w:val="both"/>
      </w:pPr>
      <w:r>
        <w:rPr>
          <w:rFonts w:ascii="Times New Roman" w:hAnsi="Times New Roman" w:eastAsia="Times New Roman"/>
          <w:color w:val="000000"/>
          <w:sz w:val="24"/>
        </w:rPr>
        <w:t>E is a latent variable representing the probability and graded strength of conscious experience supported by the available evidence in a given paradigm. It is not equated with a particular button press, verbal response, sleep stage, or behavioral-responsiveness category. The observed experience indicator o_E is generated by a dataset-specific measurement link:</w:t>
      </w:r>
    </w:p>
    <w:p>
      <w:pPr>
        <w:keepLines/>
        <w:widowControl/>
        <w:spacing w:before="80" w:after="120"/>
      </w:pPr>
      <m:oMathPara>
        <m:oMathParaPr>
          <m:jc m:val="center"/>
        </m:oMathParaPr>
        <m:oMath>
          <m:r>
            <m:t>p</m:t>
          </m:r>
          <m:r>
            <m:t>​</m:t>
          </m:r>
          <m:d>
            <m:dPr>
              <m:begChr m:val="("/>
              <m:endChr m:val=")"/>
              <m:sepChr m:val=""/>
              <m:grow/>
            </m:dPr>
            <m:e>
              <m:sSub>
                <m:e>
                  <m:r>
                    <m:t>o</m:t>
                  </m:r>
                </m:e>
                <m:sub>
                  <m:r>
                    <m:t>E</m:t>
                  </m:r>
                </m:sub>
              </m:sSub>
              <m:r>
                <m:rPr>
                  <m:sty m:val="p"/>
                </m:rPr>
                <m:t>∣</m:t>
              </m:r>
              <m:r>
                <m:t>E</m:t>
              </m:r>
              <m:r>
                <m:rPr>
                  <m:sty m:val="p"/>
                </m:rPr>
                <m:t>,</m:t>
              </m:r>
              <m:sSub>
                <m:e>
                  <m:r>
                    <m:t>q</m:t>
                  </m:r>
                </m:e>
                <m:sub>
                  <m:r>
                    <m:t>d</m:t>
                  </m:r>
                </m:sub>
              </m:sSub>
              <m:r>
                <m:rPr>
                  <m:sty m:val="p"/>
                </m:rPr>
                <m:t>,</m:t>
              </m:r>
              <m:sSub>
                <m:e>
                  <m:r>
                    <m:rPr>
                      <m:sty m:val="b"/>
                    </m:rPr>
                    <m:t>x</m:t>
                  </m:r>
                </m:e>
                <m:sub>
                  <m:r>
                    <m:t>i</m:t>
                  </m:r>
                </m:sub>
              </m:sSub>
            </m:e>
          </m:d>
          <m:r>
            <m:rPr>
              <m:sty m:val="p"/>
            </m:rPr>
            <m:t>,</m:t>
          </m:r>
        </m:oMath>
      </m:oMathPara>
    </w:p>
    <w:p>
      <w:pPr>
        <w:widowControl/>
        <w:jc w:val="both"/>
      </w:pPr>
      <w:r>
        <w:rPr>
          <w:rFonts w:ascii="Times New Roman" w:hAnsi="Times New Roman" w:eastAsia="Times New Roman"/>
          <w:color w:val="000000"/>
          <w:sz w:val="24"/>
        </w:rPr>
        <w:t>where q_d denotes measurement quality and protocol properties in dataset d, and x_i includes stimulus evidence, recall delay, response availability, and other known determinants of the observation. For ordinal visibility scales, an ordered-logit model links latent E to response thresholds that may vary by participant and site. For binary immediate experience reports, a Bernoulli link is used with participant-level response bias. For no-report paradigms, covert physiological classifications contribute a likelihood with sensitivity and specificity estimated on independent calibration data. For DREAM, experience-without-recall is modeled as interval-censored evidence: experience is plausible, but content accessibility and recall are uncertain.</w:t>
      </w:r>
    </w:p>
    <w:p>
      <w:pPr>
        <w:widowControl/>
        <w:jc w:val="both"/>
      </w:pPr>
      <w:r>
        <w:rPr>
          <w:rFonts w:ascii="Times New Roman" w:hAnsi="Times New Roman" w:eastAsia="Times New Roman"/>
          <w:color w:val="000000"/>
          <w:sz w:val="24"/>
        </w:rPr>
        <w:t>Posterior draws of E will be propagated into neural models through multiple-draw analysis rather than replaced by a single estimated score. Specifically, M=50 posterior construct tables will be generated. Each neural analysis will run on all tables with shared cross-validation splits, and coefficients or log scores will be pooled using Rubin-style within- and between-draw variance decomposition or direct posterior stacking where supported. This procedure prevents awareness-measurement error from being ignored.</w:t>
      </w:r>
    </w:p>
    <w:p>
      <w:pPr>
        <w:pStyle w:val="Heading3"/>
        <w:widowControl/>
      </w:pPr>
      <w:r>
        <w:rPr>
          <w:rFonts w:ascii="Times New Roman" w:hAnsi="Times New Roman" w:eastAsia="Times New Roman"/>
          <w:b/>
          <w:i/>
          <w:color w:val="000000"/>
          <w:sz w:val="24"/>
        </w:rPr>
        <w:t>4.2 Cognitive-operation vector, K</w:t>
      </w:r>
    </w:p>
    <w:p>
      <w:pPr>
        <w:widowControl/>
        <w:jc w:val="both"/>
      </w:pPr>
      <w:r>
        <w:rPr>
          <w:rFonts w:ascii="Times New Roman" w:hAnsi="Times New Roman" w:eastAsia="Times New Roman"/>
          <w:color w:val="000000"/>
          <w:sz w:val="24"/>
        </w:rPr>
        <w:t>K is defined as a vector of operations rather than a general cognition score. K_content denotes information about a stimulus property that is available in behavior or neural patterns beyond physical input alone. K_memory denotes maintenance and use of information across a delay. K_task denotes selection or prioritization by the current task set. K_volition denotes instruction-contingent generation of a specified mental action or image. These components are allowed to correlate, but they are not collapsed in the primary model. A higher-order K_general factor will be tested only as a secondary model after component-specific identifiability is established.</w:t>
      </w:r>
    </w:p>
    <w:p>
      <w:pPr>
        <w:widowControl/>
        <w:jc w:val="both"/>
      </w:pPr>
      <w:r>
        <w:rPr>
          <w:rFonts w:ascii="Times New Roman" w:hAnsi="Times New Roman" w:eastAsia="Times New Roman"/>
          <w:color w:val="000000"/>
          <w:sz w:val="24"/>
        </w:rPr>
        <w:t>Each K variable is anchored by an observable computational requirement. For K_content, evidence includes crossvalidated category or feature information after physical stimulus covariates are controlled. For K_memory, evidence is trialwise delayed discrimination under a measurement model that separates sensitivity, response bias, and E. For K_task, evidence is the same or counterbalanced stimulus under task-relevant versus task-irrelevant instructions without a required response. For K_volition, evidence is a task-specific imagery pattern learned from responsive localizers and expressed during instruction periods. Neural decodability alone is not treated as proof that the represented information was usable by the participant; behavioral and neural K indicators will be reported separately and linked hierarchically.</w:t>
      </w:r>
    </w:p>
    <w:p>
      <w:pPr>
        <w:pStyle w:val="Heading3"/>
        <w:widowControl/>
      </w:pPr>
      <w:r>
        <w:rPr>
          <w:rFonts w:ascii="Times New Roman" w:hAnsi="Times New Roman" w:eastAsia="Times New Roman"/>
          <w:b/>
          <w:i/>
          <w:color w:val="000000"/>
          <w:sz w:val="24"/>
        </w:rPr>
        <w:t>4.3 Arousal and global physiological state, A</w:t>
      </w:r>
    </w:p>
    <w:p>
      <w:pPr>
        <w:widowControl/>
        <w:jc w:val="both"/>
      </w:pPr>
      <w:r>
        <w:rPr>
          <w:rFonts w:ascii="Times New Roman" w:hAnsi="Times New Roman" w:eastAsia="Times New Roman"/>
          <w:color w:val="000000"/>
          <w:sz w:val="24"/>
        </w:rPr>
        <w:t>A contains experimentally or physiologically indexed state variation: sleep stage, propofol concentration or infusion profile, PreLOR/LOR/ROR period, RASS assessment, and continuous spectral or autonomic arousal measures when available. A is modeled because many candidate neural markers, including complexity, integration, and long-range connectivity, vary strongly with global state. The model permits A to affect E, K, and R, but does not use A to define them. In sleep analyses, stage is both a matching variable and a modeled effect. In anesthesia, continuous dose is preferred to coarse state labels, with hysteresis between loss and recovery explicitly tested.</w:t>
      </w:r>
    </w:p>
    <w:p>
      <w:pPr>
        <w:pStyle w:val="Heading3"/>
        <w:widowControl/>
      </w:pPr>
      <w:r>
        <w:rPr>
          <w:rFonts w:ascii="Times New Roman" w:hAnsi="Times New Roman" w:eastAsia="Times New Roman"/>
          <w:b/>
          <w:i/>
          <w:color w:val="000000"/>
          <w:sz w:val="24"/>
        </w:rPr>
        <w:t>4.4 Report or action output, R</w:t>
      </w:r>
    </w:p>
    <w:p>
      <w:pPr>
        <w:widowControl/>
        <w:jc w:val="both"/>
      </w:pPr>
      <w:r>
        <w:rPr>
          <w:rFonts w:ascii="Times New Roman" w:hAnsi="Times New Roman" w:eastAsia="Times New Roman"/>
          <w:color w:val="000000"/>
          <w:sz w:val="24"/>
        </w:rPr>
        <w:t>R represents overt output and its preparation. It includes manual target responses, force-measured hand squeeze, trialwise visibility reports, and verbal awakening reports. Distinct output channels will be retained as separate observed variables and linked to a common R component only where supported. Report availability, report content, and motor execution are not identical. For example, a no-report block removes an immediate perceptual report but may retain covert orienting; an awakening report occurs after the neural window and may fail through amnesia. The design matrix will therefore distinguish R_prepare, R_execute, and R_delayed_report when the data allow.</w:t>
      </w:r>
    </w:p>
    <w:p>
      <w:pPr>
        <w:pStyle w:val="Heading3"/>
        <w:widowControl/>
      </w:pPr>
      <w:r>
        <w:rPr>
          <w:rFonts w:ascii="Times New Roman" w:hAnsi="Times New Roman" w:eastAsia="Times New Roman"/>
          <w:b/>
          <w:i/>
          <w:color w:val="000000"/>
          <w:sz w:val="24"/>
        </w:rPr>
        <w:t>4.5 Sensory evidence and nuisance structure, S</w:t>
      </w:r>
    </w:p>
    <w:p>
      <w:pPr>
        <w:widowControl/>
        <w:jc w:val="both"/>
      </w:pPr>
      <w:r>
        <w:rPr>
          <w:rFonts w:ascii="Times New Roman" w:hAnsi="Times New Roman" w:eastAsia="Times New Roman"/>
          <w:color w:val="000000"/>
          <w:sz w:val="24"/>
        </w:rPr>
        <w:t>S captures physical and early sensory determinants that could mimic E or K. It includes stimulus presence, contrast, duration, category, orientation, retinal location, mask properties, trial history, and low-level image embeddings where stimuli are available. S also includes instruction cue onset for imagery tasks and acoustic or somatosensory consequences of motor commands. Dataset-specific nuisance variables include reaction time, run, head motion, eye position, pupil baseline, channel count, electrode coverage, sleep-stage confidence, medication, site, and acquisition system. Nuisance regression is performed inside training folds to prevent leakage.</w:t>
      </w:r>
    </w:p>
    <w:p>
      <w:pPr>
        <w:pStyle w:val="Heading3"/>
        <w:widowControl/>
      </w:pPr>
      <w:r>
        <w:rPr>
          <w:rFonts w:ascii="Times New Roman" w:hAnsi="Times New Roman" w:eastAsia="Times New Roman"/>
          <w:b/>
          <w:i/>
          <w:color w:val="000000"/>
          <w:sz w:val="24"/>
        </w:rPr>
        <w:t>4.6 Construct-map governance</w:t>
      </w:r>
    </w:p>
    <w:p>
      <w:pPr>
        <w:widowControl/>
        <w:jc w:val="both"/>
      </w:pPr>
      <w:r>
        <w:rPr>
          <w:rFonts w:ascii="Times New Roman" w:hAnsi="Times New Roman" w:eastAsia="Times New Roman"/>
          <w:color w:val="000000"/>
          <w:sz w:val="24"/>
        </w:rPr>
        <w:t>Every condition-to-construct assignment will be encoded in human-readable YAML and reviewed before confirmatory outcomes are exposed. A construct map must state: the observed variable; the latent construct; direction and scale; measurement uncertainty; variables held constant; plausible alternative interpretation; and the contrast or model component it enters. At least two investigators will independently review maps. Disagreement will be resolved using task documentation, not neural results. The final maps will be versioned and hashed. Exploratory remappings are permitted only in a separate namespace and will be labeled as such.</w:t>
      </w:r>
    </w:p>
    <w:p>
      <w:pPr>
        <w:pStyle w:val="Heading2"/>
        <w:widowControl/>
      </w:pPr>
      <w:r>
        <w:rPr>
          <w:rFonts w:ascii="Times New Roman" w:hAnsi="Times New Roman" w:eastAsia="Times New Roman"/>
          <w:b/>
          <w:i w:val="0"/>
          <w:color w:val="000000"/>
          <w:sz w:val="26"/>
        </w:rPr>
        <w:t>5. Competing architectures and formal model specification</w:t>
      </w:r>
    </w:p>
    <w:p>
      <w:pPr>
        <w:pStyle w:val="Heading3"/>
        <w:widowControl/>
      </w:pPr>
      <w:r>
        <w:rPr>
          <w:rFonts w:ascii="Times New Roman" w:hAnsi="Times New Roman" w:eastAsia="Times New Roman"/>
          <w:b/>
          <w:i/>
          <w:color w:val="000000"/>
          <w:sz w:val="24"/>
        </w:rPr>
        <w:t>5.1 General observation model</w:t>
      </w:r>
    </w:p>
    <w:p>
      <w:pPr>
        <w:widowControl/>
        <w:jc w:val="both"/>
      </w:pPr>
      <w:r>
        <w:rPr>
          <w:rFonts w:ascii="Times New Roman" w:hAnsi="Times New Roman" w:eastAsia="Times New Roman"/>
          <w:color w:val="000000"/>
          <w:sz w:val="24"/>
        </w:rPr>
        <w:t>For dataset d, participant s, and condition or trial i, let y_dsi be a multivariate neural pattern after modality-appropriate preprocessing and noise normalization. Let f_dsi contain the construct values [E, A, R, K_content, K_memory, K_task, K_volition], let c_dsi contain sensory variables S, and let n_dsi contain nuisance covariates. The first-level observation model is:</w:t>
      </w:r>
    </w:p>
    <w:p>
      <w:pPr>
        <w:keepLines/>
        <w:widowControl/>
        <w:spacing w:before="80" w:after="120"/>
      </w:pPr>
      <m:oMathPara>
        <m:oMathParaPr>
          <m:jc m:val="center"/>
        </m:oMathParaPr>
        <m:oMath>
          <m:sSub>
            <m:e>
              <m:r>
                <m:rPr>
                  <m:sty m:val="b"/>
                </m:rPr>
                <m:t>y</m:t>
              </m:r>
            </m:e>
            <m:sub>
              <m:r>
                <m:t>d</m:t>
              </m:r>
              <m:r>
                <m:t>s</m:t>
              </m:r>
              <m:r>
                <m:t>i</m:t>
              </m:r>
            </m:sub>
          </m:sSub>
          <m:r>
            <m:rPr>
              <m:sty m:val="p"/>
            </m:rPr>
            <m:t>=</m:t>
          </m:r>
          <m:sSub>
            <m:e>
              <m:r>
                <m:rPr>
                  <m:sty m:val="b"/>
                </m:rPr>
                <m:t>b</m:t>
              </m:r>
            </m:e>
            <m:sub>
              <m:r>
                <m:t>d</m:t>
              </m:r>
              <m:r>
                <m:t>s</m:t>
              </m:r>
            </m:sub>
          </m:sSub>
          <m:r>
            <m:rPr>
              <m:sty m:val="p"/>
            </m:rPr>
            <m:t>+</m:t>
          </m:r>
          <m:sSub>
            <m:e>
              <m:r>
                <m:rPr>
                  <m:sty m:val="b"/>
                </m:rPr>
                <m:t>W</m:t>
              </m:r>
            </m:e>
            <m:sub>
              <m:r>
                <m:t>d</m:t>
              </m:r>
            </m:sub>
          </m:sSub>
          <m:sSub>
            <m:e>
              <m:r>
                <m:rPr>
                  <m:sty m:val="b"/>
                </m:rPr>
                <m:t>f</m:t>
              </m:r>
            </m:e>
            <m:sub>
              <m:r>
                <m:t>d</m:t>
              </m:r>
              <m:r>
                <m:t>s</m:t>
              </m:r>
              <m:r>
                <m:t>i</m:t>
              </m:r>
            </m:sub>
          </m:sSub>
          <m:r>
            <m:rPr>
              <m:sty m:val="p"/>
            </m:rPr>
            <m:t>+</m:t>
          </m:r>
          <m:sSub>
            <m:e>
              <m:r>
                <m:rPr>
                  <m:sty m:val="b"/>
                </m:rPr>
                <m:t>V</m:t>
              </m:r>
            </m:e>
            <m:sub>
              <m:r>
                <m:t>d</m:t>
              </m:r>
            </m:sub>
          </m:sSub>
          <m:sSub>
            <m:e>
              <m:r>
                <m:rPr>
                  <m:sty m:val="b"/>
                </m:rPr>
                <m:t>c</m:t>
              </m:r>
            </m:e>
            <m:sub>
              <m:r>
                <m:t>d</m:t>
              </m:r>
              <m:r>
                <m:t>s</m:t>
              </m:r>
              <m:r>
                <m:t>i</m:t>
              </m:r>
            </m:sub>
          </m:sSub>
          <m:r>
            <m:rPr>
              <m:sty m:val="p"/>
            </m:rPr>
            <m:t>+</m:t>
          </m:r>
          <m:sSub>
            <m:e>
              <m:r>
                <m:rPr>
                  <m:sty m:val="b"/>
                </m:rPr>
                <m:t>Q</m:t>
              </m:r>
            </m:e>
            <m:sub>
              <m:r>
                <m:t>d</m:t>
              </m:r>
            </m:sub>
          </m:sSub>
          <m:sSub>
            <m:e>
              <m:r>
                <m:rPr>
                  <m:sty m:val="b"/>
                </m:rPr>
                <m:t>n</m:t>
              </m:r>
            </m:e>
            <m:sub>
              <m:r>
                <m:t>d</m:t>
              </m:r>
              <m:r>
                <m:t>s</m:t>
              </m:r>
              <m:r>
                <m:t>i</m:t>
              </m:r>
            </m:sub>
          </m:sSub>
          <m:r>
            <m:rPr>
              <m:sty m:val="p"/>
            </m:rPr>
            <m:t>+</m:t>
          </m:r>
          <m:sSub>
            <m:e>
              <m:r>
                <m:rPr>
                  <m:sty m:val="b"/>
                </m:rPr>
                <m:t>u</m:t>
              </m:r>
            </m:e>
            <m:sub>
              <m:r>
                <m:t>d</m:t>
              </m:r>
              <m:r>
                <m:t>s</m:t>
              </m:r>
            </m:sub>
          </m:sSub>
          <m:r>
            <m:rPr>
              <m:sty m:val="p"/>
            </m:rPr>
            <m:t>+</m:t>
          </m:r>
          <m:sSub>
            <m:e>
              <m:r>
                <m:rPr>
                  <m:sty m:val="b"/>
                </m:rPr>
                <m:t>ε</m:t>
              </m:r>
            </m:e>
            <m:sub>
              <m:r>
                <m:t>d</m:t>
              </m:r>
              <m:r>
                <m:t>s</m:t>
              </m:r>
              <m:r>
                <m:t>i</m:t>
              </m:r>
            </m:sub>
          </m:sSub>
          <m:r>
            <m:rPr>
              <m:sty m:val="p"/>
            </m:rPr>
            <m:t>.</m:t>
          </m:r>
        </m:oMath>
      </m:oMathPara>
    </w:p>
    <w:p>
      <w:pPr>
        <w:widowControl/>
        <w:jc w:val="both"/>
      </w:pPr>
      <w:r>
        <w:rPr>
          <w:rFonts w:ascii="Times New Roman" w:hAnsi="Times New Roman" w:eastAsia="Times New Roman"/>
          <w:color w:val="000000"/>
          <w:sz w:val="24"/>
        </w:rPr>
        <w:t>Here b_ds is a participant-specific baseline, W_d contains construct loadings in the dataset's feature space, V_d contains sensory loadings, Q_d contains nuisance loadings, u_ds represents run or session random effects, and ε_dsi is noise with covariance estimated from independent residuals. The same construct architecture constrains W_d or the second moment W_d W_d^T across datasets, but the raw loadings are not assumed identical across MRI, scalp electrophysiology, and intracranial recordings.</w:t>
      </w:r>
    </w:p>
    <w:p>
      <w:pPr>
        <w:widowControl/>
        <w:jc w:val="both"/>
      </w:pPr>
      <w:r>
        <w:rPr>
          <w:rFonts w:ascii="Times New Roman" w:hAnsi="Times New Roman" w:eastAsia="Times New Roman"/>
          <w:color w:val="000000"/>
          <w:sz w:val="24"/>
        </w:rPr>
        <w:t>The principal representational object is the crossvalidated second-moment matrix G_d of condition patterns. Candidate models express G_d as a weighted combination of preregistered component matrices C_dq:</w:t>
      </w:r>
    </w:p>
    <w:p>
      <w:pPr>
        <w:keepLines/>
        <w:widowControl/>
        <w:spacing w:before="80" w:after="120"/>
      </w:pPr>
      <m:oMathPara>
        <m:oMathParaPr>
          <m:jc m:val="center"/>
        </m:oMathParaPr>
        <m:oMath>
          <m:sSub>
            <m:e>
              <m:r>
                <m:rPr>
                  <m:sty m:val="b"/>
                </m:rPr>
                <m:t>G</m:t>
              </m:r>
            </m:e>
            <m:sub>
              <m:r>
                <m:t>d</m:t>
              </m:r>
            </m:sub>
          </m:sSub>
          <m:d>
            <m:dPr>
              <m:begChr m:val="("/>
              <m:endChr m:val=")"/>
              <m:sepChr m:val=""/>
              <m:grow/>
            </m:dPr>
            <m:e>
              <m:r>
                <m:t>M</m:t>
              </m:r>
            </m:e>
          </m:d>
          <m:r>
            <m:rPr>
              <m:sty m:val="p"/>
            </m:rPr>
            <m:t>=</m:t>
          </m:r>
          <m:nary>
            <m:naryPr>
              <m:chr m:val="∑"/>
              <m:limLoc m:val="undOvr"/>
              <m:subHide m:val="off"/>
              <m:supHide m:val="on"/>
            </m:naryPr>
            <m:sub>
              <m:r>
                <m:t>q</m:t>
              </m:r>
            </m:sub>
            <m:sup>
              <m:r>
                <m:t>​</m:t>
              </m:r>
            </m:sup>
            <m:e>
              <m:sSub>
                <m:e>
                  <m:r>
                    <m:t>θ</m:t>
                  </m:r>
                </m:e>
                <m:sub>
                  <m:r>
                    <m:t>d</m:t>
                  </m:r>
                  <m:r>
                    <m:t>q</m:t>
                  </m:r>
                </m:sub>
              </m:sSub>
            </m:e>
          </m:nary>
          <m:sSub>
            <m:e>
              <m:r>
                <m:rPr>
                  <m:sty m:val="b"/>
                </m:rPr>
                <m:t>C</m:t>
              </m:r>
            </m:e>
            <m:sub>
              <m:r>
                <m:t>d</m:t>
              </m:r>
              <m:r>
                <m:t>q</m:t>
              </m:r>
            </m:sub>
          </m:sSub>
          <m:d>
            <m:dPr>
              <m:begChr m:val="("/>
              <m:endChr m:val=")"/>
              <m:sepChr m:val=""/>
              <m:grow/>
            </m:dPr>
            <m:e>
              <m:r>
                <m:t>M</m:t>
              </m:r>
            </m:e>
          </m:d>
          <m:r>
            <m:rPr>
              <m:sty m:val="p"/>
            </m:rPr>
            <m:t>,</m:t>
          </m:r>
          <m:r>
            <m:t>  </m:t>
          </m:r>
          <m:sSub>
            <m:e>
              <m:r>
                <m:t>θ</m:t>
              </m:r>
            </m:e>
            <m:sub>
              <m:r>
                <m:t>d</m:t>
              </m:r>
              <m:r>
                <m:t>q</m:t>
              </m:r>
            </m:sub>
          </m:sSub>
          <m:r>
            <m:rPr>
              <m:sty m:val="p"/>
            </m:rPr>
            <m:t>≥</m:t>
          </m:r>
          <m:r>
            <m:t>0</m:t>
          </m:r>
          <m:r>
            <m:rPr>
              <m:sty m:val="p"/>
            </m:rPr>
            <m:t>.</m:t>
          </m:r>
        </m:oMath>
      </m:oMathPara>
    </w:p>
    <w:p>
      <w:pPr>
        <w:widowControl/>
        <w:jc w:val="both"/>
      </w:pPr>
      <w:r>
        <w:rPr>
          <w:rFonts w:ascii="Times New Roman" w:hAnsi="Times New Roman" w:eastAsia="Times New Roman"/>
          <w:color w:val="000000"/>
          <w:sz w:val="24"/>
        </w:rPr>
        <w:t>Each C_dq is generated from a construct or interaction design matrix whose values are fixed before neural outcomes are examined. Pattern-component modeling evaluates the likelihood of independent partitions of the data under G_d(M), naturally accounting for noise covariance and avoiding biased interpretation of visually appealing embeddings [35,36]. Representational-similarity analysis using crossnobis distances provides a complementary, more transparent summary [33,34,37].</w:t>
      </w:r>
    </w:p>
    <w:p>
      <w:pPr>
        <w:pStyle w:val="Heading3"/>
        <w:widowControl/>
      </w:pPr>
      <w:r>
        <w:rPr>
          <w:rFonts w:ascii="Times New Roman" w:hAnsi="Times New Roman" w:eastAsia="Times New Roman"/>
          <w:b/>
          <w:i/>
          <w:color w:val="000000"/>
          <w:sz w:val="24"/>
        </w:rPr>
        <w:t>5.2 M0: unitary global-state architecture</w:t>
      </w:r>
    </w:p>
    <w:p>
      <w:pPr>
        <w:widowControl/>
        <w:jc w:val="both"/>
      </w:pPr>
      <w:r>
        <w:rPr>
          <w:rFonts w:ascii="Times New Roman" w:hAnsi="Times New Roman" w:eastAsia="Times New Roman"/>
          <w:color w:val="000000"/>
          <w:sz w:val="24"/>
        </w:rPr>
        <w:t>The unitary model proposes one latent neural direction g that jointly explains E, K, A, and R. Construct observations may differ in reliability, but their neural condition means are constrained to a rank-one subspace after S and nuisance effects are removed:</w:t>
      </w:r>
    </w:p>
    <w:p>
      <w:pPr>
        <w:keepLines/>
        <w:widowControl/>
        <w:spacing w:before="80" w:after="120"/>
      </w:pPr>
      <m:oMathPara>
        <m:oMathParaPr>
          <m:jc m:val="center"/>
        </m:oMathParaPr>
        <m:oMath>
          <m:m>
            <m:mPr>
              <m:baseJc m:val="center"/>
              <m:plcHide m:val="on"/>
              <m:mcs>
                <m:mc>
                  <m:mcPr>
                    <m:mcJc m:val="center"/>
                    <m:count m:val="1"/>
                  </m:mcPr>
                </m:mc>
              </m:mcs>
            </m:mPr>
            <m:mr>
              <m:e>
                <m:sSub>
                  <m:e>
                    <m:r>
                      <m:rPr>
                        <m:sty m:val="b"/>
                      </m:rPr>
                      <m:t>f</m:t>
                    </m:r>
                  </m:e>
                  <m:sub>
                    <m:r>
                      <m:t>d</m:t>
                    </m:r>
                    <m:r>
                      <m:t>s</m:t>
                    </m:r>
                    <m:r>
                      <m:t>i</m:t>
                    </m:r>
                  </m:sub>
                </m:sSub>
                <m:r>
                  <m:rPr>
                    <m:sty m:val="p"/>
                  </m:rPr>
                  <m:t>≈</m:t>
                </m:r>
                <m:sSub>
                  <m:e>
                    <m:r>
                      <m:rPr>
                        <m:sty m:val="b"/>
                      </m:rPr>
                      <m:t>ℓ</m:t>
                    </m:r>
                  </m:e>
                  <m:sub>
                    <m:r>
                      <m:t>d</m:t>
                    </m:r>
                  </m:sub>
                </m:sSub>
                <m:sSub>
                  <m:e>
                    <m:r>
                      <m:t>g</m:t>
                    </m:r>
                  </m:e>
                  <m:sub>
                    <m:r>
                      <m:t>d</m:t>
                    </m:r>
                    <m:r>
                      <m:t>s</m:t>
                    </m:r>
                    <m:r>
                      <m:t>i</m:t>
                    </m:r>
                  </m:sub>
                </m:sSub>
                <m:r>
                  <m:rPr>
                    <m:sty m:val="p"/>
                  </m:rPr>
                  <m:t>,</m:t>
                </m:r>
              </m:e>
            </m:mr>
            <m:mr>
              <m:e>
                <m:sSub>
                  <m:e>
                    <m:r>
                      <m:rPr>
                        <m:sty m:val="b"/>
                      </m:rPr>
                      <m:t>y</m:t>
                    </m:r>
                  </m:e>
                  <m:sub>
                    <m:r>
                      <m:t>d</m:t>
                    </m:r>
                    <m:r>
                      <m:t>s</m:t>
                    </m:r>
                    <m:r>
                      <m:t>i</m:t>
                    </m:r>
                  </m:sub>
                </m:sSub>
                <m:r>
                  <m:rPr>
                    <m:sty m:val="p"/>
                  </m:rPr>
                  <m:t>=</m:t>
                </m:r>
                <m:sSub>
                  <m:e>
                    <m:r>
                      <m:rPr>
                        <m:sty m:val="b"/>
                      </m:rPr>
                      <m:t>w</m:t>
                    </m:r>
                  </m:e>
                  <m:sub>
                    <m:r>
                      <m:t>d</m:t>
                    </m:r>
                  </m:sub>
                </m:sSub>
                <m:sSub>
                  <m:e>
                    <m:r>
                      <m:t>g</m:t>
                    </m:r>
                  </m:e>
                  <m:sub>
                    <m:r>
                      <m:t>d</m:t>
                    </m:r>
                    <m:r>
                      <m:t>s</m:t>
                    </m:r>
                    <m:r>
                      <m:t>i</m:t>
                    </m:r>
                  </m:sub>
                </m:sSub>
                <m:r>
                  <m:rPr>
                    <m:sty m:val="p"/>
                  </m:rPr>
                  <m:t>+</m:t>
                </m:r>
                <m:sSub>
                  <m:e>
                    <m:r>
                      <m:rPr>
                        <m:sty m:val="b"/>
                      </m:rPr>
                      <m:t>V</m:t>
                    </m:r>
                  </m:e>
                  <m:sub>
                    <m:r>
                      <m:t>d</m:t>
                    </m:r>
                  </m:sub>
                </m:sSub>
                <m:sSub>
                  <m:e>
                    <m:r>
                      <m:rPr>
                        <m:sty m:val="b"/>
                      </m:rPr>
                      <m:t>c</m:t>
                    </m:r>
                  </m:e>
                  <m:sub>
                    <m:r>
                      <m:t>d</m:t>
                    </m:r>
                    <m:r>
                      <m:t>s</m:t>
                    </m:r>
                    <m:r>
                      <m:t>i</m:t>
                    </m:r>
                  </m:sub>
                </m:sSub>
                <m:r>
                  <m:rPr>
                    <m:sty m:val="p"/>
                  </m:rPr>
                  <m:t>+</m:t>
                </m:r>
                <m:sSub>
                  <m:e>
                    <m:r>
                      <m:rPr>
                        <m:sty m:val="b"/>
                      </m:rPr>
                      <m:t>Q</m:t>
                    </m:r>
                  </m:e>
                  <m:sub>
                    <m:r>
                      <m:t>d</m:t>
                    </m:r>
                  </m:sub>
                </m:sSub>
                <m:sSub>
                  <m:e>
                    <m:r>
                      <m:rPr>
                        <m:sty m:val="b"/>
                      </m:rPr>
                      <m:t>n</m:t>
                    </m:r>
                  </m:e>
                  <m:sub>
                    <m:r>
                      <m:t>d</m:t>
                    </m:r>
                    <m:r>
                      <m:t>s</m:t>
                    </m:r>
                    <m:r>
                      <m:t>i</m:t>
                    </m:r>
                  </m:sub>
                </m:sSub>
                <m:r>
                  <m:rPr>
                    <m:sty m:val="p"/>
                  </m:rPr>
                  <m:t>+</m:t>
                </m:r>
                <m:sSub>
                  <m:e>
                    <m:r>
                      <m:rPr>
                        <m:sty m:val="b"/>
                      </m:rPr>
                      <m:t>ε</m:t>
                    </m:r>
                  </m:e>
                  <m:sub>
                    <m:r>
                      <m:t>d</m:t>
                    </m:r>
                    <m:r>
                      <m:t>s</m:t>
                    </m:r>
                    <m:r>
                      <m:t>i</m:t>
                    </m:r>
                  </m:sub>
                </m:sSub>
                <m:r>
                  <m:rPr>
                    <m:sty m:val="p"/>
                  </m:rPr>
                  <m:t>.</m:t>
                </m:r>
              </m:e>
            </m:mr>
          </m:m>
        </m:oMath>
      </m:oMathPara>
    </w:p>
    <w:p>
      <w:pPr>
        <w:widowControl/>
        <w:jc w:val="both"/>
      </w:pPr>
      <w:r>
        <w:rPr>
          <w:rFonts w:ascii="Times New Roman" w:hAnsi="Times New Roman" w:eastAsia="Times New Roman"/>
          <w:color w:val="000000"/>
          <w:sz w:val="24"/>
        </w:rPr>
        <w:t>The loading vector l_d is learned only from training data and is regularized. This is a strong model: changes in experience, cognitive operation, arousal, and report may differ in magnitude or sign, but they must move neural state along the same direction. A rank-two sensitivity version allows a general activation component plus one shared higher-order component, ensuring that rejection is not caused merely by a trivial baseline or sensory axis.</w:t>
      </w:r>
    </w:p>
    <w:p>
      <w:pPr>
        <w:pStyle w:val="Heading3"/>
        <w:widowControl/>
      </w:pPr>
      <w:r>
        <w:rPr>
          <w:rFonts w:ascii="Times New Roman" w:hAnsi="Times New Roman" w:eastAsia="Times New Roman"/>
          <w:b/>
          <w:i/>
          <w:color w:val="000000"/>
          <w:sz w:val="24"/>
        </w:rPr>
        <w:t>5.3 M1: consciousness-gating architecture</w:t>
      </w:r>
    </w:p>
    <w:p>
      <w:pPr>
        <w:widowControl/>
        <w:jc w:val="both"/>
      </w:pPr>
      <w:r>
        <w:rPr>
          <w:rFonts w:ascii="Times New Roman" w:hAnsi="Times New Roman" w:eastAsia="Times New Roman"/>
          <w:color w:val="000000"/>
          <w:sz w:val="24"/>
        </w:rPr>
        <w:t>The E-gating model proposes that cognitive-operation effects are conditionally expressed when E is sufficiently high. The neural contribution of K_j is modulated by a monotonic gate h(E):</w:t>
      </w:r>
    </w:p>
    <w:p>
      <w:pPr>
        <w:keepLines/>
        <w:widowControl/>
        <w:spacing w:before="80" w:after="120"/>
      </w:pPr>
      <m:oMathPara>
        <m:oMathParaPr>
          <m:jc m:val="center"/>
        </m:oMathParaPr>
        <m:oMath>
          <m:sSub>
            <m:e>
              <m:r>
                <m:rPr>
                  <m:sty m:val="b"/>
                </m:rPr>
                <m:t>y</m:t>
              </m:r>
            </m:e>
            <m:sub>
              <m:r>
                <m:t>d</m:t>
              </m:r>
              <m:r>
                <m:t>s</m:t>
              </m:r>
              <m:r>
                <m:t>i</m:t>
              </m:r>
            </m:sub>
          </m:sSub>
          <m:r>
            <m:rPr>
              <m:sty m:val="p"/>
            </m:rPr>
            <m:t>=</m:t>
          </m:r>
          <m:sSub>
            <m:e>
              <m:r>
                <m:rPr>
                  <m:sty m:val="b"/>
                </m:rPr>
                <m:t>w</m:t>
              </m:r>
            </m:e>
            <m:sub>
              <m:r>
                <m:t>E</m:t>
              </m:r>
            </m:sub>
          </m:sSub>
          <m:sSub>
            <m:e>
              <m:r>
                <m:t>E</m:t>
              </m:r>
            </m:e>
            <m:sub>
              <m:r>
                <m:t>d</m:t>
              </m:r>
              <m:r>
                <m:t>s</m:t>
              </m:r>
              <m:r>
                <m:t>i</m:t>
              </m:r>
            </m:sub>
          </m:sSub>
          <m:r>
            <m:rPr>
              <m:sty m:val="p"/>
            </m:rPr>
            <m:t>+</m:t>
          </m:r>
          <m:nary>
            <m:naryPr>
              <m:chr m:val="∑"/>
              <m:limLoc m:val="undOvr"/>
              <m:subHide m:val="off"/>
              <m:supHide m:val="on"/>
            </m:naryPr>
            <m:sub>
              <m:r>
                <m:t>j</m:t>
              </m:r>
            </m:sub>
            <m:sup>
              <m:r>
                <m:t>​</m:t>
              </m:r>
            </m:sup>
            <m:e>
              <m:sSub>
                <m:e>
                  <m:r>
                    <m:rPr>
                      <m:sty m:val="b"/>
                    </m:rPr>
                    <m:t>w</m:t>
                  </m:r>
                </m:e>
                <m:sub>
                  <m:sSub>
                    <m:e>
                      <m:r>
                        <m:t>K</m:t>
                      </m:r>
                    </m:e>
                    <m:sub>
                      <m:r>
                        <m:t>j</m:t>
                      </m:r>
                    </m:sub>
                  </m:sSub>
                </m:sub>
              </m:sSub>
            </m:e>
          </m:nary>
          <m:sSub>
            <m:e>
              <m:r>
                <m:t>K</m:t>
              </m:r>
            </m:e>
            <m:sub>
              <m:r>
                <m:t>j</m:t>
              </m:r>
              <m:r>
                <m:rPr>
                  <m:sty m:val="p"/>
                </m:rPr>
                <m:t>,</m:t>
              </m:r>
              <m:r>
                <m:t>d</m:t>
              </m:r>
              <m:r>
                <m:t>s</m:t>
              </m:r>
              <m:r>
                <m:t>i</m:t>
              </m:r>
            </m:sub>
          </m:sSub>
          <m:r>
            <m:t>h</m:t>
          </m:r>
          <m:d>
            <m:dPr>
              <m:begChr m:val="("/>
              <m:endChr m:val=")"/>
              <m:sepChr m:val=""/>
              <m:grow/>
            </m:dPr>
            <m:e>
              <m:sSub>
                <m:e>
                  <m:r>
                    <m:t>E</m:t>
                  </m:r>
                </m:e>
                <m:sub>
                  <m:r>
                    <m:t>d</m:t>
                  </m:r>
                  <m:r>
                    <m:t>s</m:t>
                  </m:r>
                  <m:r>
                    <m:t>i</m:t>
                  </m:r>
                </m:sub>
              </m:sSub>
            </m:e>
          </m:d>
          <m:r>
            <m:rPr>
              <m:sty m:val="p"/>
            </m:rPr>
            <m:t>+</m:t>
          </m:r>
          <m:sSub>
            <m:e>
              <m:r>
                <m:rPr>
                  <m:sty m:val="b"/>
                </m:rPr>
                <m:t>w</m:t>
              </m:r>
            </m:e>
            <m:sub>
              <m:r>
                <m:t>A</m:t>
              </m:r>
            </m:sub>
          </m:sSub>
          <m:sSub>
            <m:e>
              <m:r>
                <m:t>A</m:t>
              </m:r>
            </m:e>
            <m:sub>
              <m:r>
                <m:t>d</m:t>
              </m:r>
              <m:r>
                <m:t>s</m:t>
              </m:r>
              <m:r>
                <m:t>i</m:t>
              </m:r>
            </m:sub>
          </m:sSub>
          <m:r>
            <m:rPr>
              <m:sty m:val="p"/>
            </m:rPr>
            <m:t>+</m:t>
          </m:r>
          <m:sSub>
            <m:e>
              <m:r>
                <m:rPr>
                  <m:sty m:val="b"/>
                </m:rPr>
                <m:t>w</m:t>
              </m:r>
            </m:e>
            <m:sub>
              <m:r>
                <m:t>R</m:t>
              </m:r>
            </m:sub>
          </m:sSub>
          <m:sSub>
            <m:e>
              <m:r>
                <m:t>R</m:t>
              </m:r>
            </m:e>
            <m:sub>
              <m:r>
                <m:t>d</m:t>
              </m:r>
              <m:r>
                <m:t>s</m:t>
              </m:r>
              <m:r>
                <m:t>i</m:t>
              </m:r>
            </m:sub>
          </m:sSub>
          <m:r>
            <m:rPr>
              <m:sty m:val="p"/>
            </m:rPr>
            <m:t>+</m:t>
          </m:r>
          <m:r>
            <m:rPr>
              <m:sty m:val="p"/>
            </m:rPr>
            <m:t>⋯</m:t>
          </m:r>
        </m:oMath>
      </m:oMathPara>
    </w:p>
    <w:p>
      <w:pPr>
        <w:widowControl/>
        <w:jc w:val="both"/>
      </w:pPr>
      <w:r>
        <w:rPr>
          <w:rFonts w:ascii="Times New Roman" w:hAnsi="Times New Roman" w:eastAsia="Times New Roman"/>
          <w:color w:val="000000"/>
          <w:sz w:val="24"/>
        </w:rPr>
        <w:t>where h(E)=logistic(γ_0 + γ_1 E) and γ_1 &gt; 0. In the strict version, the unique K contribution approaches zero as E approaches its lower bound. In the partial version, a small ungated K component is permitted but penalized. This model predicts reduced or absent transfer of content, memory, task, or volition patterns under low E once sensory and measurement uncertainty are accounted for.</w:t>
      </w:r>
    </w:p>
    <w:p>
      <w:pPr>
        <w:pStyle w:val="Heading3"/>
        <w:widowControl/>
      </w:pPr>
      <w:r>
        <w:rPr>
          <w:rFonts w:ascii="Times New Roman" w:hAnsi="Times New Roman" w:eastAsia="Times New Roman"/>
          <w:b/>
          <w:i/>
          <w:color w:val="000000"/>
          <w:sz w:val="24"/>
        </w:rPr>
        <w:t>5.4 M2: cognitive-access architecture</w:t>
      </w:r>
    </w:p>
    <w:p>
      <w:pPr>
        <w:widowControl/>
        <w:jc w:val="both"/>
      </w:pPr>
      <w:r>
        <w:rPr>
          <w:rFonts w:ascii="Times New Roman" w:hAnsi="Times New Roman" w:eastAsia="Times New Roman"/>
          <w:color w:val="000000"/>
          <w:sz w:val="24"/>
        </w:rPr>
        <w:t>The K-access model proposes that E is largely generated by the strength and availability of cognitive operations. A latent access score k_star is estimated as a regularized combination of K components, task selection, and response availability:</w:t>
      </w:r>
    </w:p>
    <w:p>
      <w:pPr>
        <w:keepLines/>
        <w:widowControl/>
        <w:spacing w:before="80" w:after="120"/>
      </w:pPr>
      <m:oMathPara>
        <m:oMathParaPr>
          <m:jc m:val="center"/>
        </m:oMathParaPr>
        <m:oMath>
          <m:sSub>
            <m:e>
              <m:r>
                <m:t>k</m:t>
              </m:r>
            </m:e>
            <m:sub>
              <m:r>
                <m:rPr>
                  <m:sty m:val="p"/>
                </m:rPr>
                <m:t>a</m:t>
              </m:r>
              <m:r>
                <m:rPr>
                  <m:sty m:val="p"/>
                </m:rPr>
                <m:t>c</m:t>
              </m:r>
              <m:r>
                <m:rPr>
                  <m:sty m:val="p"/>
                </m:rPr>
                <m:t>c</m:t>
              </m:r>
              <m:r>
                <m:rPr>
                  <m:sty m:val="p"/>
                </m:rPr>
                <m:t>e</m:t>
              </m:r>
              <m:r>
                <m:rPr>
                  <m:sty m:val="p"/>
                </m:rPr>
                <m:t>s</m:t>
              </m:r>
              <m:r>
                <m:rPr>
                  <m:sty m:val="p"/>
                </m:rPr>
                <m:t>s</m:t>
              </m:r>
            </m:sub>
          </m:sSub>
          <m:r>
            <m:rPr>
              <m:sty m:val="p"/>
            </m:rPr>
            <m:t>=</m:t>
          </m:r>
          <m:sSub>
            <m:e>
              <m:r>
                <m:t>a</m:t>
              </m:r>
            </m:e>
            <m:sub>
              <m:r>
                <m:t>0</m:t>
              </m:r>
            </m:sub>
          </m:sSub>
          <m:r>
            <m:rPr>
              <m:sty m:val="p"/>
            </m:rPr>
            <m:t>+</m:t>
          </m:r>
          <m:nary>
            <m:naryPr>
              <m:chr m:val="∑"/>
              <m:limLoc m:val="undOvr"/>
              <m:subHide m:val="off"/>
              <m:supHide m:val="on"/>
            </m:naryPr>
            <m:sub>
              <m:r>
                <m:t>j</m:t>
              </m:r>
            </m:sub>
            <m:sup>
              <m:r>
                <m:t>​</m:t>
              </m:r>
            </m:sup>
            <m:e>
              <m:sSub>
                <m:e>
                  <m:r>
                    <m:t>a</m:t>
                  </m:r>
                </m:e>
                <m:sub>
                  <m:r>
                    <m:t>j</m:t>
                  </m:r>
                </m:sub>
              </m:sSub>
            </m:e>
          </m:nary>
          <m:sSub>
            <m:e>
              <m:r>
                <m:t>K</m:t>
              </m:r>
            </m:e>
            <m:sub>
              <m:r>
                <m:t>j</m:t>
              </m:r>
            </m:sub>
          </m:sSub>
          <m:r>
            <m:rPr>
              <m:sty m:val="p"/>
            </m:rPr>
            <m:t>+</m:t>
          </m:r>
          <m:sSub>
            <m:e>
              <m:r>
                <m:t>a</m:t>
              </m:r>
            </m:e>
            <m:sub>
              <m:r>
                <m:t>R</m:t>
              </m:r>
            </m:sub>
          </m:sSub>
          <m:r>
            <m:t>R</m:t>
          </m:r>
          <m:r>
            <m:rPr>
              <m:sty m:val="p"/>
            </m:rPr>
            <m:t>+</m:t>
          </m:r>
          <m:sSub>
            <m:e>
              <m:r>
                <m:t>a</m:t>
              </m:r>
            </m:e>
            <m:sub>
              <m:r>
                <m:t>A</m:t>
              </m:r>
            </m:sub>
          </m:sSub>
          <m:r>
            <m:t>A</m:t>
          </m:r>
          <m:r>
            <m:rPr>
              <m:sty m:val="p"/>
            </m:rPr>
            <m:t>.</m:t>
          </m:r>
        </m:oMath>
      </m:oMathPara>
    </w:p>
    <w:p>
      <w:pPr>
        <w:widowControl/>
        <w:jc w:val="both"/>
      </w:pPr>
      <w:r>
        <w:rPr>
          <w:rFonts w:ascii="Times New Roman" w:hAnsi="Times New Roman" w:eastAsia="Times New Roman"/>
          <w:color w:val="000000"/>
          <w:sz w:val="24"/>
        </w:rPr>
        <w:t>The neural E component is then constrained to lie within the subspace spanned by k_star and A. A strict version contains no E-specific covariance after K, A, and R. A partial version allows residual E covariance with a shrinkage prior centered on zero. This family formalizes the claim that an apparently experiential neural signature is the expression of access, control, or report-related processes rather than a distinct component.</w:t>
      </w:r>
    </w:p>
    <w:p>
      <w:pPr>
        <w:pStyle w:val="Heading3"/>
        <w:widowControl/>
      </w:pPr>
      <w:r>
        <w:rPr>
          <w:rFonts w:ascii="Times New Roman" w:hAnsi="Times New Roman" w:eastAsia="Times New Roman"/>
          <w:b/>
          <w:i/>
          <w:color w:val="000000"/>
          <w:sz w:val="24"/>
        </w:rPr>
        <w:t>5.5 M3: report-bottleneck architecture</w:t>
      </w:r>
    </w:p>
    <w:p>
      <w:pPr>
        <w:widowControl/>
        <w:jc w:val="both"/>
      </w:pPr>
      <w:r>
        <w:rPr>
          <w:rFonts w:ascii="Times New Roman" w:hAnsi="Times New Roman" w:eastAsia="Times New Roman"/>
          <w:color w:val="000000"/>
          <w:sz w:val="24"/>
        </w:rPr>
        <w:t>The report-bottleneck model proposes that much of the observed overlap between E and K arises because both are measured through preparation and production of a response. In this model, E-related and K-related condition differences may exist in early sensory features, but higher-order shared variance is constrained to R_prepare, R_execute, or R_delayed_report. The decisive evidence against this model comes from E effects that replicate across report and no-report conditions, and K effects that persist during behavioral unresponsiveness or on nontarget trials with no motor output.</w:t>
      </w:r>
    </w:p>
    <w:p>
      <w:pPr>
        <w:widowControl/>
        <w:jc w:val="both"/>
      </w:pPr>
      <w:r>
        <w:rPr>
          <w:rFonts w:ascii="Times New Roman" w:hAnsi="Times New Roman" w:eastAsia="Times New Roman"/>
          <w:color w:val="000000"/>
          <w:sz w:val="24"/>
        </w:rPr>
        <w:t>The model is implemented with an R component plus construct-by-R interactions. E and K main effects receive strong shrinkage outside early sensory windows or primary sensory networks. This makes the model more realistic than simply regressing out button presses: it can explain response preparation, decision accumulation, delayed verbal report, and motor execution as related but nonidentical processes.</w:t>
      </w:r>
    </w:p>
    <w:p>
      <w:pPr>
        <w:pStyle w:val="Heading3"/>
        <w:widowControl/>
      </w:pPr>
      <w:r>
        <w:rPr>
          <w:rFonts w:ascii="Times New Roman" w:hAnsi="Times New Roman" w:eastAsia="Times New Roman"/>
          <w:b/>
          <w:i/>
          <w:color w:val="000000"/>
          <w:sz w:val="24"/>
        </w:rPr>
        <w:t>5.6 M4: factorized-interactive architecture</w:t>
      </w:r>
    </w:p>
    <w:p>
      <w:pPr>
        <w:widowControl/>
        <w:jc w:val="both"/>
      </w:pPr>
      <w:r>
        <w:rPr>
          <w:rFonts w:ascii="Times New Roman" w:hAnsi="Times New Roman" w:eastAsia="Times New Roman"/>
          <w:color w:val="000000"/>
          <w:sz w:val="24"/>
        </w:rPr>
        <w:t>The factorized model assigns separable covariance components to E, A, R, and each K_j:</w:t>
      </w:r>
    </w:p>
    <w:p>
      <w:pPr>
        <w:keepLines/>
        <w:widowControl/>
        <w:spacing w:before="80" w:after="120"/>
      </w:pPr>
      <m:oMathPara>
        <m:oMathParaPr>
          <m:jc m:val="center"/>
        </m:oMathParaPr>
        <m:oMath>
          <m:m>
            <m:mPr>
              <m:baseJc m:val="center"/>
              <m:plcHide m:val="on"/>
              <m:mcs>
                <m:mc>
                  <m:mcPr>
                    <m:mcJc m:val="center"/>
                    <m:count m:val="1"/>
                  </m:mcPr>
                </m:mc>
              </m:mcs>
            </m:mPr>
            <m:mr>
              <m:e>
                <m:sSub>
                  <m:e>
                    <m:r>
                      <m:rPr>
                        <m:sty m:val="b"/>
                      </m:rPr>
                      <m:t>y</m:t>
                    </m:r>
                  </m:e>
                  <m:sub>
                    <m:r>
                      <m:t>d</m:t>
                    </m:r>
                    <m:r>
                      <m:t>s</m:t>
                    </m:r>
                    <m:r>
                      <m:t>i</m:t>
                    </m:r>
                  </m:sub>
                </m:sSub>
                <m:r>
                  <m:rPr>
                    <m:sty m:val="p"/>
                  </m:rPr>
                  <m:t>=</m:t>
                </m:r>
                <m:sSub>
                  <m:e>
                    <m:r>
                      <m:rPr>
                        <m:sty m:val="b"/>
                      </m:rPr>
                      <m:t>w</m:t>
                    </m:r>
                  </m:e>
                  <m:sub>
                    <m:r>
                      <m:t>E</m:t>
                    </m:r>
                  </m:sub>
                </m:sSub>
                <m:r>
                  <m:t>E</m:t>
                </m:r>
                <m:r>
                  <m:rPr>
                    <m:sty m:val="p"/>
                  </m:rPr>
                  <m:t>+</m:t>
                </m:r>
                <m:sSub>
                  <m:e>
                    <m:r>
                      <m:rPr>
                        <m:sty m:val="b"/>
                      </m:rPr>
                      <m:t>w</m:t>
                    </m:r>
                  </m:e>
                  <m:sub>
                    <m:r>
                      <m:t>A</m:t>
                    </m:r>
                  </m:sub>
                </m:sSub>
                <m:r>
                  <m:t>A</m:t>
                </m:r>
                <m:r>
                  <m:rPr>
                    <m:sty m:val="p"/>
                  </m:rPr>
                  <m:t>+</m:t>
                </m:r>
                <m:sSub>
                  <m:e>
                    <m:r>
                      <m:rPr>
                        <m:sty m:val="b"/>
                      </m:rPr>
                      <m:t>w</m:t>
                    </m:r>
                  </m:e>
                  <m:sub>
                    <m:r>
                      <m:t>R</m:t>
                    </m:r>
                  </m:sub>
                </m:sSub>
                <m:r>
                  <m:t>R</m:t>
                </m:r>
                <m:r>
                  <m:rPr>
                    <m:sty m:val="p"/>
                  </m:rPr>
                  <m:t>+</m:t>
                </m:r>
                <m:nary>
                  <m:naryPr>
                    <m:chr m:val="∑"/>
                    <m:limLoc m:val="undOvr"/>
                    <m:subHide m:val="off"/>
                    <m:supHide m:val="on"/>
                  </m:naryPr>
                  <m:sub>
                    <m:r>
                      <m:t>j</m:t>
                    </m:r>
                  </m:sub>
                  <m:sup>
                    <m:r>
                      <m:t>​</m:t>
                    </m:r>
                  </m:sup>
                  <m:e>
                    <m:sSub>
                      <m:e>
                        <m:r>
                          <m:rPr>
                            <m:sty m:val="b"/>
                          </m:rPr>
                          <m:t>w</m:t>
                        </m:r>
                      </m:e>
                      <m:sub>
                        <m:sSub>
                          <m:e>
                            <m:r>
                              <m:t>K</m:t>
                            </m:r>
                          </m:e>
                          <m:sub>
                            <m:r>
                              <m:t>j</m:t>
                            </m:r>
                          </m:sub>
                        </m:sSub>
                      </m:sub>
                    </m:sSub>
                  </m:e>
                </m:nary>
                <m:sSub>
                  <m:e>
                    <m:r>
                      <m:t>K</m:t>
                    </m:r>
                  </m:e>
                  <m:sub>
                    <m:r>
                      <m:t>j</m:t>
                    </m:r>
                  </m:sub>
                </m:sSub>
              </m:e>
            </m:mr>
            <m:mr>
              <m:e>
                <m:r>
                  <m:t>​</m:t>
                </m:r>
                <m:r>
                  <m:rPr>
                    <m:sty m:val="p"/>
                  </m:rPr>
                  <m:t>+</m:t>
                </m:r>
                <m:sSub>
                  <m:e>
                    <m:r>
                      <m:rPr>
                        <m:sty m:val="b"/>
                      </m:rPr>
                      <m:t>w</m:t>
                    </m:r>
                  </m:e>
                  <m:sub>
                    <m:r>
                      <m:t>E</m:t>
                    </m:r>
                    <m:r>
                      <m:t>A</m:t>
                    </m:r>
                  </m:sub>
                </m:sSub>
                <m:d>
                  <m:dPr>
                    <m:begChr m:val="("/>
                    <m:endChr m:val=")"/>
                    <m:sepChr m:val=""/>
                    <m:grow/>
                  </m:dPr>
                  <m:e>
                    <m:r>
                      <m:t>E</m:t>
                    </m:r>
                    <m:r>
                      <m:rPr>
                        <m:sty m:val="p"/>
                      </m:rPr>
                      <m:t>×</m:t>
                    </m:r>
                    <m:r>
                      <m:t>A</m:t>
                    </m:r>
                  </m:e>
                </m:d>
                <m:r>
                  <m:rPr>
                    <m:sty m:val="p"/>
                  </m:rPr>
                  <m:t>+</m:t>
                </m:r>
                <m:nary>
                  <m:naryPr>
                    <m:chr m:val="∑"/>
                    <m:limLoc m:val="undOvr"/>
                    <m:subHide m:val="off"/>
                    <m:supHide m:val="on"/>
                  </m:naryPr>
                  <m:sub>
                    <m:r>
                      <m:t>j</m:t>
                    </m:r>
                  </m:sub>
                  <m:sup>
                    <m:r>
                      <m:t>​</m:t>
                    </m:r>
                  </m:sup>
                  <m:e>
                    <m:sSub>
                      <m:e>
                        <m:r>
                          <m:rPr>
                            <m:sty m:val="b"/>
                          </m:rPr>
                          <m:t>w</m:t>
                        </m:r>
                      </m:e>
                      <m:sub>
                        <m:r>
                          <m:t>E</m:t>
                        </m:r>
                        <m:sSub>
                          <m:e>
                            <m:r>
                              <m:t>K</m:t>
                            </m:r>
                          </m:e>
                          <m:sub>
                            <m:r>
                              <m:t>j</m:t>
                            </m:r>
                          </m:sub>
                        </m:sSub>
                      </m:sub>
                    </m:sSub>
                  </m:e>
                </m:nary>
                <m:d>
                  <m:dPr>
                    <m:begChr m:val="("/>
                    <m:endChr m:val=")"/>
                    <m:sepChr m:val=""/>
                    <m:grow/>
                  </m:dPr>
                  <m:e>
                    <m:r>
                      <m:t>E</m:t>
                    </m:r>
                    <m:r>
                      <m:rPr>
                        <m:sty m:val="p"/>
                      </m:rPr>
                      <m:t>×</m:t>
                    </m:r>
                    <m:sSub>
                      <m:e>
                        <m:r>
                          <m:t>K</m:t>
                        </m:r>
                      </m:e>
                      <m:sub>
                        <m:r>
                          <m:t>j</m:t>
                        </m:r>
                      </m:sub>
                    </m:sSub>
                  </m:e>
                </m:d>
              </m:e>
            </m:mr>
            <m:mr>
              <m:e>
                <m:r>
                  <m:t>​</m:t>
                </m:r>
                <m:r>
                  <m:rPr>
                    <m:sty m:val="p"/>
                  </m:rPr>
                  <m:t>+</m:t>
                </m:r>
                <m:nary>
                  <m:naryPr>
                    <m:chr m:val="∑"/>
                    <m:limLoc m:val="undOvr"/>
                    <m:subHide m:val="off"/>
                    <m:supHide m:val="on"/>
                  </m:naryPr>
                  <m:sub>
                    <m:r>
                      <m:t>j</m:t>
                    </m:r>
                  </m:sub>
                  <m:sup>
                    <m:r>
                      <m:t>​</m:t>
                    </m:r>
                  </m:sup>
                  <m:e>
                    <m:sSub>
                      <m:e>
                        <m:r>
                          <m:rPr>
                            <m:sty m:val="b"/>
                          </m:rPr>
                          <m:t>w</m:t>
                        </m:r>
                      </m:e>
                      <m:sub>
                        <m:r>
                          <m:t>A</m:t>
                        </m:r>
                        <m:sSub>
                          <m:e>
                            <m:r>
                              <m:t>K</m:t>
                            </m:r>
                          </m:e>
                          <m:sub>
                            <m:r>
                              <m:t>j</m:t>
                            </m:r>
                          </m:sub>
                        </m:sSub>
                      </m:sub>
                    </m:sSub>
                  </m:e>
                </m:nary>
                <m:d>
                  <m:dPr>
                    <m:begChr m:val="("/>
                    <m:endChr m:val=")"/>
                    <m:sepChr m:val=""/>
                    <m:grow/>
                  </m:dPr>
                  <m:e>
                    <m:r>
                      <m:t>A</m:t>
                    </m:r>
                    <m:r>
                      <m:rPr>
                        <m:sty m:val="p"/>
                      </m:rPr>
                      <m:t>×</m:t>
                    </m:r>
                    <m:sSub>
                      <m:e>
                        <m:r>
                          <m:t>K</m:t>
                        </m:r>
                      </m:e>
                      <m:sub>
                        <m:r>
                          <m:t>j</m:t>
                        </m:r>
                      </m:sub>
                    </m:sSub>
                  </m:e>
                </m:d>
                <m:r>
                  <m:rPr>
                    <m:sty m:val="p"/>
                  </m:rPr>
                  <m:t>+</m:t>
                </m:r>
                <m:r>
                  <m:rPr>
                    <m:sty m:val="p"/>
                  </m:rPr>
                  <m:t>sensory</m:t>
                </m:r>
                <m:r>
                  <m:rPr>
                    <m:sty m:val="p"/>
                  </m:rPr>
                  <m:t>+</m:t>
                </m:r>
                <m:r>
                  <m:rPr>
                    <m:sty m:val="p"/>
                  </m:rPr>
                  <m:t>nuisance</m:t>
                </m:r>
                <m:r>
                  <m:rPr>
                    <m:sty m:val="p"/>
                  </m:rPr>
                  <m:t>+</m:t>
                </m:r>
                <m:r>
                  <m:rPr>
                    <m:sty m:val="b"/>
                  </m:rPr>
                  <m:t>ε</m:t>
                </m:r>
                <m:r>
                  <m:rPr>
                    <m:sty m:val="p"/>
                  </m:rPr>
                  <m:t>.</m:t>
                </m:r>
              </m:e>
            </m:mr>
          </m:m>
        </m:oMath>
      </m:oMathPara>
    </w:p>
    <w:p>
      <w:pPr>
        <w:widowControl/>
        <w:jc w:val="both"/>
      </w:pPr>
      <w:r>
        <w:rPr>
          <w:rFonts w:ascii="Times New Roman" w:hAnsi="Times New Roman" w:eastAsia="Times New Roman"/>
          <w:color w:val="000000"/>
          <w:sz w:val="24"/>
        </w:rPr>
        <w:t>Only interactions identified by at least one dataset are included. The primary model contains E x A, E x K_content, E x K_memory, A x K_volition, and K_task x R. Interaction components are hierarchically regularized and cannot enter unless their corresponding main effects are present. Factorization means distinguishable components, not statistical independence. Correlated axes, state-dependent scaling, and partial sharing are allowed.</w:t>
      </w:r>
    </w:p>
    <w:p>
      <w:pPr>
        <w:widowControl/>
        <w:jc w:val="both"/>
      </w:pPr>
      <w:r>
        <w:rPr>
          <w:rFonts w:ascii="Times New Roman" w:hAnsi="Times New Roman" w:eastAsia="Times New Roman"/>
          <w:color w:val="000000"/>
          <w:sz w:val="24"/>
        </w:rPr>
        <w:t>To prevent a larger model from winning by flexibility alone, all candidate models are evaluated under nested cross-validation. Regularization strength is chosen in inner folds. Effective degrees of freedom are recorded. Predictive scores are compared on identical outer folds, and a complexity-matched factorized model is additionally created by constraining its total latent rank to that of the strongest nonfactorized competitor plus one. The interpretation rests on held-out performance and component stability, not raw likelihood.</w:t>
      </w:r>
    </w:p>
    <w:p>
      <w:pPr>
        <w:pStyle w:val="Heading3"/>
        <w:widowControl/>
      </w:pPr>
      <w:r>
        <w:rPr>
          <w:rFonts w:ascii="Times New Roman" w:hAnsi="Times New Roman" w:eastAsia="Times New Roman"/>
          <w:b/>
          <w:i/>
          <w:color w:val="000000"/>
          <w:sz w:val="24"/>
        </w:rPr>
        <w:t>5.7 M5: saturated ceiling model</w:t>
      </w:r>
    </w:p>
    <w:p>
      <w:pPr>
        <w:widowControl/>
        <w:jc w:val="both"/>
      </w:pPr>
      <w:r>
        <w:rPr>
          <w:rFonts w:ascii="Times New Roman" w:hAnsi="Times New Roman" w:eastAsia="Times New Roman"/>
          <w:color w:val="000000"/>
          <w:sz w:val="24"/>
        </w:rPr>
        <w:t>A saturated model assigns a separate condition component within each dataset, subject to shrinkage and the same sensory and nuisance structure. It is not a theoretical candidate; it estimates the predictable ceiling available from condition labels. The ratio</w:t>
      </w:r>
    </w:p>
    <w:p>
      <w:pPr>
        <w:keepLines/>
        <w:widowControl/>
        <w:spacing w:before="80" w:after="120"/>
      </w:pPr>
      <m:oMathPara>
        <m:oMathParaPr>
          <m:jc m:val="center"/>
        </m:oMathParaPr>
        <m:oMath>
          <m:r>
            <m:rPr>
              <m:sty m:val="p"/>
            </m:rPr>
            <m:t>c</m:t>
          </m:r>
          <m:r>
            <m:rPr>
              <m:sty m:val="p"/>
            </m:rPr>
            <m:t>e</m:t>
          </m:r>
          <m:r>
            <m:rPr>
              <m:sty m:val="p"/>
            </m:rPr>
            <m:t>i</m:t>
          </m:r>
          <m:r>
            <m:rPr>
              <m:sty m:val="p"/>
            </m:rPr>
            <m:t>l</m:t>
          </m:r>
          <m:r>
            <m:rPr>
              <m:sty m:val="p"/>
            </m:rPr>
            <m:t>i</m:t>
          </m:r>
          <m:r>
            <m:rPr>
              <m:sty m:val="p"/>
            </m:rPr>
            <m:t>n</m:t>
          </m:r>
          <m:r>
            <m:rPr>
              <m:sty m:val="p"/>
            </m:rPr>
            <m:t>g</m:t>
          </m:r>
          <m:r>
            <m:rPr>
              <m:sty m:val="p"/>
            </m:rPr>
            <m:t> </m:t>
          </m:r>
          <m:r>
            <m:rPr>
              <m:sty m:val="p"/>
            </m:rPr>
            <m:t>r</m:t>
          </m:r>
          <m:r>
            <m:rPr>
              <m:sty m:val="p"/>
            </m:rPr>
            <m:t>e</m:t>
          </m:r>
          <m:r>
            <m:rPr>
              <m:sty m:val="p"/>
            </m:rPr>
            <m:t>c</m:t>
          </m:r>
          <m:r>
            <m:rPr>
              <m:sty m:val="p"/>
            </m:rPr>
            <m:t>o</m:t>
          </m:r>
          <m:r>
            <m:rPr>
              <m:sty m:val="p"/>
            </m:rPr>
            <m:t>v</m:t>
          </m:r>
          <m:r>
            <m:rPr>
              <m:sty m:val="p"/>
            </m:rPr>
            <m:t>e</m:t>
          </m:r>
          <m:r>
            <m:rPr>
              <m:sty m:val="p"/>
            </m:rPr>
            <m:t>r</m:t>
          </m:r>
          <m:r>
            <m:rPr>
              <m:sty m:val="p"/>
            </m:rPr>
            <m:t>y</m:t>
          </m:r>
          <m:d>
            <m:dPr>
              <m:begChr m:val="("/>
              <m:endChr m:val=")"/>
              <m:sepChr m:val=""/>
              <m:grow/>
            </m:dPr>
            <m:e>
              <m:r>
                <m:t>M</m:t>
              </m:r>
            </m:e>
          </m:d>
          <m:r>
            <m:rPr>
              <m:sty m:val="p"/>
            </m:rPr>
            <m:t>=</m:t>
          </m:r>
          <m:f>
            <m:fPr>
              <m:type m:val="bar"/>
            </m:fPr>
            <m:num>
              <m:r>
                <m:rPr>
                  <m:sty m:val="p"/>
                </m:rPr>
                <m:t>E</m:t>
              </m:r>
              <m:r>
                <m:rPr>
                  <m:sty m:val="p"/>
                </m:rPr>
                <m:t>L</m:t>
              </m:r>
              <m:r>
                <m:rPr>
                  <m:sty m:val="p"/>
                </m:rPr>
                <m:t>P</m:t>
              </m:r>
              <m:r>
                <m:rPr>
                  <m:sty m:val="p"/>
                </m:rPr>
                <m:t>D</m:t>
              </m:r>
              <m:d>
                <m:dPr>
                  <m:begChr m:val="("/>
                  <m:endChr m:val=")"/>
                  <m:sepChr m:val=""/>
                  <m:grow/>
                </m:dPr>
                <m:e>
                  <m:r>
                    <m:t>M</m:t>
                  </m:r>
                </m:e>
              </m:d>
              <m:r>
                <m:rPr>
                  <m:sty m:val="p"/>
                </m:rPr>
                <m:t>−</m:t>
              </m:r>
              <m:r>
                <m:rPr>
                  <m:sty m:val="p"/>
                </m:rPr>
                <m:t>E</m:t>
              </m:r>
              <m:r>
                <m:rPr>
                  <m:sty m:val="p"/>
                </m:rPr>
                <m:t>L</m:t>
              </m:r>
              <m:r>
                <m:rPr>
                  <m:sty m:val="p"/>
                </m:rPr>
                <m:t>P</m:t>
              </m:r>
              <m:r>
                <m:rPr>
                  <m:sty m:val="p"/>
                </m:rPr>
                <m:t>D</m:t>
              </m:r>
              <m:d>
                <m:dPr>
                  <m:begChr m:val="("/>
                  <m:endChr m:val=")"/>
                  <m:sepChr m:val=""/>
                  <m:grow/>
                </m:dPr>
                <m:e>
                  <m:r>
                    <m:rPr>
                      <m:sty m:val="p"/>
                    </m:rPr>
                    <m:t>n</m:t>
                  </m:r>
                  <m:r>
                    <m:rPr>
                      <m:sty m:val="p"/>
                    </m:rPr>
                    <m:t>u</m:t>
                  </m:r>
                  <m:r>
                    <m:rPr>
                      <m:sty m:val="p"/>
                    </m:rPr>
                    <m:t>l</m:t>
                  </m:r>
                  <m:r>
                    <m:rPr>
                      <m:sty m:val="p"/>
                    </m:rPr>
                    <m:t>l</m:t>
                  </m:r>
                </m:e>
              </m:d>
            </m:num>
            <m:den>
              <m:r>
                <m:rPr>
                  <m:sty m:val="p"/>
                </m:rPr>
                <m:t>E</m:t>
              </m:r>
              <m:r>
                <m:rPr>
                  <m:sty m:val="p"/>
                </m:rPr>
                <m:t>L</m:t>
              </m:r>
              <m:r>
                <m:rPr>
                  <m:sty m:val="p"/>
                </m:rPr>
                <m:t>P</m:t>
              </m:r>
              <m:r>
                <m:rPr>
                  <m:sty m:val="p"/>
                </m:rPr>
                <m:t>D</m:t>
              </m:r>
              <m:d>
                <m:dPr>
                  <m:begChr m:val="("/>
                  <m:endChr m:val=")"/>
                  <m:sepChr m:val=""/>
                  <m:grow/>
                </m:dPr>
                <m:e>
                  <m:r>
                    <m:rPr>
                      <m:sty m:val="p"/>
                    </m:rPr>
                    <m:t>s</m:t>
                  </m:r>
                  <m:r>
                    <m:rPr>
                      <m:sty m:val="p"/>
                    </m:rPr>
                    <m:t>a</m:t>
                  </m:r>
                  <m:r>
                    <m:rPr>
                      <m:sty m:val="p"/>
                    </m:rPr>
                    <m:t>t</m:t>
                  </m:r>
                  <m:r>
                    <m:rPr>
                      <m:sty m:val="p"/>
                    </m:rPr>
                    <m:t>u</m:t>
                  </m:r>
                  <m:r>
                    <m:rPr>
                      <m:sty m:val="p"/>
                    </m:rPr>
                    <m:t>r</m:t>
                  </m:r>
                  <m:r>
                    <m:rPr>
                      <m:sty m:val="p"/>
                    </m:rPr>
                    <m:t>a</m:t>
                  </m:r>
                  <m:r>
                    <m:rPr>
                      <m:sty m:val="p"/>
                    </m:rPr>
                    <m:t>t</m:t>
                  </m:r>
                  <m:r>
                    <m:rPr>
                      <m:sty m:val="p"/>
                    </m:rPr>
                    <m:t>e</m:t>
                  </m:r>
                  <m:r>
                    <m:rPr>
                      <m:sty m:val="p"/>
                    </m:rPr>
                    <m:t>d</m:t>
                  </m:r>
                </m:e>
              </m:d>
              <m:r>
                <m:rPr>
                  <m:sty m:val="p"/>
                </m:rPr>
                <m:t>−</m:t>
              </m:r>
              <m:r>
                <m:rPr>
                  <m:sty m:val="p"/>
                </m:rPr>
                <m:t>E</m:t>
              </m:r>
              <m:r>
                <m:rPr>
                  <m:sty m:val="p"/>
                </m:rPr>
                <m:t>L</m:t>
              </m:r>
              <m:r>
                <m:rPr>
                  <m:sty m:val="p"/>
                </m:rPr>
                <m:t>P</m:t>
              </m:r>
              <m:r>
                <m:rPr>
                  <m:sty m:val="p"/>
                </m:rPr>
                <m:t>D</m:t>
              </m:r>
              <m:d>
                <m:dPr>
                  <m:begChr m:val="("/>
                  <m:endChr m:val=")"/>
                  <m:sepChr m:val=""/>
                  <m:grow/>
                </m:dPr>
                <m:e>
                  <m:r>
                    <m:rPr>
                      <m:sty m:val="p"/>
                    </m:rPr>
                    <m:t>n</m:t>
                  </m:r>
                  <m:r>
                    <m:rPr>
                      <m:sty m:val="p"/>
                    </m:rPr>
                    <m:t>u</m:t>
                  </m:r>
                  <m:r>
                    <m:rPr>
                      <m:sty m:val="p"/>
                    </m:rPr>
                    <m:t>l</m:t>
                  </m:r>
                  <m:r>
                    <m:rPr>
                      <m:sty m:val="p"/>
                    </m:rPr>
                    <m:t>l</m:t>
                  </m:r>
                </m:e>
              </m:d>
            </m:den>
          </m:f>
          <m:r>
            <m:rPr>
              <m:sty m:val="p"/>
            </m:rPr>
            <m:t>.</m:t>
          </m:r>
        </m:oMath>
      </m:oMathPara>
    </w:p>
    <w:p>
      <w:pPr>
        <w:widowControl/>
        <w:jc w:val="both"/>
      </w:pPr>
      <w:r>
        <w:rPr>
          <w:rFonts w:ascii="Times New Roman" w:hAnsi="Times New Roman" w:eastAsia="Times New Roman"/>
          <w:color w:val="000000"/>
          <w:sz w:val="24"/>
        </w:rPr>
        <w:t>will indicate how much explainable architecture each theory captures. A factorized model that only marginally beats a nested model while remaining far below the saturated ceiling will be interpreted as incomplete rather than definitive.</w:t>
      </w:r>
    </w:p>
    <w:p>
      <w:pPr>
        <w:pStyle w:val="Heading3"/>
        <w:widowControl/>
      </w:pPr>
      <w:r>
        <w:rPr>
          <w:rFonts w:ascii="Times New Roman" w:hAnsi="Times New Roman" w:eastAsia="Times New Roman"/>
          <w:b/>
          <w:i/>
          <w:color w:val="000000"/>
          <w:sz w:val="24"/>
        </w:rPr>
        <w:t>5.8 Identifiability criteria</w:t>
      </w:r>
    </w:p>
    <w:p>
      <w:pPr>
        <w:widowControl/>
        <w:jc w:val="both"/>
      </w:pPr>
      <w:r>
        <w:rPr>
          <w:rFonts w:ascii="Times New Roman" w:hAnsi="Times New Roman" w:eastAsia="Times New Roman"/>
          <w:color w:val="000000"/>
          <w:sz w:val="24"/>
        </w:rPr>
        <w:t>A construct component is identifiable in a dataset only if its design vector is not perfectly collinear with all other construct and nuisance vectors, and if crossvalidated variance inflation remains below a preregistered threshold. Before any neural model is fitted, the pipeline will compute design rank, condition counts, pairwise correlations, variance-inflation factors, and simulated parameter recovery. Nonidentifiable components are removed from that dataset's local model but remain estimable from other families. The cross-dataset graph is considered globally identifiable if every headline component is anchored by at least two independent experimental paths and the leave-one-family-out graph remains connected for E, at least two K components, A, and R.</w:t>
      </w:r>
    </w:p>
    <w:p>
      <w:pPr>
        <w:pStyle w:val="Heading2"/>
        <w:widowControl/>
      </w:pPr>
      <w:r>
        <w:rPr>
          <w:rFonts w:ascii="Times New Roman" w:hAnsi="Times New Roman" w:eastAsia="Times New Roman"/>
          <w:b/>
          <w:i w:val="0"/>
          <w:color w:val="000000"/>
          <w:sz w:val="26"/>
        </w:rPr>
        <w:t>6. Development partitions, analysis locking, and leakage prevention</w:t>
      </w:r>
    </w:p>
    <w:p>
      <w:pPr>
        <w:pStyle w:val="Heading3"/>
        <w:widowControl/>
      </w:pPr>
      <w:r>
        <w:rPr>
          <w:rFonts w:ascii="Times New Roman" w:hAnsi="Times New Roman" w:eastAsia="Times New Roman"/>
          <w:b/>
          <w:i/>
          <w:color w:val="000000"/>
          <w:sz w:val="24"/>
        </w:rPr>
        <w:t>6.1 Deterministic data partitioning</w:t>
      </w:r>
    </w:p>
    <w:p>
      <w:pPr>
        <w:widowControl/>
        <w:jc w:val="both"/>
      </w:pPr>
      <w:r>
        <w:rPr>
          <w:rFonts w:ascii="Times New Roman" w:hAnsi="Times New Roman" w:eastAsia="Times New Roman"/>
          <w:color w:val="000000"/>
          <w:sz w:val="24"/>
        </w:rPr>
        <w:t>For resources with at least 20 participants, participant identifiers will be salted and hashed, then assigned deterministically to a 20% development partition and an 80% confirmatory partition, stratified by site and major state or condition balance where possible. The salt will be deposited with the preregistration after the split is fixed. No participant, session, or run will appear in both partitions. For small densely sampled resources, development and confirmation will be separated by runs within participant, with all model evaluation performed on independent runs and participant-level uncertainty retained. The small-data exception will be declared in the manifest and will not be used for hyperparameter choices that affect other datasets.</w:t>
      </w:r>
    </w:p>
    <w:p>
      <w:pPr>
        <w:widowControl/>
        <w:jc w:val="both"/>
      </w:pPr>
      <w:r>
        <w:rPr>
          <w:rFonts w:ascii="Times New Roman" w:hAnsi="Times New Roman" w:eastAsia="Times New Roman"/>
          <w:color w:val="000000"/>
          <w:sz w:val="24"/>
        </w:rPr>
        <w:t>Development data may be used to debug event parsing, benchmark compute, verify quality-control distributions, select among preregistered equivalent software implementations, and estimate nuisance covariance. They may not be used to decide whether a construct exists, change a directional hypothesis, add a favorable brain region, or select a result-dependent time window. Any preprocessing choice informed by development data must be selected from a finite list declared before inspection and justified by reliability, artifact suppression, or simulation recovery rather than construct effect size.</w:t>
      </w:r>
    </w:p>
    <w:p>
      <w:pPr>
        <w:pStyle w:val="Heading3"/>
        <w:widowControl/>
      </w:pPr>
      <w:r>
        <w:rPr>
          <w:rFonts w:ascii="Times New Roman" w:hAnsi="Times New Roman" w:eastAsia="Times New Roman"/>
          <w:b/>
          <w:i/>
          <w:color w:val="000000"/>
          <w:sz w:val="24"/>
        </w:rPr>
        <w:t>6.2 Freeze and lockbox procedure</w:t>
      </w:r>
    </w:p>
    <w:p>
      <w:pPr>
        <w:widowControl/>
        <w:jc w:val="both"/>
      </w:pPr>
      <w:r>
        <w:rPr>
          <w:rFonts w:ascii="Times New Roman" w:hAnsi="Times New Roman" w:eastAsia="Times New Roman"/>
          <w:color w:val="000000"/>
          <w:sz w:val="24"/>
        </w:rPr>
        <w:t>The confirmatory configuration will be represented by conf/confirmatory.yaml and a set of construct-map YAML files. The repository will generate lockbox_manifest.json containing hashes of configuration files, containers, source code, unit tests, atlas files, and data manifests. A signed release tag will mark the freeze. The command factorcon lockbox validate must pass all unit, integration, synthetic-recovery, and leakage tests before the confirmatory partition can be read by the workflow. A separate environment variable, FACTORCON_CONFIRMATORY=1, will be required to mount confirmatory data.</w:t>
      </w:r>
    </w:p>
    <w:p>
      <w:pPr>
        <w:widowControl/>
        <w:jc w:val="both"/>
      </w:pPr>
      <w:r>
        <w:rPr>
          <w:rFonts w:ascii="Times New Roman" w:hAnsi="Times New Roman" w:eastAsia="Times New Roman"/>
          <w:color w:val="000000"/>
          <w:sz w:val="24"/>
        </w:rPr>
        <w:t>The pipeline will then execute a single confirmatory run. Computational failures, corrupted files, or deterministic software bugs may be corrected, but each correction must be documented in deviations.md, tested on synthetic or development data, and followed by a new code hash. No correction may depend on the direction or statistical significance of a scientific result. Failed jobs will resume from content-hashed intermediate files; they will not refit completed folds with altered random seeds.</w:t>
      </w:r>
    </w:p>
    <w:p>
      <w:pPr>
        <w:pStyle w:val="Heading3"/>
        <w:widowControl/>
      </w:pPr>
      <w:r>
        <w:rPr>
          <w:rFonts w:ascii="Times New Roman" w:hAnsi="Times New Roman" w:eastAsia="Times New Roman"/>
          <w:b/>
          <w:i/>
          <w:color w:val="000000"/>
          <w:sz w:val="24"/>
        </w:rPr>
        <w:t>6.3 Cross-validation hierarchy</w:t>
      </w:r>
    </w:p>
    <w:p>
      <w:pPr>
        <w:widowControl/>
        <w:jc w:val="both"/>
      </w:pPr>
      <w:r>
        <w:rPr>
          <w:rFonts w:ascii="Times New Roman" w:hAnsi="Times New Roman" w:eastAsia="Times New Roman"/>
          <w:color w:val="000000"/>
          <w:sz w:val="24"/>
        </w:rPr>
        <w:t>All predictive analyses use grouped splits. Trial-level models group by participant and session. Within-participant dense analyses group by run or block. Site generalization uses leave-one-site-out folds where sample size permits. Hyperparameters are chosen in inner group folds and evaluated in outer folds. Feature selection, nuisance regression, scaling, dimensionality reduction, covariance estimation, and atlas-to-feature reduction occur inside the training fold. A unit test will intentionally inject participant-specific and run-specific identifiers into features; any above-chance prediction of held-out outcomes from these identifiers will cause the leakage test to fail.</w:t>
      </w:r>
    </w:p>
    <w:p>
      <w:pPr>
        <w:widowControl/>
        <w:jc w:val="both"/>
      </w:pPr>
      <w:r>
        <w:rPr>
          <w:rFonts w:ascii="Times New Roman" w:hAnsi="Times New Roman" w:eastAsia="Times New Roman"/>
          <w:color w:val="000000"/>
          <w:sz w:val="24"/>
        </w:rPr>
        <w:t>The default outer design is fivefold group cross-validation repeated with five deterministic seeds. Repetition changes fold allocation only where group stratification admits alternatives. For iEEG, groups are patients, never electrodes. For DREAM, the outer group is participant and a secondary split leaves out entire contributing datasets. For multisite behavior, the strongest external validation leaves out laboratories. The same split objects are serialized and reused for all candidate models, so score differences are paired.</w:t>
      </w:r>
    </w:p>
    <w:p>
      <w:pPr>
        <w:pStyle w:val="Heading2"/>
        <w:widowControl/>
      </w:pPr>
      <w:r>
        <w:rPr>
          <w:rFonts w:ascii="Times New Roman" w:hAnsi="Times New Roman" w:eastAsia="Times New Roman"/>
          <w:b/>
          <w:i w:val="0"/>
          <w:color w:val="000000"/>
          <w:sz w:val="26"/>
        </w:rPr>
        <w:t>7. Behavioral preprocessing and latent-label estimation</w:t>
      </w:r>
    </w:p>
    <w:p>
      <w:pPr>
        <w:pStyle w:val="Heading3"/>
        <w:widowControl/>
      </w:pPr>
      <w:r>
        <w:rPr>
          <w:rFonts w:ascii="Times New Roman" w:hAnsi="Times New Roman" w:eastAsia="Times New Roman"/>
          <w:b/>
          <w:i/>
          <w:color w:val="000000"/>
          <w:sz w:val="24"/>
        </w:rPr>
        <w:t>7.1 Common trial schema</w:t>
      </w:r>
    </w:p>
    <w:p>
      <w:pPr>
        <w:widowControl/>
        <w:jc w:val="both"/>
      </w:pPr>
      <w:r>
        <w:rPr>
          <w:rFonts w:ascii="Times New Roman" w:hAnsi="Times New Roman" w:eastAsia="Times New Roman"/>
          <w:color w:val="000000"/>
          <w:sz w:val="24"/>
        </w:rPr>
        <w:t>Behavioral data from all resources will be converted to a long-form Parquet schema with one row per trial, block, awakening, or state window. Required columns are dataset_family, modality, site, subject, session, run, event_id, time_reference, condition, stimulus_id, stimulus_features, response, response_time, correctness, observed_experience, arousal_state, report_availability, and qc_status. Dataset-specific columns are retained in nested metadata. All original codes are preserved alongside normalized labels. Conversion functions will be pure and tested against published condition counts.</w:t>
      </w:r>
    </w:p>
    <w:p>
      <w:pPr>
        <w:widowControl/>
        <w:jc w:val="both"/>
      </w:pPr>
      <w:r>
        <w:rPr>
          <w:rFonts w:ascii="Times New Roman" w:hAnsi="Times New Roman" w:eastAsia="Times New Roman"/>
          <w:color w:val="000000"/>
          <w:sz w:val="24"/>
        </w:rPr>
        <w:t>Impossible values, duplicated events, nonmonotonic timestamps, and mismatches between event files and recordings will be flagged. Trials are not discarded solely because a response is absent; missing response, no-response instruction, and failed response are distinct. Reaction times below 100 ms or beyond the dataset-specific response window are marked invalid for speed analyses but may remain usable for neural contrasts if the stimulus event is intact. Exclusion reports will list counts by subject, condition, site, and reason.</w:t>
      </w:r>
    </w:p>
    <w:p>
      <w:pPr>
        <w:pStyle w:val="Heading3"/>
        <w:widowControl/>
      </w:pPr>
      <w:r>
        <w:rPr>
          <w:rFonts w:ascii="Times New Roman" w:hAnsi="Times New Roman" w:eastAsia="Times New Roman"/>
          <w:b/>
          <w:i/>
          <w:color w:val="000000"/>
          <w:sz w:val="24"/>
        </w:rPr>
        <w:t>7.2 Awareness and experience models</w:t>
      </w:r>
    </w:p>
    <w:p>
      <w:pPr>
        <w:widowControl/>
        <w:jc w:val="both"/>
      </w:pPr>
      <w:r>
        <w:rPr>
          <w:rFonts w:ascii="Times New Roman" w:hAnsi="Times New Roman" w:eastAsia="Times New Roman"/>
          <w:color w:val="000000"/>
          <w:sz w:val="24"/>
        </w:rPr>
        <w:t>Ordinal visibility ratings are modeled using cumulative-link mixed models. Participant-specific thresholds capture scale use; site-specific threshold shifts are estimated when warranted. Stimulus presence, contrast, duration, masking, trial history, and session enter the evidence model. The latent E score is scaled within paradigm to mean zero and unit variance on the development partition, with lower values indicating weaker evidence for experience. The scale is not assumed cardinally equal across paradigms. Cross-paradigm models use relative condition geometry and posterior uncertainty, not direct equality of a PAS point and a dream report.</w:t>
      </w:r>
    </w:p>
    <w:p>
      <w:pPr>
        <w:widowControl/>
        <w:jc w:val="both"/>
      </w:pPr>
      <w:r>
        <w:rPr>
          <w:rFonts w:ascii="Times New Roman" w:hAnsi="Times New Roman" w:eastAsia="Times New Roman"/>
          <w:color w:val="000000"/>
          <w:sz w:val="24"/>
        </w:rPr>
        <w:t>Binary experience reports use hierarchical logistic models with participant and dataset random intercepts. In sleep and sedation, recall delay and report informativeness are modeled explicitly. The category experience without recall contributes a likelihood interval rather than a fixed midpoint. No-information responses are missing not at random candidates; primary analyses exclude them from E-labeled contrasts, while sensitivity analyses fit selection and pattern-mixture models. No-report physiological labels use cross-fitted calibration: the mapping from ocular or pupil features to perceived status is learned only on independent report trials and applied to held-out no-report trials.</w:t>
      </w:r>
    </w:p>
    <w:p>
      <w:pPr>
        <w:pStyle w:val="Heading3"/>
        <w:widowControl/>
      </w:pPr>
      <w:r>
        <w:rPr>
          <w:rFonts w:ascii="Times New Roman" w:hAnsi="Times New Roman" w:eastAsia="Times New Roman"/>
          <w:b/>
          <w:i/>
          <w:color w:val="000000"/>
          <w:sz w:val="24"/>
        </w:rPr>
        <w:t>7.3 Objective performance and signal detection</w:t>
      </w:r>
    </w:p>
    <w:p>
      <w:pPr>
        <w:widowControl/>
        <w:jc w:val="both"/>
      </w:pPr>
      <w:r>
        <w:rPr>
          <w:rFonts w:ascii="Times New Roman" w:hAnsi="Times New Roman" w:eastAsia="Times New Roman"/>
          <w:color w:val="000000"/>
          <w:sz w:val="24"/>
        </w:rPr>
        <w:t>Accuracy, sensitivity, response bias, and confidence are separated. Binary discrimination uses hierarchical signal-detection or logistic models with stimulus identity and response mapping. Above-chance performance at low reported awareness is evaluated using posterior predictive performance across the full E distribution rather than a selected bin. Evidence for low E requires either a region of practical equivalence around zero awareness sensitivity or a sufficiently precise posterior under the chosen measurement model; failure to reject zero is not accepted as evidence of absence [30-32,43].</w:t>
      </w:r>
    </w:p>
    <w:p>
      <w:pPr>
        <w:widowControl/>
        <w:jc w:val="both"/>
      </w:pPr>
      <w:r>
        <w:rPr>
          <w:rFonts w:ascii="Times New Roman" w:hAnsi="Times New Roman" w:eastAsia="Times New Roman"/>
          <w:color w:val="000000"/>
          <w:sz w:val="24"/>
        </w:rPr>
        <w:t>For the multisite working-memory dataset, trial-level delayed discrimination is modeled as a function of latent E, cue presence, stimulus contrast, session, laboratory, language, and their preregistered interactions. A flexible monotonic spline for E will test whether performance approaches chance at the lower end without imposing linearity. The key estimand is the posterior expected performance at a prespecified low-E quantile, accompanied by calibration curves and sensitivity to scale thresholds. Reliability corrections will be implemented through a joint measurement model rather than post hoc disattenuation alone.</w:t>
      </w:r>
    </w:p>
    <w:p>
      <w:pPr>
        <w:pStyle w:val="Heading2"/>
        <w:widowControl/>
      </w:pPr>
      <w:r>
        <w:rPr>
          <w:rFonts w:ascii="Times New Roman" w:hAnsi="Times New Roman" w:eastAsia="Times New Roman"/>
          <w:b/>
          <w:i w:val="0"/>
          <w:color w:val="000000"/>
          <w:sz w:val="26"/>
        </w:rPr>
        <w:t>8. fMRI preprocessing and first-level modeling</w:t>
      </w:r>
    </w:p>
    <w:p>
      <w:pPr>
        <w:pStyle w:val="Heading3"/>
        <w:widowControl/>
      </w:pPr>
      <w:r>
        <w:rPr>
          <w:rFonts w:ascii="Times New Roman" w:hAnsi="Times New Roman" w:eastAsia="Times New Roman"/>
          <w:b/>
          <w:i/>
          <w:color w:val="000000"/>
          <w:sz w:val="24"/>
        </w:rPr>
        <w:t>8.1 BIDS validation and anatomical processing</w:t>
      </w:r>
    </w:p>
    <w:p>
      <w:pPr>
        <w:widowControl/>
        <w:jc w:val="both"/>
      </w:pPr>
      <w:r>
        <w:rPr>
          <w:rFonts w:ascii="Times New Roman" w:hAnsi="Times New Roman" w:eastAsia="Times New Roman"/>
          <w:color w:val="000000"/>
          <w:sz w:val="24"/>
        </w:rPr>
        <w:t>All raw fMRI resources will be validated against the BIDS specification [46]. Validation warnings will be triaged and recorded; errors affecting event timing, orientation, or participant identity must be resolved before inclusion. When compatible raw data are available, preprocessing will use a frozen fMRIPrep container [49] with susceptibility-distortion correction where field maps or supported alternatives exist, slice-timing correction when appropriate, rigid-body motion correction, boundary-based coregistration, anatomical segmentation, surface reconstruction, and normalization to MNI152NLin2009cAsym. Native and standard-space outputs will be retained. Published derivatives may be used when they were produced with the same or a demonstrably equivalent version and pass the project's provenance checks; the propofol resource already provides extensive fMRIPrep and XCP-D derivatives.</w:t>
      </w:r>
    </w:p>
    <w:p>
      <w:pPr>
        <w:widowControl/>
        <w:jc w:val="both"/>
      </w:pPr>
      <w:r>
        <w:rPr>
          <w:rFonts w:ascii="Times New Roman" w:hAnsi="Times New Roman" w:eastAsia="Times New Roman"/>
          <w:color w:val="000000"/>
          <w:sz w:val="24"/>
        </w:rPr>
        <w:t>Primary multivariate analyses use unsmoothed data. A 4-mm full-width-at-half-maximum smoothing sensitivity analysis will assess robustness of univariate maps. Cortical summaries use the Schaefer 400-parcel atlas with seven-network labels [52,53]; subcortical summaries use a fixed probabilistic atlas declared in the configuration. Voxelwise searchlights and alternative 200- and 600-parcel resolutions are secondary. Atlas resampling is performed once per space with nearest-neighbor interpolation for labels, and coverage masks require a minimum proportion of valid voxels per parcel.</w:t>
      </w:r>
    </w:p>
    <w:p>
      <w:pPr>
        <w:pStyle w:val="Heading3"/>
        <w:widowControl/>
      </w:pPr>
      <w:r>
        <w:rPr>
          <w:rFonts w:ascii="Times New Roman" w:hAnsi="Times New Roman" w:eastAsia="Times New Roman"/>
          <w:b/>
          <w:i/>
          <w:color w:val="000000"/>
          <w:sz w:val="24"/>
        </w:rPr>
        <w:t>8.2 Confound modeling and quality control</w:t>
      </w:r>
    </w:p>
    <w:p>
      <w:pPr>
        <w:widowControl/>
        <w:jc w:val="both"/>
      </w:pPr>
      <w:r>
        <w:rPr>
          <w:rFonts w:ascii="Times New Roman" w:hAnsi="Times New Roman" w:eastAsia="Times New Roman"/>
          <w:color w:val="000000"/>
          <w:sz w:val="24"/>
        </w:rPr>
        <w:t>Task GLMs include six motion parameters, their temporal derivatives and squared terms, anatomical CompCor components, high-pass drift terms, and one impulse regressor per high-motion volume. Framewise displacement above 0.5 mm or standardized DVARS above a preregistered threshold triggers censoring. Runs with more than 20% censored volumes, failed coregistration, severe ghosting, or inadequate brain coverage are excluded. Mean motion, temporal signal-to-noise ratio, and censoring are reported by condition and state to detect differential data loss.</w:t>
      </w:r>
    </w:p>
    <w:p>
      <w:pPr>
        <w:widowControl/>
        <w:jc w:val="both"/>
      </w:pPr>
      <w:r>
        <w:rPr>
          <w:rFonts w:ascii="Times New Roman" w:hAnsi="Times New Roman" w:eastAsia="Times New Roman"/>
          <w:color w:val="000000"/>
          <w:sz w:val="24"/>
        </w:rPr>
        <w:t>Global signal regression is not used in the primary task-activation analysis. For resting-state and connectivity analyses, both no-GSR and GSR pipelines are run as a declared multiverse because global signal may contain both artifact and state-related neural variation [50,51]. Conclusions about factorization must replicate across denoising branches or be explicitly limited. Physiological recordings, when available, enter RETROICOR-like regressors or nuisance summaries. Propofol dose and responsiveness are never regressed as nuisance because they instantiate A and R.</w:t>
      </w:r>
    </w:p>
    <w:p>
      <w:pPr>
        <w:pStyle w:val="Heading3"/>
        <w:widowControl/>
      </w:pPr>
      <w:r>
        <w:rPr>
          <w:rFonts w:ascii="Times New Roman" w:hAnsi="Times New Roman" w:eastAsia="Times New Roman"/>
          <w:b/>
          <w:i/>
          <w:color w:val="000000"/>
          <w:sz w:val="24"/>
        </w:rPr>
        <w:t>8.3 Condition and single-trial estimates</w:t>
      </w:r>
    </w:p>
    <w:p>
      <w:pPr>
        <w:widowControl/>
        <w:jc w:val="both"/>
      </w:pPr>
      <w:r>
        <w:rPr>
          <w:rFonts w:ascii="Times New Roman" w:hAnsi="Times New Roman" w:eastAsia="Times New Roman"/>
          <w:color w:val="000000"/>
          <w:sz w:val="24"/>
        </w:rPr>
        <w:t>The primary representation uses run-wise condition estimates. Each fully crossed cell required by a local construct model receives a separate regressor, convolved with the canonical hemodynamic response and temporal derivative. Counterbalanced stimulus identity, duration, category, orientation, task role, visibility, imagery instruction, and state are modeled at the finest level supported by trial counts. Run-wise estimates provide independent partitions for crossnobis distances and pattern-component likelihood.</w:t>
      </w:r>
    </w:p>
    <w:p>
      <w:pPr>
        <w:widowControl/>
        <w:jc w:val="both"/>
      </w:pPr>
      <w:r>
        <w:rPr>
          <w:rFonts w:ascii="Times New Roman" w:hAnsi="Times New Roman" w:eastAsia="Times New Roman"/>
          <w:color w:val="000000"/>
          <w:sz w:val="24"/>
        </w:rPr>
        <w:t>Secondary trial-level estimates use least-squares-separate models or GLMsingle where event density and design diagnostics support reliable separation [73-75]. The method is selected on simulation recovery and development reliability, not scientific effect size. Single-trial beta maps are used for continuous E, dose-response, and trialwise decoding. Noise precision is estimated from GLM residuals with shrinkage and separately within runs to avoid optimistic distances.</w:t>
      </w:r>
    </w:p>
    <w:p>
      <w:pPr>
        <w:pStyle w:val="Heading3"/>
        <w:widowControl/>
      </w:pPr>
      <w:r>
        <w:rPr>
          <w:rFonts w:ascii="Times New Roman" w:hAnsi="Times New Roman" w:eastAsia="Times New Roman"/>
          <w:b/>
          <w:i/>
          <w:color w:val="000000"/>
          <w:sz w:val="24"/>
        </w:rPr>
        <w:t>8.4 Connectivity and dynamics</w:t>
      </w:r>
    </w:p>
    <w:p>
      <w:pPr>
        <w:widowControl/>
        <w:jc w:val="both"/>
      </w:pPr>
      <w:r>
        <w:rPr>
          <w:rFonts w:ascii="Times New Roman" w:hAnsi="Times New Roman" w:eastAsia="Times New Roman"/>
          <w:color w:val="000000"/>
          <w:sz w:val="24"/>
        </w:rPr>
        <w:t>For rest and long imagery or sedation blocks, parcel time series will be denoised and divided into windows of at least 30 s for static connectivity and preregistered longer windows for reliability. Features include Fisher-transformed correlation, participation coefficient, within- and between-network connectivity, modularity, and a low-dimensional gradient representation. Dynamic connectivity is analyzed with hidden-state or change-point models only as secondary evidence because short windows can be unstable. Loss and recovery trajectories are compared under identical preprocessing, and hysteresis is modeled rather than averaged away.</w:t>
      </w:r>
    </w:p>
    <w:p>
      <w:pPr>
        <w:pStyle w:val="Heading2"/>
        <w:widowControl/>
      </w:pPr>
      <w:r>
        <w:rPr>
          <w:rFonts w:ascii="Times New Roman" w:hAnsi="Times New Roman" w:eastAsia="Times New Roman"/>
          <w:b/>
          <w:i w:val="0"/>
          <w:color w:val="000000"/>
          <w:sz w:val="26"/>
        </w:rPr>
        <w:t>9. MEG and scalp-EEG preprocessing</w:t>
      </w:r>
    </w:p>
    <w:p>
      <w:pPr>
        <w:pStyle w:val="Heading3"/>
        <w:widowControl/>
      </w:pPr>
      <w:r>
        <w:rPr>
          <w:rFonts w:ascii="Times New Roman" w:hAnsi="Times New Roman" w:eastAsia="Times New Roman"/>
          <w:b/>
          <w:i/>
          <w:color w:val="000000"/>
          <w:sz w:val="24"/>
        </w:rPr>
        <w:t>9.1 Common pipeline</w:t>
      </w:r>
    </w:p>
    <w:p>
      <w:pPr>
        <w:widowControl/>
        <w:jc w:val="both"/>
      </w:pPr>
      <w:r>
        <w:rPr>
          <w:rFonts w:ascii="Times New Roman" w:hAnsi="Times New Roman" w:eastAsia="Times New Roman"/>
          <w:color w:val="000000"/>
          <w:sz w:val="24"/>
        </w:rPr>
        <w:t>MEG and EEG data will be read with MNE-Python and MNE-BIDS [47,54,55]. Raw data are inspected automatically for flat channels, excessive line noise, sensor jumps, clipping, and metadata inconsistencies. MEG preprocessing uses temporal signal-space separation or the site's recommended equivalent when continuous head-position and calibration information permit. EEG and MEG are band-pass filtered from 0.1 to 150 Hz for event-related analyses, with notch filters at site-specific line frequencies and harmonics. Data are resampled to 500 Hz after anti-alias filtering; a 250-Hz branch is used for computational sensitivity.</w:t>
      </w:r>
    </w:p>
    <w:p>
      <w:pPr>
        <w:widowControl/>
        <w:jc w:val="both"/>
      </w:pPr>
      <w:r>
        <w:rPr>
          <w:rFonts w:ascii="Times New Roman" w:hAnsi="Times New Roman" w:eastAsia="Times New Roman"/>
          <w:color w:val="000000"/>
          <w:sz w:val="24"/>
        </w:rPr>
        <w:t>Ocular and cardiac artifacts are identified through ICA or signal-space projection using EOG and ECG references where available. Automated component labels are suggestions, not final decisions; exclusion rules based on topography, time course, and correlation are preregistered. Autoreject-like channel and epoch repair is trained within participant [56]. Epoch rejection thresholds are estimated without access to condition labels. Condition imbalance after cleaning is addressed through stratified resampling or inverse-variance weighting rather than discarding large amounts of valid data.</w:t>
      </w:r>
    </w:p>
    <w:p>
      <w:pPr>
        <w:pStyle w:val="Heading3"/>
        <w:widowControl/>
      </w:pPr>
      <w:r>
        <w:rPr>
          <w:rFonts w:ascii="Times New Roman" w:hAnsi="Times New Roman" w:eastAsia="Times New Roman"/>
          <w:b/>
          <w:i/>
          <w:color w:val="000000"/>
          <w:sz w:val="24"/>
        </w:rPr>
        <w:t>9.2 Event-related and time-frequency representations</w:t>
      </w:r>
    </w:p>
    <w:p>
      <w:pPr>
        <w:widowControl/>
        <w:jc w:val="both"/>
      </w:pPr>
      <w:r>
        <w:rPr>
          <w:rFonts w:ascii="Times New Roman" w:hAnsi="Times New Roman" w:eastAsia="Times New Roman"/>
          <w:color w:val="000000"/>
          <w:sz w:val="24"/>
        </w:rPr>
        <w:t>Stimulus-locked perception datasets are epoched from -500 ms to at least 2,000 ms, extended to the full stimulus duration for COGITATE. Baseline correction uses -300 to -50 ms, with a no-baseline sensitivity branch for slow effects. Event-related fields or potentials are estimated by condition and independent run or block. Time-frequency power is computed with Morlet wavelets or multitapers using frequency-dependent cycles. Primary bands are defined continuously in the model; conventional theta, alpha, beta, low-gamma, and high-gamma summaries aid interpretation.</w:t>
      </w:r>
    </w:p>
    <w:p>
      <w:pPr>
        <w:widowControl/>
        <w:jc w:val="both"/>
      </w:pPr>
      <w:r>
        <w:rPr>
          <w:rFonts w:ascii="Times New Roman" w:hAnsi="Times New Roman" w:eastAsia="Times New Roman"/>
          <w:color w:val="000000"/>
          <w:sz w:val="24"/>
        </w:rPr>
        <w:t>For DREAM and propofol spontaneous EEG, artifact-cleaned pre-awakening or state windows are segmented into nonoverlapping 5-s epochs. Features are aggregated within awakening only after epoch-level quality control. Spectral power, aperiodic slope and offset, permutation entropy, Lempel-Ziv complexity, amplitude-envelope connectivity, phase-lagged connectivity, and topographic diversity are computed. No single complexity measure is designated a direct consciousness metric. Instead, each feature family is tested for unique E, A, K, and R components.</w:t>
      </w:r>
    </w:p>
    <w:p>
      <w:pPr>
        <w:pStyle w:val="Heading3"/>
        <w:widowControl/>
      </w:pPr>
      <w:r>
        <w:rPr>
          <w:rFonts w:ascii="Times New Roman" w:hAnsi="Times New Roman" w:eastAsia="Times New Roman"/>
          <w:b/>
          <w:i/>
          <w:color w:val="000000"/>
          <w:sz w:val="24"/>
        </w:rPr>
        <w:t>9.3 Source reconstruction and sensor-space primacy</w:t>
      </w:r>
    </w:p>
    <w:p>
      <w:pPr>
        <w:widowControl/>
        <w:jc w:val="both"/>
      </w:pPr>
      <w:r>
        <w:rPr>
          <w:rFonts w:ascii="Times New Roman" w:hAnsi="Times New Roman" w:eastAsia="Times New Roman"/>
          <w:color w:val="000000"/>
          <w:sz w:val="24"/>
        </w:rPr>
        <w:t>Sensor-space analysis is primary because source models and MRI availability vary across resources. For COGITATE MEG-EEG and other datasets with anatomical MRI, source reconstruction uses individual forward models and noise-normalized minimum-norm estimates, morphed to fsaverage and summarized in the same cortical atlas used for fMRI. EEG-only source results are secondary and must replicate sensor-space architecture. Cross-dataset convergence is based primarily on model geometry, which does not require identical sensors.</w:t>
      </w:r>
    </w:p>
    <w:p>
      <w:pPr>
        <w:pStyle w:val="Heading2"/>
        <w:widowControl/>
      </w:pPr>
      <w:r>
        <w:rPr>
          <w:rFonts w:ascii="Times New Roman" w:hAnsi="Times New Roman" w:eastAsia="Times New Roman"/>
          <w:b/>
          <w:i w:val="0"/>
          <w:color w:val="000000"/>
          <w:sz w:val="26"/>
        </w:rPr>
        <w:t>10. Intracranial EEG preprocessing</w:t>
      </w:r>
    </w:p>
    <w:p>
      <w:pPr>
        <w:widowControl/>
        <w:jc w:val="both"/>
      </w:pPr>
      <w:r>
        <w:rPr>
          <w:rFonts w:ascii="Times New Roman" w:hAnsi="Times New Roman" w:eastAsia="Times New Roman"/>
          <w:color w:val="000000"/>
          <w:sz w:val="24"/>
        </w:rPr>
        <w:t>The COGITATE iEEG data will be processed per patient. Channels labeled outside brain, artifactual, in white matter, or persistently noisy are excluded. Electrodes in seizure-onset zones or with frequent interictal epileptiform activity are excluded from primary analyses and restored in sensitivity analyses. Signals are notch filtered at line frequency and harmonics, downsampled to a common supported rate, and rereferenced using bipolar pairs where anatomically appropriate. Event-related potentials are analyzed below 30 Hz; broadband high-gamma amplitude is estimated from 70-150 Hz using sub-band Hilbert envelopes and baseline normalization.</w:t>
      </w:r>
    </w:p>
    <w:p>
      <w:pPr>
        <w:widowControl/>
        <w:jc w:val="both"/>
      </w:pPr>
      <w:r>
        <w:rPr>
          <w:rFonts w:ascii="Times New Roman" w:hAnsi="Times New Roman" w:eastAsia="Times New Roman"/>
          <w:color w:val="000000"/>
          <w:sz w:val="24"/>
        </w:rPr>
        <w:t>Electrode coordinates are transformed to a common anatomical space using the released localization files and mapped probabilistically to parcels and networks. Coverage is never treated as random. The hierarchical model nests electrodes within patient and includes region-level partial pooling weighted by coverage. A region is displayed only when represented by a minimum number of patients, but all valid electrodes contribute to the global representational analysis. Cross-validation groups by patient, not electrode, preventing inflated precision from thousands of contacts.</w:t>
      </w:r>
    </w:p>
    <w:p>
      <w:pPr>
        <w:widowControl/>
        <w:jc w:val="both"/>
      </w:pPr>
      <w:r>
        <w:rPr>
          <w:rFonts w:ascii="Times New Roman" w:hAnsi="Times New Roman" w:eastAsia="Times New Roman"/>
          <w:color w:val="000000"/>
          <w:sz w:val="24"/>
        </w:rPr>
        <w:t>Time-resolved K_task, R, category, duration, and orientation components are estimated using regularized encoding and crossnobis-like distances adapted to electrode patterns. Temporal-generalization analyses train on one time point and test on every other time point [38]. Cluster-based permutation controls familywise error over time [42]. The iEEG contribution is decisive for Neuron positioning if it shows that construct components differ in onset, persistence, or anatomical distribution and converge with noninvasive data.</w:t>
      </w:r>
    </w:p>
    <w:p>
      <w:pPr>
        <w:pStyle w:val="Heading2"/>
        <w:widowControl/>
      </w:pPr>
      <w:r>
        <w:rPr>
          <w:rFonts w:ascii="Times New Roman" w:hAnsi="Times New Roman" w:eastAsia="Times New Roman"/>
          <w:b/>
          <w:i w:val="0"/>
          <w:color w:val="000000"/>
          <w:sz w:val="26"/>
        </w:rPr>
        <w:t>11. TMS-EEG and perturbational features</w:t>
      </w:r>
    </w:p>
    <w:p>
      <w:pPr>
        <w:widowControl/>
        <w:jc w:val="both"/>
      </w:pPr>
      <w:r>
        <w:rPr>
          <w:rFonts w:ascii="Times New Roman" w:hAnsi="Times New Roman" w:eastAsia="Times New Roman"/>
          <w:color w:val="000000"/>
          <w:sz w:val="24"/>
        </w:rPr>
        <w:t>The repeated-awakening propofol resource includes TMS-evoked recordings as well as spontaneous EEG. The primary preprocessing will reproduce the published pulse-artifact interpolation, filtering, bad-channel handling, epoch rejection, rereferencing, and ICA steps before computing perturbational state-transition complexity [26,67,68]. Alternative cleaning methods will be evaluated only on development data and synthetic pulse artifacts. Because TMS-evoked acquisitions may precede the immediate awakening report by several minutes, their temporal distance from the report will be recorded and entered as a moderator.</w:t>
      </w:r>
    </w:p>
    <w:p>
      <w:pPr>
        <w:widowControl/>
        <w:jc w:val="both"/>
      </w:pPr>
      <w:r>
        <w:rPr>
          <w:rFonts w:ascii="Times New Roman" w:hAnsi="Times New Roman" w:eastAsia="Times New Roman"/>
          <w:color w:val="000000"/>
          <w:sz w:val="24"/>
        </w:rPr>
        <w:t>PCIst, response amplitude, spatiotemporal propagation, source-free global mean-field power, and evoked connectivity will be extracted. The analysis asks whether these perturbational features are primarily associated with A or contribute E-specific variance within deep sedation. A null E effect is scientifically informative if uncertainty is sufficiently narrow; it would show that a measure sensitive to wakefulness versus sedation need not discriminate experience within sedation. The small number of no-experience reports will be handled through Bayesian partial pooling and leave-one-participant-out diagnostics rather than asymptotic tests.</w:t>
      </w:r>
    </w:p>
    <w:p>
      <w:pPr>
        <w:pStyle w:val="Heading2"/>
        <w:widowControl/>
      </w:pPr>
      <w:r>
        <w:rPr>
          <w:rFonts w:ascii="Times New Roman" w:hAnsi="Times New Roman" w:eastAsia="Times New Roman"/>
          <w:b/>
          <w:i w:val="0"/>
          <w:color w:val="000000"/>
          <w:sz w:val="26"/>
        </w:rPr>
        <w:t>12. Dataset-specific confirmatory contrasts</w:t>
      </w:r>
    </w:p>
    <w:p>
      <w:pPr>
        <w:pStyle w:val="Heading3"/>
        <w:widowControl/>
      </w:pPr>
      <w:r>
        <w:rPr>
          <w:rFonts w:ascii="Times New Roman" w:hAnsi="Times New Roman" w:eastAsia="Times New Roman"/>
          <w:b/>
          <w:i/>
          <w:color w:val="000000"/>
          <w:sz w:val="24"/>
        </w:rPr>
        <w:t>12.1 Multisite working memory</w:t>
      </w:r>
    </w:p>
    <w:p>
      <w:pPr>
        <w:widowControl/>
        <w:jc w:val="both"/>
      </w:pPr>
      <w:r>
        <w:rPr>
          <w:rFonts w:ascii="Times New Roman" w:hAnsi="Times New Roman" w:eastAsia="Times New Roman"/>
          <w:color w:val="000000"/>
          <w:sz w:val="24"/>
        </w:rPr>
        <w:t>The primary E-K_memory analysis uses all cue-present, cue-absent, and supraliminal trials. The latent awareness model is fitted jointly with delayed-discrimination performance. Contrast WM-1 estimates the slope of K_memory performance across E. Contrast WM-2 estimates performance at the preregistered fifth percentile of the participant-calibrated E scale. Contrast WM-3 compares a one-latent-factor model, in which E and K_memory are manifestations of shared sensory strength, with a two-component model that permits delayed maintenance beyond E. Laboratory-level prediction is evaluated by training on 18 laboratories and predicting the held-out nineteenth, cycling through all sites.</w:t>
      </w:r>
    </w:p>
    <w:p>
      <w:pPr>
        <w:widowControl/>
        <w:jc w:val="both"/>
      </w:pPr>
      <w:r>
        <w:rPr>
          <w:rFonts w:ascii="Times New Roman" w:hAnsi="Times New Roman" w:eastAsia="Times New Roman"/>
          <w:color w:val="000000"/>
          <w:sz w:val="24"/>
        </w:rPr>
        <w:t>The interpretation requires three safeguards. First, low-E performance must be calibrated against cue-absent false information and supraliminal positive control trials. Second, posterior predictive checks must show that the model reproduces the PAS distribution and accuracy jointly. Third, the K_memory component must remain when stimulus contrast, session, trial number, response side, and participant threshold use are controlled. If low-E performance disappears under a credible measurement model, the result will count against the strongest E-K dissociation rather than being rescued by alternative binning.</w:t>
      </w:r>
    </w:p>
    <w:p>
      <w:pPr>
        <w:pStyle w:val="Heading3"/>
        <w:widowControl/>
      </w:pPr>
      <w:r>
        <w:rPr>
          <w:rFonts w:ascii="Times New Roman" w:hAnsi="Times New Roman" w:eastAsia="Times New Roman"/>
          <w:b/>
          <w:i/>
          <w:color w:val="000000"/>
          <w:sz w:val="24"/>
        </w:rPr>
        <w:t>12.2 Masked-content fMRI</w:t>
      </w:r>
    </w:p>
    <w:p>
      <w:pPr>
        <w:widowControl/>
        <w:jc w:val="both"/>
      </w:pPr>
      <w:r>
        <w:rPr>
          <w:rFonts w:ascii="Times New Roman" w:hAnsi="Times New Roman" w:eastAsia="Times New Roman"/>
          <w:color w:val="000000"/>
          <w:sz w:val="24"/>
        </w:rPr>
        <w:t>The primary content contrast is living versus nonliving category information estimated independently within visibility strata and continuously across E. Category patterns are crossvalidated across runs. Visibility is modeled with an E component; accuracy and motor response are separate regressors. Contrast MC-1 asks whether category crossnobis distance is positive in the low-E posterior region. Contrast MC-2 asks whether the category-information component and E component require more than one neural direction. Contrast MC-3 trains a category decoder on high-E trials and tests low-E trials, while a reciprocal visibility decoder is tested across categories.</w:t>
      </w:r>
    </w:p>
    <w:p>
      <w:pPr>
        <w:widowControl/>
        <w:jc w:val="both"/>
      </w:pPr>
      <w:r>
        <w:rPr>
          <w:rFonts w:ascii="Times New Roman" w:hAnsi="Times New Roman" w:eastAsia="Times New Roman"/>
          <w:color w:val="000000"/>
          <w:sz w:val="24"/>
        </w:rPr>
        <w:t>To prevent stimulus-image differences from generating apparent cognition, low-level image features and stimulus identity are included where available. Analyses are repeated within ventral visual, frontoparietal, and whole-brain feature spaces, but the whole-brain architecture comparison is primary. Subject-level estimates are reported individually. A sign-consistent effect across densely sampled participants is more persuasive than a pooled trial result dominated by one participant.</w:t>
      </w:r>
    </w:p>
    <w:p>
      <w:pPr>
        <w:pStyle w:val="Heading3"/>
        <w:widowControl/>
      </w:pPr>
      <w:r>
        <w:rPr>
          <w:rFonts w:ascii="Times New Roman" w:hAnsi="Times New Roman" w:eastAsia="Times New Roman"/>
          <w:b/>
          <w:i/>
          <w:color w:val="000000"/>
          <w:sz w:val="24"/>
        </w:rPr>
        <w:t>12.3 BMVP perception by report factorial</w:t>
      </w:r>
    </w:p>
    <w:p>
      <w:pPr>
        <w:widowControl/>
        <w:jc w:val="both"/>
      </w:pPr>
      <w:r>
        <w:rPr>
          <w:rFonts w:ascii="Times New Roman" w:hAnsi="Times New Roman" w:eastAsia="Times New Roman"/>
          <w:color w:val="000000"/>
          <w:sz w:val="24"/>
        </w:rPr>
        <w:t>The BMVP confirmatory design contains E, report context, stimulus presence or threshold evidence, and their interaction. In report blocks, E is calibrated from subjective report. In no-report blocks, E is inferred from cross-fitted ocular and pupil indicators. Contrast BMVP-1 tests an E component common across report contexts. Contrast BMVP-2 tests an R or report-context component after E. Contrast BMVP-3 tests whether the E x R interaction is required, which would indicate that report changes the neural expression or measurement of experience without fully constituting it.</w:t>
      </w:r>
    </w:p>
    <w:p>
      <w:pPr>
        <w:widowControl/>
        <w:jc w:val="both"/>
      </w:pPr>
      <w:r>
        <w:rPr>
          <w:rFonts w:ascii="Times New Roman" w:hAnsi="Times New Roman" w:eastAsia="Times New Roman"/>
          <w:color w:val="000000"/>
          <w:sz w:val="24"/>
        </w:rPr>
        <w:t>The no-report classifier is trained and evaluated in nested folds. Its predicted probability, not its hard label, enters the E measurement model. A negative control permutes report-trial E labels before calibration. A positive control predicts report-trial perception from held-out ocular data. The neural analysis includes eye position, microsaccade rate, blink rate, and pupil baseline, preventing covert oculomotor differences from being redescribed as an E component.</w:t>
      </w:r>
    </w:p>
    <w:p>
      <w:pPr>
        <w:pStyle w:val="Heading3"/>
        <w:widowControl/>
      </w:pPr>
      <w:r>
        <w:rPr>
          <w:rFonts w:ascii="Times New Roman" w:hAnsi="Times New Roman" w:eastAsia="Times New Roman"/>
          <w:b/>
          <w:i/>
          <w:color w:val="000000"/>
          <w:sz w:val="24"/>
        </w:rPr>
        <w:t>12.4 COGITATE task selection and response</w:t>
      </w:r>
    </w:p>
    <w:p>
      <w:pPr>
        <w:widowControl/>
        <w:jc w:val="both"/>
      </w:pPr>
      <w:r>
        <w:rPr>
          <w:rFonts w:ascii="Times New Roman" w:hAnsi="Times New Roman" w:eastAsia="Times New Roman"/>
          <w:color w:val="000000"/>
          <w:sz w:val="24"/>
        </w:rPr>
        <w:t>The COGITATE construct map exploits mini-block counterbalancing. K_task is estimated by comparing the same stimulus identities when they are task-relevant nontargets versus task-irrelevant items. Both conditions lack a required target response. R is estimated from target versus nontarget events with stimulus identity, category, orientation, duration, and rarity included, supplemented by motor-localizer data where available. Category and duration are S or content covariates, not definitions of cognition.</w:t>
      </w:r>
    </w:p>
    <w:p>
      <w:pPr>
        <w:widowControl/>
        <w:jc w:val="both"/>
      </w:pPr>
      <w:r>
        <w:rPr>
          <w:rFonts w:ascii="Times New Roman" w:hAnsi="Times New Roman" w:eastAsia="Times New Roman"/>
          <w:color w:val="000000"/>
          <w:sz w:val="24"/>
        </w:rPr>
        <w:t>Contrast COG-1 tests whether K_task and R require separate components. Contrast COG-2 tests whether a task component generalizes across fMRI, MEG-EEG, and iEEG at the level of representational geometry. Contrast COG-3 tests whether K_task changes sensory-content geometry, implemented as a category x task-relevance interaction. Contrast COG-4 quantifies temporal divergence of category, K_task, and R in MEG-EEG and iEEG. Because E is approximately high and constant by design, COGITATE constrains the K-R portion of the global architecture rather than proving an E component.</w:t>
      </w:r>
    </w:p>
    <w:p>
      <w:pPr>
        <w:pStyle w:val="Heading3"/>
        <w:widowControl/>
      </w:pPr>
      <w:r>
        <w:rPr>
          <w:rFonts w:ascii="Times New Roman" w:hAnsi="Times New Roman" w:eastAsia="Times New Roman"/>
          <w:b/>
          <w:i/>
          <w:color w:val="000000"/>
          <w:sz w:val="24"/>
        </w:rPr>
        <w:t>12.5 Propofol volition, responsiveness, and arousal</w:t>
      </w:r>
    </w:p>
    <w:p>
      <w:pPr>
        <w:widowControl/>
        <w:jc w:val="both"/>
      </w:pPr>
      <w:r>
        <w:rPr>
          <w:rFonts w:ascii="Times New Roman" w:hAnsi="Times New Roman" w:eastAsia="Times New Roman"/>
          <w:color w:val="000000"/>
          <w:sz w:val="24"/>
        </w:rPr>
        <w:t>For each propofol fMRI participant, awake baseline imagery blocks define tennis, navigation, and imagined-hand-squeeze templates. These templates are tested in independent baseline runs to establish positive-control reliability, then projected onto sedated instruction blocks. Continuous squeeze force defines R. Dose and state transition define A. Contrast PROP-1 tests imagery-template expression during periods with no force response. Contrast PROP-2 partitions neural variance among A, K_volition, and R. Contrast PROP-3 compares loss and recovery at matched estimated dose to test hysteresis.</w:t>
      </w:r>
    </w:p>
    <w:p>
      <w:pPr>
        <w:widowControl/>
        <w:jc w:val="both"/>
      </w:pPr>
      <w:r>
        <w:rPr>
          <w:rFonts w:ascii="Times New Roman" w:hAnsi="Times New Roman" w:eastAsia="Times New Roman"/>
          <w:color w:val="000000"/>
          <w:sz w:val="24"/>
        </w:rPr>
        <w:t>The primary K_volition result is not a group classifier trained and tested on temporally adjacent blocks. Training is restricted to responsive localizer data, and testing is grouped by run and state period. Auditory instruction effects are controlled using instruction-versus-rest contrasts shared across imagery types; volition requires task-specific pattern evidence, not generic response to sound. Participants with unreliable awake imagery localizers contribute to A and R analyses but are excluded from K_volition classification by a preregistered positive-control rule.</w:t>
      </w:r>
    </w:p>
    <w:p>
      <w:pPr>
        <w:pStyle w:val="Heading3"/>
        <w:widowControl/>
      </w:pPr>
      <w:r>
        <w:rPr>
          <w:rFonts w:ascii="Times New Roman" w:hAnsi="Times New Roman" w:eastAsia="Times New Roman"/>
          <w:b/>
          <w:i/>
          <w:color w:val="000000"/>
          <w:sz w:val="24"/>
        </w:rPr>
        <w:t>12.6 DREAM within-stage experience</w:t>
      </w:r>
    </w:p>
    <w:p>
      <w:pPr>
        <w:widowControl/>
        <w:jc w:val="both"/>
      </w:pPr>
      <w:r>
        <w:rPr>
          <w:rFonts w:ascii="Times New Roman" w:hAnsi="Times New Roman" w:eastAsia="Times New Roman"/>
          <w:color w:val="000000"/>
          <w:sz w:val="24"/>
        </w:rPr>
        <w:t>DREAM analyses are performed separately within contributing dataset and sleep stage before hierarchical pooling. Contrast DREAM-1 compares experience versus no-experience awakenings within stage. Contrast DREAM-2 estimates E after continuous spectral arousal, time of night, and prior awakening are controlled. Contrast DREAM-3 tests whether the same E model applies across NREM and REM or requires an E x stage interaction. Contrast DREAM-4 treats experience without recall as an uncertain intermediate category and estimates its likely position from neural and report metadata without forcing it onto the E scale.</w:t>
      </w:r>
    </w:p>
    <w:p>
      <w:pPr>
        <w:widowControl/>
        <w:jc w:val="both"/>
      </w:pPr>
      <w:r>
        <w:rPr>
          <w:rFonts w:ascii="Times New Roman" w:hAnsi="Times New Roman" w:eastAsia="Times New Roman"/>
          <w:color w:val="000000"/>
          <w:sz w:val="24"/>
        </w:rPr>
        <w:t>The principal neural window is the final 60 s before awakening, summarized across quality-controlled 5-s epochs. A 20-s window tests temporal proximity, while a 120-s window tests stability where recordings permit. Awakenings scored as wake by electrophysiology but described as sleep by participants are retained with an objective-subjective discrepancy flag and examined in sensitivity analysis. A dataset contributes to the primary E contrast only if it contains both experience and no-experience observations after stage matching.</w:t>
      </w:r>
    </w:p>
    <w:p>
      <w:pPr>
        <w:pStyle w:val="Heading3"/>
        <w:widowControl/>
      </w:pPr>
      <w:r>
        <w:rPr>
          <w:rFonts w:ascii="Times New Roman" w:hAnsi="Times New Roman" w:eastAsia="Times New Roman"/>
          <w:b/>
          <w:i/>
          <w:color w:val="000000"/>
          <w:sz w:val="24"/>
        </w:rPr>
        <w:t>12.7 Repeated-awakening propofol experience</w:t>
      </w:r>
    </w:p>
    <w:p>
      <w:pPr>
        <w:widowControl/>
        <w:jc w:val="both"/>
      </w:pPr>
      <w:r>
        <w:rPr>
          <w:rFonts w:ascii="Times New Roman" w:hAnsi="Times New Roman" w:eastAsia="Times New Roman"/>
          <w:color w:val="000000"/>
          <w:sz w:val="24"/>
        </w:rPr>
        <w:t>Contrast PAW-1 compares spontaneous EEG feature geometry between experience and no-experience reports under deep sedation. Contrast PAW-2 partitions wake-versus-sedation variance from within-sedation E variance. Contrast PAW-3 asks whether perturbational complexity tracks A, E, or both. The analysis uses immediate report classifications and includes maintenance dose, recording order, time from EEG window to awakening, and participant as modeled effects.</w:t>
      </w:r>
    </w:p>
    <w:p>
      <w:pPr>
        <w:widowControl/>
        <w:jc w:val="both"/>
      </w:pPr>
      <w:r>
        <w:rPr>
          <w:rFonts w:ascii="Times New Roman" w:hAnsi="Times New Roman" w:eastAsia="Times New Roman"/>
          <w:color w:val="000000"/>
          <w:sz w:val="24"/>
        </w:rPr>
        <w:t>Because the number of no-experience observations is small, the family-level posterior will be broad. The result contributes mainly to direction, compatibility, and within-state construct bridging. A leave-one-observation-out influence analysis will identify whether any no-experience awakening dominates. No-information awakenings enter only sensitivity models.</w:t>
      </w:r>
    </w:p>
    <w:p>
      <w:pPr>
        <w:pStyle w:val="Heading2"/>
        <w:widowControl/>
      </w:pPr>
      <w:r>
        <w:rPr>
          <w:rFonts w:ascii="Times New Roman" w:hAnsi="Times New Roman" w:eastAsia="Times New Roman"/>
          <w:b/>
          <w:i w:val="0"/>
          <w:color w:val="000000"/>
          <w:sz w:val="26"/>
        </w:rPr>
        <w:t>13. Canonical neural feature families</w:t>
      </w:r>
    </w:p>
    <w:p>
      <w:pPr>
        <w:widowControl/>
        <w:jc w:val="both"/>
      </w:pPr>
      <w:r>
        <w:rPr>
          <w:rFonts w:ascii="Times New Roman" w:hAnsi="Times New Roman" w:eastAsia="Times New Roman"/>
          <w:color w:val="000000"/>
          <w:sz w:val="24"/>
        </w:rPr>
        <w:t>The project avoids choosing one favored biomarker. Each modality is summarized in five feature families that can express different aspects of architecture while remaining interpretable.</w:t>
      </w:r>
    </w:p>
    <w:p>
      <w:pPr>
        <w:pStyle w:val="Heading3"/>
        <w:widowControl/>
      </w:pPr>
      <w:r>
        <w:rPr>
          <w:rFonts w:ascii="Times New Roman" w:hAnsi="Times New Roman" w:eastAsia="Times New Roman"/>
          <w:b/>
          <w:i/>
          <w:color w:val="000000"/>
          <w:sz w:val="24"/>
        </w:rPr>
        <w:t>13.1 Local response and population-pattern features</w:t>
      </w:r>
    </w:p>
    <w:p>
      <w:pPr>
        <w:widowControl/>
        <w:jc w:val="both"/>
      </w:pPr>
      <w:r>
        <w:rPr>
          <w:rFonts w:ascii="Times New Roman" w:hAnsi="Times New Roman" w:eastAsia="Times New Roman"/>
          <w:color w:val="000000"/>
          <w:sz w:val="24"/>
        </w:rPr>
        <w:t>These include fMRI condition betas, parcel patterns, ERP or ERF amplitude, time-frequency power, broadband high gamma, and TMS-evoked response amplitude. They test where and when a construct changes population activity. Noise normalization is performed within modality and participant. Univariate and multivariate estimates are kept separate.</w:t>
      </w:r>
    </w:p>
    <w:p>
      <w:pPr>
        <w:pStyle w:val="Heading3"/>
        <w:widowControl/>
      </w:pPr>
      <w:r>
        <w:rPr>
          <w:rFonts w:ascii="Times New Roman" w:hAnsi="Times New Roman" w:eastAsia="Times New Roman"/>
          <w:b/>
          <w:i/>
          <w:color w:val="000000"/>
          <w:sz w:val="24"/>
        </w:rPr>
        <w:t>13.2 Information-content features</w:t>
      </w:r>
    </w:p>
    <w:p>
      <w:pPr>
        <w:widowControl/>
        <w:jc w:val="both"/>
      </w:pPr>
      <w:r>
        <w:rPr>
          <w:rFonts w:ascii="Times New Roman" w:hAnsi="Times New Roman" w:eastAsia="Times New Roman"/>
          <w:color w:val="000000"/>
          <w:sz w:val="24"/>
        </w:rPr>
        <w:t>Crossvalidated discriminability quantifies information about category, orientation, imagery type, target role, delayed judgment, or experience label. Crossnobis distance is preferred because its expected value is zero under the null and it supports additive representational models [33,34]. Linear decoding is reported for communicability, but inference uses held-out score differences and permutation baselines. Decoders use balanced folds or appropriate class weights and are calibrated before probability outputs enter another model.</w:t>
      </w:r>
    </w:p>
    <w:p>
      <w:pPr>
        <w:pStyle w:val="Heading3"/>
        <w:widowControl/>
      </w:pPr>
      <w:r>
        <w:rPr>
          <w:rFonts w:ascii="Times New Roman" w:hAnsi="Times New Roman" w:eastAsia="Times New Roman"/>
          <w:b/>
          <w:i/>
          <w:color w:val="000000"/>
          <w:sz w:val="24"/>
        </w:rPr>
        <w:t>13.3 Connectivity and integration features</w:t>
      </w:r>
    </w:p>
    <w:p>
      <w:pPr>
        <w:widowControl/>
        <w:jc w:val="both"/>
      </w:pPr>
      <w:r>
        <w:rPr>
          <w:rFonts w:ascii="Times New Roman" w:hAnsi="Times New Roman" w:eastAsia="Times New Roman"/>
          <w:color w:val="000000"/>
          <w:sz w:val="24"/>
        </w:rPr>
        <w:t>For fMRI, MEG, EEG, and iEEG, features include within-network and between-network connectivity, participation coefficient, modularity, integration, and low-dimensional connectivity gradients. Connectivity estimates are residualized for motion or volume-conduction controls as appropriate. Scalp phase connectivity uses leakage-resistant measures as primary. Connectivity matrices are reduced to preregistered network summaries before cross-dataset analysis; exploratory edgewise maps receive stringent correction.</w:t>
      </w:r>
    </w:p>
    <w:p>
      <w:pPr>
        <w:pStyle w:val="Heading3"/>
        <w:widowControl/>
      </w:pPr>
      <w:r>
        <w:rPr>
          <w:rFonts w:ascii="Times New Roman" w:hAnsi="Times New Roman" w:eastAsia="Times New Roman"/>
          <w:b/>
          <w:i/>
          <w:color w:val="000000"/>
          <w:sz w:val="24"/>
        </w:rPr>
        <w:t>13.4 Complexity and diversity features</w:t>
      </w:r>
    </w:p>
    <w:p>
      <w:pPr>
        <w:widowControl/>
        <w:jc w:val="both"/>
      </w:pPr>
      <w:r>
        <w:rPr>
          <w:rFonts w:ascii="Times New Roman" w:hAnsi="Times New Roman" w:eastAsia="Times New Roman"/>
          <w:color w:val="000000"/>
          <w:sz w:val="24"/>
        </w:rPr>
        <w:t>Features include Lempel-Ziv complexity, permutation entropy, spectral entropy, multiscale entropy where data length supports it, and perturbational state-transition complexity for TMS-EEG. Complexity is computed with length-matched windows and surrogate normalization. Since complexity often changes with arousal, the critical question is its unique E or K contribution after A, not its raw difference between wakefulness and altered states.</w:t>
      </w:r>
    </w:p>
    <w:p>
      <w:pPr>
        <w:pStyle w:val="Heading3"/>
        <w:widowControl/>
      </w:pPr>
      <w:r>
        <w:rPr>
          <w:rFonts w:ascii="Times New Roman" w:hAnsi="Times New Roman" w:eastAsia="Times New Roman"/>
          <w:b/>
          <w:i/>
          <w:color w:val="000000"/>
          <w:sz w:val="24"/>
        </w:rPr>
        <w:t>13.5 Temporal persistence and state-transition features</w:t>
      </w:r>
    </w:p>
    <w:p>
      <w:pPr>
        <w:widowControl/>
        <w:jc w:val="both"/>
      </w:pPr>
      <w:r>
        <w:rPr>
          <w:rFonts w:ascii="Times New Roman" w:hAnsi="Times New Roman" w:eastAsia="Times New Roman"/>
          <w:color w:val="000000"/>
          <w:sz w:val="24"/>
        </w:rPr>
        <w:t>Stimulus-locked data provide temporal-generalization matrices, representational persistence, onset, peak, and duration. Continuous-state data provide dwell time, autocorrelation timescale, and transition probability among data-driven states. State models are trained without construct labels and aligned to constructs only on held-out data. This prevents the number or ordering of states from being selected to support the theory.</w:t>
      </w:r>
    </w:p>
    <w:p>
      <w:pPr>
        <w:pStyle w:val="Heading2"/>
        <w:widowControl/>
      </w:pPr>
      <w:r>
        <w:rPr>
          <w:rFonts w:ascii="Times New Roman" w:hAnsi="Times New Roman" w:eastAsia="Times New Roman"/>
          <w:b/>
          <w:i w:val="0"/>
          <w:color w:val="000000"/>
          <w:sz w:val="26"/>
        </w:rPr>
        <w:t>14. Crossvalidated representational geometry</w:t>
      </w:r>
    </w:p>
    <w:p>
      <w:pPr>
        <w:pStyle w:val="Heading3"/>
        <w:widowControl/>
      </w:pPr>
      <w:r>
        <w:rPr>
          <w:rFonts w:ascii="Times New Roman" w:hAnsi="Times New Roman" w:eastAsia="Times New Roman"/>
          <w:b/>
          <w:i/>
          <w:color w:val="000000"/>
          <w:sz w:val="24"/>
        </w:rPr>
        <w:t>14.1 Crossnobis distance estimation</w:t>
      </w:r>
    </w:p>
    <w:p>
      <w:pPr>
        <w:widowControl/>
        <w:jc w:val="both"/>
      </w:pPr>
      <w:r>
        <w:rPr>
          <w:rFonts w:ascii="Times New Roman" w:hAnsi="Times New Roman" w:eastAsia="Times New Roman"/>
          <w:color w:val="000000"/>
          <w:sz w:val="24"/>
        </w:rPr>
        <w:t>For each participant, modality, region or feature family, condition patterns are estimated in independent partitions A and B. The crossvalidated Mahalanobis distance between conditions a and b is:</w:t>
      </w:r>
    </w:p>
    <w:p>
      <w:pPr>
        <w:keepLines/>
        <w:widowControl/>
        <w:spacing w:before="80" w:after="120"/>
      </w:pPr>
      <m:oMathPara>
        <m:oMathParaPr>
          <m:jc m:val="center"/>
        </m:oMathParaPr>
        <m:oMath>
          <m:sSub>
            <m:e>
              <m:r>
                <m:t>d</m:t>
              </m:r>
            </m:e>
            <m:sub>
              <m:r>
                <m:t>a</m:t>
              </m:r>
              <m:r>
                <m:t>b</m:t>
              </m:r>
            </m:sub>
          </m:sSub>
          <m:r>
            <m:rPr>
              <m:sty m:val="p"/>
            </m:rPr>
            <m:t>=</m:t>
          </m:r>
          <m:f>
            <m:fPr>
              <m:type m:val="bar"/>
            </m:fPr>
            <m:num>
              <m:sSup>
                <m:e>
                  <m:d>
                    <m:dPr>
                      <m:begChr m:val="("/>
                      <m:endChr m:val=")"/>
                      <m:sepChr m:val=""/>
                      <m:grow/>
                    </m:dPr>
                    <m:e>
                      <m:sSubSup>
                        <m:e>
                          <m:r>
                            <m:rPr>
                              <m:sty m:val="b"/>
                            </m:rPr>
                            <m:t>β</m:t>
                          </m:r>
                        </m:e>
                        <m:sub>
                          <m:r>
                            <m:t>a</m:t>
                          </m:r>
                        </m:sub>
                        <m:sup>
                          <m:r>
                            <m:t>A</m:t>
                          </m:r>
                        </m:sup>
                      </m:sSubSup>
                      <m:r>
                        <m:rPr>
                          <m:sty m:val="p"/>
                        </m:rPr>
                        <m:t>−</m:t>
                      </m:r>
                      <m:sSubSup>
                        <m:e>
                          <m:r>
                            <m:rPr>
                              <m:sty m:val="b"/>
                            </m:rPr>
                            <m:t>β</m:t>
                          </m:r>
                        </m:e>
                        <m:sub>
                          <m:r>
                            <m:t>b</m:t>
                          </m:r>
                        </m:sub>
                        <m:sup>
                          <m:r>
                            <m:t>A</m:t>
                          </m:r>
                        </m:sup>
                      </m:sSubSup>
                    </m:e>
                  </m:d>
                </m:e>
                <m:sup>
                  <m:r>
                    <m:rPr>
                      <m:sty m:val="p"/>
                      <m:scr m:val="sans-serif"/>
                    </m:rPr>
                    <m:t>T</m:t>
                  </m:r>
                </m:sup>
              </m:sSup>
              <m:sSubSup>
                <m:e>
                  <m:r>
                    <m:rPr>
                      <m:sty m:val="b"/>
                    </m:rPr>
                    <m:t>Σ</m:t>
                  </m:r>
                </m:e>
                <m:sub>
                  <m:r>
                    <m:rPr>
                      <m:sty m:val="p"/>
                    </m:rPr>
                    <m:t>t</m:t>
                  </m:r>
                  <m:r>
                    <m:rPr>
                      <m:sty m:val="p"/>
                    </m:rPr>
                    <m:t>r</m:t>
                  </m:r>
                  <m:r>
                    <m:rPr>
                      <m:sty m:val="p"/>
                    </m:rPr>
                    <m:t>a</m:t>
                  </m:r>
                  <m:r>
                    <m:rPr>
                      <m:sty m:val="p"/>
                    </m:rPr>
                    <m:t>i</m:t>
                  </m:r>
                  <m:r>
                    <m:rPr>
                      <m:sty m:val="p"/>
                    </m:rPr>
                    <m:t>n</m:t>
                  </m:r>
                </m:sub>
                <m:sup>
                  <m:r>
                    <m:rPr>
                      <m:sty m:val="p"/>
                    </m:rPr>
                    <m:t>−</m:t>
                  </m:r>
                  <m:r>
                    <m:t>1</m:t>
                  </m:r>
                </m:sup>
              </m:sSubSup>
              <m:d>
                <m:dPr>
                  <m:begChr m:val="("/>
                  <m:endChr m:val=")"/>
                  <m:sepChr m:val=""/>
                  <m:grow/>
                </m:dPr>
                <m:e>
                  <m:sSubSup>
                    <m:e>
                      <m:r>
                        <m:rPr>
                          <m:sty m:val="b"/>
                        </m:rPr>
                        <m:t>β</m:t>
                      </m:r>
                    </m:e>
                    <m:sub>
                      <m:r>
                        <m:t>a</m:t>
                      </m:r>
                    </m:sub>
                    <m:sup>
                      <m:r>
                        <m:t>B</m:t>
                      </m:r>
                    </m:sup>
                  </m:sSubSup>
                  <m:r>
                    <m:rPr>
                      <m:sty m:val="p"/>
                    </m:rPr>
                    <m:t>−</m:t>
                  </m:r>
                  <m:sSubSup>
                    <m:e>
                      <m:r>
                        <m:rPr>
                          <m:sty m:val="b"/>
                        </m:rPr>
                        <m:t>β</m:t>
                      </m:r>
                    </m:e>
                    <m:sub>
                      <m:r>
                        <m:t>b</m:t>
                      </m:r>
                    </m:sub>
                    <m:sup>
                      <m:r>
                        <m:t>B</m:t>
                      </m:r>
                    </m:sup>
                  </m:sSubSup>
                </m:e>
              </m:d>
            </m:num>
            <m:den>
              <m:r>
                <m:t>P</m:t>
              </m:r>
            </m:den>
          </m:f>
          <m:r>
            <m:rPr>
              <m:sty m:val="p"/>
            </m:rPr>
            <m:t>.</m:t>
          </m:r>
        </m:oMath>
      </m:oMathPara>
    </w:p>
    <w:p>
      <w:pPr>
        <w:widowControl/>
        <w:jc w:val="both"/>
      </w:pPr>
      <w:r>
        <w:rPr>
          <w:rFonts w:ascii="Times New Roman" w:hAnsi="Times New Roman" w:eastAsia="Times New Roman"/>
          <w:color w:val="000000"/>
          <w:sz w:val="24"/>
        </w:rPr>
        <w:t>P is the number of features and Sigma_train is a shrinkage covariance matrix estimated only from training residuals. Distances are averaged across all ordered partition pairs. Their expectation is zero when true condition means are equal, although individual estimates may be negative. Negative values are retained because truncation biases model fits.</w:t>
      </w:r>
    </w:p>
    <w:p>
      <w:pPr>
        <w:widowControl/>
        <w:jc w:val="both"/>
      </w:pPr>
      <w:r>
        <w:rPr>
          <w:rFonts w:ascii="Times New Roman" w:hAnsi="Times New Roman" w:eastAsia="Times New Roman"/>
          <w:color w:val="000000"/>
          <w:sz w:val="24"/>
        </w:rPr>
        <w:t>Continuous constructs such as E and propofol concentration are converted to model-predicted condition patterns through encoding rather than arbitrary binning. For visualization only, quantile bins may be shown. RDM reliability is estimated with split-half and leave-one-run-out procedures. A region or feature family must exceed a minimum noise ceiling on development data to enter confirmatory cross-dataset transfer, but all prespecified regions remain in within-dataset maps.</w:t>
      </w:r>
    </w:p>
    <w:p>
      <w:pPr>
        <w:pStyle w:val="Heading3"/>
        <w:widowControl/>
      </w:pPr>
      <w:r>
        <w:rPr>
          <w:rFonts w:ascii="Times New Roman" w:hAnsi="Times New Roman" w:eastAsia="Times New Roman"/>
          <w:b/>
          <w:i/>
          <w:color w:val="000000"/>
          <w:sz w:val="24"/>
        </w:rPr>
        <w:t>14.2 Model RDM construction</w:t>
      </w:r>
    </w:p>
    <w:p>
      <w:pPr>
        <w:widowControl/>
        <w:jc w:val="both"/>
      </w:pPr>
      <w:r>
        <w:rPr>
          <w:rFonts w:ascii="Times New Roman" w:hAnsi="Times New Roman" w:eastAsia="Times New Roman"/>
          <w:color w:val="000000"/>
          <w:sz w:val="24"/>
        </w:rPr>
        <w:t>Each construct generates a model RDM from the absolute or squared difference between condition values. Categorical K components generate zero for same and one for different levels. Continuous components are standardized within dataset before distances are calculated. Interaction RDMs are constructed from the product of centered design columns. S and nuisance RDMs include stimulus identity, low-level visual similarity, temporal adjacency, motor side, site, and acquisition batch as appropriate.</w:t>
      </w:r>
    </w:p>
    <w:p>
      <w:pPr>
        <w:widowControl/>
        <w:jc w:val="both"/>
      </w:pPr>
      <w:r>
        <w:rPr>
          <w:rFonts w:ascii="Times New Roman" w:hAnsi="Times New Roman" w:eastAsia="Times New Roman"/>
          <w:color w:val="000000"/>
          <w:sz w:val="24"/>
        </w:rPr>
        <w:t>Model RDMs are not orthogonalized in a fixed order, because order-dependent residualization can manufacture unique effects. Instead, they enter joint nonnegative least squares, Bayesian PCM, or regularized multiple-RDM regression. Unique contribution is the paired held-out score difference when a component is removed from the full model. Shared variance is reported explicitly.</w:t>
      </w:r>
    </w:p>
    <w:p>
      <w:pPr>
        <w:pStyle w:val="Heading3"/>
        <w:widowControl/>
      </w:pPr>
      <w:r>
        <w:rPr>
          <w:rFonts w:ascii="Times New Roman" w:hAnsi="Times New Roman" w:eastAsia="Times New Roman"/>
          <w:b/>
          <w:i/>
          <w:color w:val="000000"/>
          <w:sz w:val="24"/>
        </w:rPr>
        <w:t>14.3 Pattern-component likelihood</w:t>
      </w:r>
    </w:p>
    <w:p>
      <w:pPr>
        <w:widowControl/>
        <w:jc w:val="both"/>
      </w:pPr>
      <w:r>
        <w:rPr>
          <w:rFonts w:ascii="Times New Roman" w:hAnsi="Times New Roman" w:eastAsia="Times New Roman"/>
          <w:color w:val="000000"/>
          <w:sz w:val="24"/>
        </w:rPr>
        <w:t>PCM will be the primary multivariate model where condition estimates and residual covariance are available. For each candidate architecture, covariance parameters are estimated on training partitions and predictive likelihood is evaluated on independent partitions. Dataset-specific scale and noise parameters are free, while the presence and relational structure of construct components follow the common theory. Optimization uses multiple initializations and analytic gradients where available. Failed convergence triggers a predefined fallback to crossvalidated RDM regression, not a change in scientific model.</w:t>
      </w:r>
    </w:p>
    <w:p>
      <w:pPr>
        <w:pStyle w:val="Heading3"/>
        <w:widowControl/>
      </w:pPr>
      <w:r>
        <w:rPr>
          <w:rFonts w:ascii="Times New Roman" w:hAnsi="Times New Roman" w:eastAsia="Times New Roman"/>
          <w:b/>
          <w:i/>
          <w:color w:val="000000"/>
          <w:sz w:val="24"/>
        </w:rPr>
        <w:t>14.4 Network and whole-brain analyses</w:t>
      </w:r>
    </w:p>
    <w:p>
      <w:pPr>
        <w:widowControl/>
        <w:jc w:val="both"/>
      </w:pPr>
      <w:r>
        <w:rPr>
          <w:rFonts w:ascii="Times New Roman" w:hAnsi="Times New Roman" w:eastAsia="Times New Roman"/>
          <w:color w:val="000000"/>
          <w:sz w:val="24"/>
        </w:rPr>
        <w:t>The primary fMRI analysis fits models to whole-brain parcel patterns and to seven canonical network summaries. Searchlight maps are secondary. MEG-EEG sensor-time patterns and iEEG electrode-time patterns are modeled over prespecified windows and then time resolved. For each analysis unit, component removal yields unique ΔELPD. Spatial maps are corrected using max-statistic permutation within modality. Network profiles are compared with cosine similarity and uncertainty from participant bootstrap.</w:t>
      </w:r>
    </w:p>
    <w:p>
      <w:pPr>
        <w:pStyle w:val="Heading2"/>
        <w:widowControl/>
      </w:pPr>
      <w:r>
        <w:rPr>
          <w:rFonts w:ascii="Times New Roman" w:hAnsi="Times New Roman" w:eastAsia="Times New Roman"/>
          <w:b/>
          <w:i w:val="0"/>
          <w:color w:val="000000"/>
          <w:sz w:val="26"/>
        </w:rPr>
        <w:t>15. Hierarchical evidence synthesis</w:t>
      </w:r>
    </w:p>
    <w:p>
      <w:pPr>
        <w:pStyle w:val="Heading3"/>
        <w:widowControl/>
      </w:pPr>
      <w:r>
        <w:rPr>
          <w:rFonts w:ascii="Times New Roman" w:hAnsi="Times New Roman" w:eastAsia="Times New Roman"/>
          <w:b/>
          <w:i/>
          <w:color w:val="000000"/>
          <w:sz w:val="24"/>
        </w:rPr>
        <w:t>15.1 Dataset-level score differences</w:t>
      </w:r>
    </w:p>
    <w:p>
      <w:pPr>
        <w:widowControl/>
        <w:jc w:val="both"/>
      </w:pPr>
      <w:r>
        <w:rPr>
          <w:rFonts w:ascii="Times New Roman" w:hAnsi="Times New Roman" w:eastAsia="Times New Roman"/>
          <w:color w:val="000000"/>
          <w:sz w:val="24"/>
        </w:rPr>
        <w:t>For every outer fold and participant or participant group, candidate models produce a log predictive score. Paired score differences reduce sensitivity to fold difficulty. Within each dataset, a mixed model estimates the average factorized-versus-alternative difference with participant, site, and repeated-fold effects. The uncertainty estimate accounts for correlated repeated cross-validation using participant-level aggregation and a block bootstrap.</w:t>
      </w:r>
    </w:p>
    <w:p>
      <w:pPr>
        <w:pStyle w:val="Heading3"/>
        <w:widowControl/>
      </w:pPr>
      <w:r>
        <w:rPr>
          <w:rFonts w:ascii="Times New Roman" w:hAnsi="Times New Roman" w:eastAsia="Times New Roman"/>
          <w:b/>
          <w:i/>
          <w:color w:val="000000"/>
          <w:sz w:val="24"/>
        </w:rPr>
        <w:t>15.2 Equal-family hierarchical model</w:t>
      </w:r>
    </w:p>
    <w:p>
      <w:pPr>
        <w:widowControl/>
        <w:jc w:val="both"/>
      </w:pPr>
      <w:r>
        <w:rPr>
          <w:rFonts w:ascii="Times New Roman" w:hAnsi="Times New Roman" w:eastAsia="Times New Roman"/>
          <w:color w:val="000000"/>
          <w:sz w:val="24"/>
        </w:rPr>
        <w:t>Cross-paradigm inference uses a Bayesian random-effects model:</w:t>
      </w:r>
    </w:p>
    <w:p>
      <w:pPr>
        <w:keepLines/>
        <w:widowControl/>
        <w:spacing w:before="80" w:after="120"/>
      </w:pPr>
      <m:oMathPara>
        <m:oMathParaPr>
          <m:jc m:val="center"/>
        </m:oMathParaPr>
        <m:oMath>
          <m:sSub>
            <m:e>
              <m:r>
                <m:t>δ</m:t>
              </m:r>
            </m:e>
            <m:sub>
              <m:r>
                <m:t>d</m:t>
              </m:r>
            </m:sub>
          </m:sSub>
          <m:r>
            <m:rPr>
              <m:sty m:val="p"/>
            </m:rPr>
            <m:t>∼</m:t>
          </m:r>
          <m:r>
            <m:rPr>
              <m:sty m:val="p"/>
              <m:scr m:val="script"/>
            </m:rPr>
            <m:t>N</m:t>
          </m:r>
          <m:r>
            <m:t>​</m:t>
          </m:r>
          <m:d>
            <m:dPr>
              <m:begChr m:val="("/>
              <m:endChr m:val=")"/>
              <m:sepChr m:val=""/>
              <m:grow/>
            </m:dPr>
            <m:e>
              <m:sSub>
                <m:e>
                  <m:r>
                    <m:t>μ</m:t>
                  </m:r>
                </m:e>
                <m:sub>
                  <m:r>
                    <m:t>δ</m:t>
                  </m:r>
                </m:sub>
              </m:sSub>
              <m:r>
                <m:rPr>
                  <m:sty m:val="p"/>
                </m:rPr>
                <m:t>+</m:t>
              </m:r>
              <m:sSub>
                <m:e>
                  <m:r>
                    <m:rPr>
                      <m:sty m:val="b"/>
                    </m:rPr>
                    <m:t>Z</m:t>
                  </m:r>
                </m:e>
                <m:sub>
                  <m:r>
                    <m:t>d</m:t>
                  </m:r>
                </m:sub>
              </m:sSub>
              <m:r>
                <m:rPr>
                  <m:sty m:val="b"/>
                </m:rPr>
                <m:t>γ</m:t>
              </m:r>
              <m:r>
                <m:rPr>
                  <m:sty m:val="p"/>
                </m:rPr>
                <m:t>,</m:t>
              </m:r>
              <m:sSub>
                <m:e>
                  <m:r>
                    <m:t>τ</m:t>
                  </m:r>
                </m:e>
                <m:sub>
                  <m:r>
                    <m:t>δ</m:t>
                  </m:r>
                </m:sub>
              </m:sSub>
            </m:e>
          </m:d>
          <m:r>
            <m:rPr>
              <m:sty m:val="p"/>
            </m:rPr>
            <m:t>,</m:t>
          </m:r>
        </m:oMath>
      </m:oMathPara>
    </w:p>
    <w:p>
      <w:pPr>
        <w:widowControl/>
        <w:jc w:val="both"/>
      </w:pPr>
      <w:r>
        <w:rPr>
          <w:rFonts w:ascii="Times New Roman" w:hAnsi="Times New Roman" w:eastAsia="Times New Roman"/>
          <w:color w:val="000000"/>
          <w:sz w:val="24"/>
        </w:rPr>
        <w:t>where delta_d is the standardized score difference for experimental family d, mu_delta is the cross-family mean, tau_delta is heterogeneity, and Z_d can include modality and core-versus-supporting status. Every family contributes one likelihood term after within-family aggregation, preventing COGITATE or the 531-participant behavioral resource from numerically overwhelming smaller but conceptually distinct designs. Precision still affects the width of each family estimate.</w:t>
      </w:r>
    </w:p>
    <w:p>
      <w:pPr>
        <w:widowControl/>
        <w:jc w:val="both"/>
      </w:pPr>
      <w:r>
        <w:rPr>
          <w:rFonts w:ascii="Times New Roman" w:hAnsi="Times New Roman" w:eastAsia="Times New Roman"/>
          <w:color w:val="000000"/>
          <w:sz w:val="24"/>
        </w:rPr>
        <w:t>The primary criterion is the posterior for mu_delta comparing the factorized model with the strongest nonfactorized alternative. We will report the posterior probability mu_delta&gt;0, its 95% credible interval, prediction intervals for a new paradigm, and the number of families with posterior probability delta_d&gt;0 above 0.90. Bayes factors may be provided as sensitivity analyses but will not replace predictive scores.</w:t>
      </w:r>
    </w:p>
    <w:p>
      <w:pPr>
        <w:pStyle w:val="Heading3"/>
        <w:widowControl/>
      </w:pPr>
      <w:r>
        <w:rPr>
          <w:rFonts w:ascii="Times New Roman" w:hAnsi="Times New Roman" w:eastAsia="Times New Roman"/>
          <w:b/>
          <w:i/>
          <w:color w:val="000000"/>
          <w:sz w:val="24"/>
        </w:rPr>
        <w:t>15.3 Model-selection decision rules</w:t>
      </w:r>
    </w:p>
    <w:p>
      <w:pPr>
        <w:widowControl/>
        <w:jc w:val="both"/>
      </w:pPr>
      <w:r>
        <w:rPr>
          <w:rFonts w:ascii="Times New Roman" w:hAnsi="Times New Roman" w:eastAsia="Times New Roman"/>
          <w:color w:val="000000"/>
          <w:sz w:val="24"/>
        </w:rPr>
        <w:t>The headline conclusion of cross-state factorization requires all of the following: the 95% credible interval for mu_delta is above zero; positive evidence occurs in at least four independent families; leave-one-family-out prediction favors factorization in a majority of tests including an altered-state and a perceptual family; and at least one E component and two distinct K components show positive unique predictive contribution. Failure of any criterion yields a more limited conclusion, such as E-R separability, A-K separability, or paradigm-specific factorization.</w:t>
      </w:r>
    </w:p>
    <w:p>
      <w:pPr>
        <w:widowControl/>
        <w:jc w:val="both"/>
      </w:pPr>
      <w:r>
        <w:rPr>
          <w:rFonts w:ascii="Times New Roman" w:hAnsi="Times New Roman" w:eastAsia="Times New Roman"/>
          <w:color w:val="000000"/>
          <w:sz w:val="24"/>
        </w:rPr>
        <w:t>A unitary conclusion requires that the unitary model fall within a prespecified practical-equivalence range of the best model, recover most of the saturated ceiling, and show stable transfer. A nested conclusion requires that the corresponding hierarchy beat both unitary and factorized models after complexity control. Inconclusive evidence is reported when the saturated ceiling is low or uncertainty spans substantively different architectures.</w:t>
      </w:r>
    </w:p>
    <w:p>
      <w:pPr>
        <w:pStyle w:val="Heading2"/>
        <w:widowControl/>
      </w:pPr>
      <w:r>
        <w:rPr>
          <w:rFonts w:ascii="Times New Roman" w:hAnsi="Times New Roman" w:eastAsia="Times New Roman"/>
          <w:b/>
          <w:i w:val="0"/>
          <w:color w:val="000000"/>
          <w:sz w:val="26"/>
        </w:rPr>
        <w:t>16. Leave-one-paradigm-out prediction</w:t>
      </w:r>
    </w:p>
    <w:p>
      <w:pPr>
        <w:widowControl/>
        <w:jc w:val="both"/>
      </w:pPr>
      <w:r>
        <w:rPr>
          <w:rFonts w:ascii="Times New Roman" w:hAnsi="Times New Roman" w:eastAsia="Times New Roman"/>
          <w:color w:val="000000"/>
          <w:sz w:val="24"/>
        </w:rPr>
        <w:t>The leave-one-family-out test is designed to prevent post hoc interpretation of an embedding. For each held-out family h, the hierarchical component weights and interaction priors are estimated from all other families. The held-out family's construct map, fixed by its experimental design, generates predicted relative condition geometry. No neural outcome from h is used to select the architecture or component weights. A single scale and noise parameter may be estimated from a calibration partition that is disjoint from the evaluation partition; a no-calibration cosine-similarity score is also reported.</w:t>
      </w:r>
    </w:p>
    <w:p>
      <w:pPr>
        <w:widowControl/>
        <w:jc w:val="both"/>
      </w:pPr>
      <w:r>
        <w:rPr>
          <w:rFonts w:ascii="Times New Roman" w:hAnsi="Times New Roman" w:eastAsia="Times New Roman"/>
          <w:color w:val="000000"/>
          <w:sz w:val="24"/>
        </w:rPr>
        <w:t>The prediction is evaluated against the held-out crossnobis RDM and PCM likelihood. The unitary model, each hierarchy, report bottleneck, and factorized model are compared on identical partitions. The test cycles across multisite working memory, masked content, BMVP, COGITATE, propofol volition, DREAM, and repeated-awakening propofol. Because the behavior-only family lacks neural patterns, its held-out target is the joint E-K behavioral covariance rather than a neural RDM.</w:t>
      </w:r>
    </w:p>
    <w:p>
      <w:pPr>
        <w:widowControl/>
        <w:jc w:val="both"/>
      </w:pPr>
      <w:r>
        <w:rPr>
          <w:rFonts w:ascii="Times New Roman" w:hAnsi="Times New Roman" w:eastAsia="Times New Roman"/>
          <w:color w:val="000000"/>
          <w:sz w:val="24"/>
        </w:rPr>
        <w:t>A second transfer analysis operates within fMRI. Construct-related activation patterns are mapped to common parcels, converted to Haufe-transformed encoding patterns [39], and standardized within dataset. An E pattern learned from BMVP and masked content is tested for ordered expression in independent experience-related fMRI contrasts where available. K_task from COGITATE and K_volition from propofol are tested for specificity, not assumed identical. Transfer success requires that the intended construct ordering exceed cross-construct transfer and permutation baselines.</w:t>
      </w:r>
    </w:p>
    <w:p>
      <w:pPr>
        <w:pStyle w:val="Heading2"/>
        <w:widowControl/>
      </w:pPr>
      <w:r>
        <w:rPr>
          <w:rFonts w:ascii="Times New Roman" w:hAnsi="Times New Roman" w:eastAsia="Times New Roman"/>
          <w:b/>
          <w:i w:val="0"/>
          <w:color w:val="000000"/>
          <w:sz w:val="26"/>
        </w:rPr>
        <w:t>17. Neural subspaces, principal angles, and variance partitioning</w:t>
      </w:r>
    </w:p>
    <w:p>
      <w:pPr>
        <w:pStyle w:val="Heading3"/>
        <w:widowControl/>
      </w:pPr>
      <w:r>
        <w:rPr>
          <w:rFonts w:ascii="Times New Roman" w:hAnsi="Times New Roman" w:eastAsia="Times New Roman"/>
          <w:b/>
          <w:i/>
          <w:color w:val="000000"/>
          <w:sz w:val="24"/>
        </w:rPr>
        <w:t>17.1 Stable pattern estimation</w:t>
      </w:r>
    </w:p>
    <w:p>
      <w:pPr>
        <w:widowControl/>
        <w:jc w:val="both"/>
      </w:pPr>
      <w:r>
        <w:rPr>
          <w:rFonts w:ascii="Times New Roman" w:hAnsi="Times New Roman" w:eastAsia="Times New Roman"/>
          <w:color w:val="000000"/>
          <w:sz w:val="24"/>
        </w:rPr>
        <w:t>Linear encoding models estimate construct subspaces within each outer training fold. Ridge penalties are selected internally. Weight vectors are transformed into activation patterns to reduce misinterpretation caused by feature covariance [39]. For multidimensional K, each operation has a separate vector and the combined K subspace is formed from orthonormalized activation patterns. Bootstrap resampling yields uncertainty in subspace orientation.</w:t>
      </w:r>
    </w:p>
    <w:p>
      <w:pPr>
        <w:pStyle w:val="Heading3"/>
        <w:widowControl/>
      </w:pPr>
      <w:r>
        <w:rPr>
          <w:rFonts w:ascii="Times New Roman" w:hAnsi="Times New Roman" w:eastAsia="Times New Roman"/>
          <w:b/>
          <w:i/>
          <w:color w:val="000000"/>
          <w:sz w:val="24"/>
        </w:rPr>
        <w:t>17.2 Principal-angle tests</w:t>
      </w:r>
    </w:p>
    <w:p>
      <w:pPr>
        <w:widowControl/>
        <w:jc w:val="both"/>
      </w:pPr>
      <w:r>
        <w:rPr>
          <w:rFonts w:ascii="Times New Roman" w:hAnsi="Times New Roman" w:eastAsia="Times New Roman"/>
          <w:color w:val="000000"/>
          <w:sz w:val="24"/>
        </w:rPr>
        <w:t>The smallest principal angle between E and a K_j subspace is calculated as:</w:t>
      </w:r>
    </w:p>
    <w:p>
      <w:pPr>
        <w:keepLines/>
        <w:widowControl/>
        <w:spacing w:before="80" w:after="120"/>
      </w:pPr>
      <m:oMathPara>
        <m:oMathParaPr>
          <m:jc m:val="center"/>
        </m:oMathParaPr>
        <m:oMath>
          <m:r>
            <m:rPr>
              <m:sty m:val="p"/>
            </m:rPr>
            <m:t>cos</m:t>
          </m:r>
          <m:d>
            <m:dPr>
              <m:begChr m:val="("/>
              <m:endChr m:val=")"/>
              <m:sepChr m:val=""/>
              <m:grow/>
            </m:dPr>
            <m:e>
              <m:sSub>
                <m:e>
                  <m:r>
                    <m:t>θ</m:t>
                  </m:r>
                </m:e>
                <m:sub>
                  <m:r>
                    <m:t>E</m:t>
                  </m:r>
                  <m:r>
                    <m:rPr>
                      <m:sty m:val="p"/>
                    </m:rPr>
                    <m:t>,</m:t>
                  </m:r>
                  <m:r>
                    <m:t>K</m:t>
                  </m:r>
                </m:sub>
              </m:sSub>
            </m:e>
          </m:d>
          <m:r>
            <m:rPr>
              <m:sty m:val="p"/>
            </m:rPr>
            <m:t>=</m:t>
          </m:r>
          <m:sSub>
            <m:e>
              <m:r>
                <m:t>σ</m:t>
              </m:r>
            </m:e>
            <m:sub>
              <m:r>
                <m:rPr>
                  <m:sty m:val="p"/>
                </m:rPr>
                <m:t>max</m:t>
              </m:r>
            </m:sub>
          </m:sSub>
          <m:r>
            <m:t>​</m:t>
          </m:r>
          <m:d>
            <m:dPr>
              <m:begChr m:val="("/>
              <m:endChr m:val=")"/>
              <m:sepChr m:val=""/>
              <m:grow/>
            </m:dPr>
            <m:e>
              <m:sSubSup>
                <m:e>
                  <m:r>
                    <m:rPr>
                      <m:sty m:val="b"/>
                    </m:rPr>
                    <m:t>U</m:t>
                  </m:r>
                </m:e>
                <m:sub>
                  <m:r>
                    <m:t>E</m:t>
                  </m:r>
                </m:sub>
                <m:sup>
                  <m:r>
                    <m:rPr>
                      <m:sty m:val="p"/>
                      <m:scr m:val="sans-serif"/>
                    </m:rPr>
                    <m:t>T</m:t>
                  </m:r>
                </m:sup>
              </m:sSubSup>
              <m:sSub>
                <m:e>
                  <m:r>
                    <m:rPr>
                      <m:sty m:val="b"/>
                    </m:rPr>
                    <m:t>U</m:t>
                  </m:r>
                </m:e>
                <m:sub>
                  <m:r>
                    <m:t>K</m:t>
                  </m:r>
                </m:sub>
              </m:sSub>
            </m:e>
          </m:d>
          <m:r>
            <m:rPr>
              <m:sty m:val="p"/>
            </m:rPr>
            <m:t>,</m:t>
          </m:r>
        </m:oMath>
      </m:oMathPara>
    </w:p>
    <w:p>
      <w:pPr>
        <w:widowControl/>
        <w:jc w:val="both"/>
      </w:pPr>
      <w:r>
        <w:rPr>
          <w:rFonts w:ascii="Times New Roman" w:hAnsi="Times New Roman" w:eastAsia="Times New Roman"/>
          <w:color w:val="000000"/>
          <w:sz w:val="24"/>
        </w:rPr>
        <w:t>where U_E and U_K are orthonormal bases and sigma_max is the largest singular value. Exact 90-degree orthogonality is not predicted. The test asks whether forcing theta=0, meaning collinearity, reduces held-out fit and whether the observed angle exceeds a permutation distribution that preserves construct correlation and condition balance. Angles are secondary interpretive statistics because unstable high-dimensional weights can exaggerate separation; they are reported only when subspace reliability exceeds a preregistered threshold.</w:t>
      </w:r>
    </w:p>
    <w:p>
      <w:pPr>
        <w:pStyle w:val="Heading3"/>
        <w:widowControl/>
      </w:pPr>
      <w:r>
        <w:rPr>
          <w:rFonts w:ascii="Times New Roman" w:hAnsi="Times New Roman" w:eastAsia="Times New Roman"/>
          <w:b/>
          <w:i/>
          <w:color w:val="000000"/>
          <w:sz w:val="24"/>
        </w:rPr>
        <w:t>17.3 Unique and shared variance</w:t>
      </w:r>
    </w:p>
    <w:p>
      <w:pPr>
        <w:widowControl/>
        <w:jc w:val="both"/>
      </w:pPr>
      <w:r>
        <w:rPr>
          <w:rFonts w:ascii="Times New Roman" w:hAnsi="Times New Roman" w:eastAsia="Times New Roman"/>
          <w:color w:val="000000"/>
          <w:sz w:val="24"/>
        </w:rPr>
        <w:t>Commonality analysis partitions predictable variance into unique E, unique K_j, unique A, unique R, and shared components. The unique contribution of q is:</w:t>
      </w:r>
    </w:p>
    <w:p>
      <w:pPr>
        <w:keepLines/>
        <w:widowControl/>
        <w:spacing w:before="80" w:after="120"/>
      </w:pPr>
      <m:oMathPara>
        <m:oMathParaPr>
          <m:jc m:val="center"/>
        </m:oMathParaPr>
        <m:oMath>
          <m:sSub>
            <m:e>
              <m:r>
                <m:t>U</m:t>
              </m:r>
            </m:e>
            <m:sub>
              <m:r>
                <m:t>q</m:t>
              </m:r>
            </m:sub>
          </m:sSub>
          <m:r>
            <m:rPr>
              <m:sty m:val="p"/>
            </m:rPr>
            <m:t>=</m:t>
          </m:r>
          <m:r>
            <m:rPr>
              <m:sty m:val="p"/>
            </m:rPr>
            <m:t>E</m:t>
          </m:r>
          <m:r>
            <m:rPr>
              <m:sty m:val="p"/>
            </m:rPr>
            <m:t>L</m:t>
          </m:r>
          <m:r>
            <m:rPr>
              <m:sty m:val="p"/>
            </m:rPr>
            <m:t>P</m:t>
          </m:r>
          <m:r>
            <m:rPr>
              <m:sty m:val="p"/>
            </m:rPr>
            <m:t>D</m:t>
          </m:r>
          <m:d>
            <m:dPr>
              <m:begChr m:val="("/>
              <m:endChr m:val=")"/>
              <m:sepChr m:val=""/>
              <m:grow/>
            </m:dPr>
            <m:e>
              <m:sSub>
                <m:e>
                  <m:r>
                    <m:t>M</m:t>
                  </m:r>
                </m:e>
                <m:sub>
                  <m:r>
                    <m:rPr>
                      <m:sty m:val="p"/>
                    </m:rPr>
                    <m:t>f</m:t>
                  </m:r>
                  <m:r>
                    <m:rPr>
                      <m:sty m:val="p"/>
                    </m:rPr>
                    <m:t>u</m:t>
                  </m:r>
                  <m:r>
                    <m:rPr>
                      <m:sty m:val="p"/>
                    </m:rPr>
                    <m:t>l</m:t>
                  </m:r>
                  <m:r>
                    <m:rPr>
                      <m:sty m:val="p"/>
                    </m:rPr>
                    <m:t>l</m:t>
                  </m:r>
                </m:sub>
              </m:sSub>
            </m:e>
          </m:d>
          <m:r>
            <m:rPr>
              <m:sty m:val="p"/>
            </m:rPr>
            <m:t>−</m:t>
          </m:r>
          <m:r>
            <m:rPr>
              <m:sty m:val="p"/>
            </m:rPr>
            <m:t>E</m:t>
          </m:r>
          <m:r>
            <m:rPr>
              <m:sty m:val="p"/>
            </m:rPr>
            <m:t>L</m:t>
          </m:r>
          <m:r>
            <m:rPr>
              <m:sty m:val="p"/>
            </m:rPr>
            <m:t>P</m:t>
          </m:r>
          <m:r>
            <m:rPr>
              <m:sty m:val="p"/>
            </m:rPr>
            <m:t>D</m:t>
          </m:r>
          <m:d>
            <m:dPr>
              <m:begChr m:val="("/>
              <m:endChr m:val=")"/>
              <m:sepChr m:val=""/>
              <m:grow/>
            </m:dPr>
            <m:e>
              <m:sSub>
                <m:e>
                  <m:r>
                    <m:t>M</m:t>
                  </m:r>
                </m:e>
                <m:sub>
                  <m:r>
                    <m:rPr>
                      <m:sty m:val="p"/>
                    </m:rPr>
                    <m:t>f</m:t>
                  </m:r>
                  <m:r>
                    <m:rPr>
                      <m:sty m:val="p"/>
                    </m:rPr>
                    <m:t>u</m:t>
                  </m:r>
                  <m:r>
                    <m:rPr>
                      <m:sty m:val="p"/>
                    </m:rPr>
                    <m:t>l</m:t>
                  </m:r>
                  <m:r>
                    <m:rPr>
                      <m:sty m:val="p"/>
                    </m:rPr>
                    <m:t>l</m:t>
                  </m:r>
                  <m:r>
                    <m:rPr>
                      <m:sty m:val="p"/>
                    </m:rPr>
                    <m:t>−</m:t>
                  </m:r>
                  <m:r>
                    <m:t>q</m:t>
                  </m:r>
                </m:sub>
              </m:sSub>
            </m:e>
          </m:d>
          <m:r>
            <m:rPr>
              <m:sty m:val="p"/>
            </m:rPr>
            <m:t>.</m:t>
          </m:r>
        </m:oMath>
      </m:oMathPara>
    </w:p>
    <w:p>
      <w:pPr>
        <w:widowControl/>
        <w:jc w:val="both"/>
      </w:pPr>
      <w:r>
        <w:rPr>
          <w:rFonts w:ascii="Times New Roman" w:hAnsi="Times New Roman" w:eastAsia="Times New Roman"/>
          <w:color w:val="000000"/>
          <w:sz w:val="24"/>
        </w:rPr>
        <w:t>All quantities are computed out of sample. Shared variance is not assigned arbitrarily to one construct. A large E-K shared component with small but reproducible unique components supports partial factorization; a wholly shared component supports a common or nested model depending on directional predictions.</w:t>
      </w:r>
    </w:p>
    <w:p>
      <w:pPr>
        <w:pStyle w:val="Heading2"/>
        <w:widowControl/>
      </w:pPr>
      <w:r>
        <w:rPr>
          <w:rFonts w:ascii="Times New Roman" w:hAnsi="Times New Roman" w:eastAsia="Times New Roman"/>
          <w:b/>
          <w:i w:val="0"/>
          <w:color w:val="000000"/>
          <w:sz w:val="26"/>
        </w:rPr>
        <w:t>18. Temporal dynamics and causal ordering constraints</w:t>
      </w:r>
    </w:p>
    <w:p>
      <w:pPr>
        <w:pStyle w:val="Heading3"/>
        <w:widowControl/>
      </w:pPr>
      <w:r>
        <w:rPr>
          <w:rFonts w:ascii="Times New Roman" w:hAnsi="Times New Roman" w:eastAsia="Times New Roman"/>
          <w:b/>
          <w:i/>
          <w:color w:val="000000"/>
          <w:sz w:val="24"/>
        </w:rPr>
        <w:t>18.1 Stimulus-locked temporal-generalization analysis</w:t>
      </w:r>
    </w:p>
    <w:p>
      <w:pPr>
        <w:widowControl/>
        <w:jc w:val="both"/>
      </w:pPr>
      <w:r>
        <w:rPr>
          <w:rFonts w:ascii="Times New Roman" w:hAnsi="Times New Roman" w:eastAsia="Times New Roman"/>
          <w:color w:val="000000"/>
          <w:sz w:val="24"/>
        </w:rPr>
        <w:t>For COGITATE MEG-EEG and iEEG, and BMVP EEG where compatible, models are trained at time t_train and evaluated at t_test. This yields temporal-generalization matrices for S, E, K_task, content, and R [38]. A transient diagonal pattern indicates rapidly changing codes; off-diagonal generalization indicates persistence. Component onset is defined by cluster-corrected departure from the within-fold null and must replicate across a minimum duration. Differences in onset are tested on participant bootstrap distributions rather than by comparing separate significance times.</w:t>
      </w:r>
    </w:p>
    <w:p>
      <w:pPr>
        <w:pStyle w:val="Heading3"/>
        <w:widowControl/>
      </w:pPr>
      <w:r>
        <w:rPr>
          <w:rFonts w:ascii="Times New Roman" w:hAnsi="Times New Roman" w:eastAsia="Times New Roman"/>
          <w:b/>
          <w:i/>
          <w:color w:val="000000"/>
          <w:sz w:val="24"/>
        </w:rPr>
        <w:t>18.2 Directional constraints without overclaiming causality</w:t>
      </w:r>
    </w:p>
    <w:p>
      <w:pPr>
        <w:widowControl/>
        <w:jc w:val="both"/>
      </w:pPr>
      <w:r>
        <w:rPr>
          <w:rFonts w:ascii="Times New Roman" w:hAnsi="Times New Roman" w:eastAsia="Times New Roman"/>
          <w:color w:val="000000"/>
          <w:sz w:val="24"/>
        </w:rPr>
        <w:t>Temporal precedence can constrain but not prove causal hierarchy. The E-gating model predicts that unique K effects under low E should be absent or should follow E-related access. The K-access model predicts that K-related signals should precede and statistically mediate E-related signals. The factorized model permits early shared sensory processing followed by divergent E, K, and R trajectories. We will compare these qualitative temporal restrictions through dynamic PCM and cross-lagged encoding on held-out trials. Causal language will be reserved for randomized task or report interventions; state transitions under anesthesia and sleep are described as ordered associations.</w:t>
      </w:r>
    </w:p>
    <w:p>
      <w:pPr>
        <w:pStyle w:val="Heading3"/>
        <w:widowControl/>
      </w:pPr>
      <w:r>
        <w:rPr>
          <w:rFonts w:ascii="Times New Roman" w:hAnsi="Times New Roman" w:eastAsia="Times New Roman"/>
          <w:b/>
          <w:i/>
          <w:color w:val="000000"/>
          <w:sz w:val="24"/>
        </w:rPr>
        <w:t>18.3 State-window dynamics</w:t>
      </w:r>
    </w:p>
    <w:p>
      <w:pPr>
        <w:widowControl/>
        <w:jc w:val="both"/>
      </w:pPr>
      <w:r>
        <w:rPr>
          <w:rFonts w:ascii="Times New Roman" w:hAnsi="Times New Roman" w:eastAsia="Times New Roman"/>
          <w:color w:val="000000"/>
          <w:sz w:val="24"/>
        </w:rPr>
        <w:t>DREAM and propofol data are not aligned to a common stimulus. Their temporal analysis uses rolling feature estimates before awakening or across dose transitions. Change-point models estimate whether A, E-related report probability, and K_volition pattern expression change synchronously or at different times. Loss and recovery are modeled separately. The central test is whether one latent trajectory explains all observed features or whether multiple trajectories are needed.</w:t>
      </w:r>
    </w:p>
    <w:p>
      <w:pPr>
        <w:pStyle w:val="Heading2"/>
        <w:widowControl/>
      </w:pPr>
      <w:r>
        <w:rPr>
          <w:rFonts w:ascii="Times New Roman" w:hAnsi="Times New Roman" w:eastAsia="Times New Roman"/>
          <w:b/>
          <w:i w:val="0"/>
          <w:color w:val="000000"/>
          <w:sz w:val="26"/>
        </w:rPr>
        <w:t>19. Cross-modal convergence</w:t>
      </w:r>
    </w:p>
    <w:p>
      <w:pPr>
        <w:widowControl/>
        <w:jc w:val="both"/>
      </w:pPr>
      <w:r>
        <w:rPr>
          <w:rFonts w:ascii="Times New Roman" w:hAnsi="Times New Roman" w:eastAsia="Times New Roman"/>
          <w:color w:val="000000"/>
          <w:sz w:val="24"/>
        </w:rPr>
        <w:t>Raw fMRI, MEG, EEG, iEEG, and TMS-EEG features differ in dimensionality, noise, and biophysical meaning. Direct concatenation would let modality identity dominate. Cross-modal inference therefore uses three levels.</w:t>
      </w:r>
    </w:p>
    <w:p>
      <w:pPr>
        <w:widowControl/>
        <w:jc w:val="both"/>
      </w:pPr>
      <w:r>
        <w:rPr>
          <w:rFonts w:ascii="Times New Roman" w:hAnsi="Times New Roman" w:eastAsia="Times New Roman"/>
          <w:color w:val="000000"/>
          <w:sz w:val="24"/>
        </w:rPr>
        <w:t>First, each modality independently compares the same candidate architectures. Convergence is agreement in predictive ranking. Second, where task design is shared, as in COGITATE, normalized condition RDMs are compared directly through second-order correlations and common model-component weights. Third, source or anatomical summaries are compared at the network level with uncertainty and coverage masks. A claim is called modality-general only if it appears in at least two independent measurement technologies and is not driven solely by the shared task.</w:t>
      </w:r>
    </w:p>
    <w:p>
      <w:pPr>
        <w:widowControl/>
        <w:jc w:val="both"/>
      </w:pPr>
      <w:r>
        <w:rPr>
          <w:rFonts w:ascii="Times New Roman" w:hAnsi="Times New Roman" w:eastAsia="Times New Roman"/>
          <w:color w:val="000000"/>
          <w:sz w:val="24"/>
        </w:rPr>
        <w:t>Meta-analytic heterogeneity by modality is estimated rather than suppressed. A strong temporal E-K dissociation in iEEG with weak fMRI separation may indicate scale dependence, not failure. Conversely, an architecture that wins only after modality-specific flexible adjustments but lacks second-order agreement will not support a universal neural geometry.</w:t>
      </w:r>
    </w:p>
    <w:p>
      <w:pPr>
        <w:pStyle w:val="Heading2"/>
        <w:widowControl/>
      </w:pPr>
      <w:r>
        <w:rPr>
          <w:rFonts w:ascii="Times New Roman" w:hAnsi="Times New Roman" w:eastAsia="Times New Roman"/>
          <w:b/>
          <w:i w:val="0"/>
          <w:color w:val="000000"/>
          <w:sz w:val="26"/>
        </w:rPr>
        <w:t>20. Secondary factorized neural network</w:t>
      </w:r>
    </w:p>
    <w:p>
      <w:pPr>
        <w:widowControl/>
        <w:jc w:val="both"/>
      </w:pPr>
      <w:r>
        <w:rPr>
          <w:rFonts w:ascii="Times New Roman" w:hAnsi="Times New Roman" w:eastAsia="Times New Roman"/>
          <w:color w:val="000000"/>
          <w:sz w:val="24"/>
        </w:rPr>
        <w:t>A nonlinear multi-view model will serve as a corroborative analysis. It is explicitly secondary because flexible networks can obscure which data property drives performance. Each modality has a small encoder E_m that receives standardized canonical features rather than raw full-resolution recordings. Encoders output latent blocks z_E, z_A, z_R, and z_Kj. Construct-specific heads predict observed indicators, while reconstruction or contrastive objectives preserve neural information.</w:t>
      </w:r>
    </w:p>
    <w:p>
      <w:pPr>
        <w:widowControl/>
        <w:jc w:val="both"/>
      </w:pPr>
      <w:r>
        <w:rPr>
          <w:rFonts w:ascii="Times New Roman" w:hAnsi="Times New Roman" w:eastAsia="Times New Roman"/>
          <w:color w:val="000000"/>
          <w:sz w:val="24"/>
        </w:rPr>
        <w:t>The factorized network is compared with an equal-capacity entangled network containing one shared latent block. Both have matched parameter count, optimization budget, early stopping, and nested group cross-validation. An adversarial leakage penalty discourages z_E from predicting site or participant and discourages z_K from predicting R after K-relevant information is retained. An orthogonality penalty is used only as a weak regularizer and varied in sensitivity analysis; the scientific claim does not follow from an imposed orthogonal latent space.</w:t>
      </w:r>
    </w:p>
    <w:p>
      <w:pPr>
        <w:widowControl/>
        <w:jc w:val="both"/>
      </w:pPr>
      <w:r>
        <w:rPr>
          <w:rFonts w:ascii="Times New Roman" w:hAnsi="Times New Roman" w:eastAsia="Times New Roman"/>
          <w:color w:val="000000"/>
          <w:sz w:val="24"/>
        </w:rPr>
        <w:t>Evaluation includes held-out predictive log likelihood, calibration, representational similarity to linear construct models, and leave-one-family-out performance. Latent interventions set one block to its reference value while preserving others, allowing counterfactual reconstruction of expected feature changes. Such reconstructions are descriptive unless supported by randomized interventions. The neural-network result will strengthen the paper only if it independently recovers the same architecture as PCM and improves external prediction without erasing interpretability.</w:t>
      </w:r>
    </w:p>
    <w:p>
      <w:pPr>
        <w:pStyle w:val="Heading2"/>
        <w:widowControl/>
      </w:pPr>
      <w:r>
        <w:rPr>
          <w:rFonts w:ascii="Times New Roman" w:hAnsi="Times New Roman" w:eastAsia="Times New Roman"/>
          <w:b/>
          <w:i w:val="0"/>
          <w:color w:val="000000"/>
          <w:sz w:val="26"/>
        </w:rPr>
        <w:t>21. Statistical inference and multiplicity</w:t>
      </w:r>
    </w:p>
    <w:p>
      <w:pPr>
        <w:pStyle w:val="Heading3"/>
        <w:widowControl/>
      </w:pPr>
      <w:r>
        <w:rPr>
          <w:rFonts w:ascii="Times New Roman" w:hAnsi="Times New Roman" w:eastAsia="Times New Roman"/>
          <w:b/>
          <w:i/>
          <w:color w:val="000000"/>
          <w:sz w:val="24"/>
        </w:rPr>
        <w:t>21.1 Estimation emphasis</w:t>
      </w:r>
    </w:p>
    <w:p>
      <w:pPr>
        <w:widowControl/>
        <w:jc w:val="both"/>
      </w:pPr>
      <w:r>
        <w:rPr>
          <w:rFonts w:ascii="Times New Roman" w:hAnsi="Times New Roman" w:eastAsia="Times New Roman"/>
          <w:color w:val="000000"/>
          <w:sz w:val="24"/>
        </w:rPr>
        <w:t>All primary outcomes are reported with effect sizes, uncertainty intervals, predictive scores, and model calibration. Frequentist P values are secondary. Bayesian models use weakly informative priors calibrated on standardized outcomes and prior predictive simulation. Convergence requires rank-normalized R-hat below 1.01, adequate effective sample size, absence of divergent transitions after tuning, and successful posterior predictive checks [44,45].</w:t>
      </w:r>
    </w:p>
    <w:p>
      <w:pPr>
        <w:pStyle w:val="Heading3"/>
        <w:widowControl/>
      </w:pPr>
      <w:r>
        <w:rPr>
          <w:rFonts w:ascii="Times New Roman" w:hAnsi="Times New Roman" w:eastAsia="Times New Roman"/>
          <w:b/>
          <w:i/>
          <w:color w:val="000000"/>
          <w:sz w:val="24"/>
        </w:rPr>
        <w:t>21.2 Permutation and exchangeability</w:t>
      </w:r>
    </w:p>
    <w:p>
      <w:pPr>
        <w:widowControl/>
        <w:jc w:val="both"/>
      </w:pPr>
      <w:r>
        <w:rPr>
          <w:rFonts w:ascii="Times New Roman" w:hAnsi="Times New Roman" w:eastAsia="Times New Roman"/>
          <w:color w:val="000000"/>
          <w:sz w:val="24"/>
        </w:rPr>
        <w:t>Permutation tests preserve the dependency structure of each dataset. Labels are permuted within participant and run for trial tasks, within participant and stage for DREAM, within patient for iEEG, and within dose-compatible blocks for propofol. Site labels are not permuted across incompatible acquisition systems. Max-T or maximum-cluster distributions control familywise error across time, sensors, parcels, or searchlights [42]. Secondary collections of regionwise effects use false-discovery-rate control [76].</w:t>
      </w:r>
    </w:p>
    <w:p>
      <w:pPr>
        <w:pStyle w:val="Heading3"/>
        <w:widowControl/>
      </w:pPr>
      <w:r>
        <w:rPr>
          <w:rFonts w:ascii="Times New Roman" w:hAnsi="Times New Roman" w:eastAsia="Times New Roman"/>
          <w:b/>
          <w:i/>
          <w:color w:val="000000"/>
          <w:sz w:val="24"/>
        </w:rPr>
        <w:t>21.3 Practical equivalence</w:t>
      </w:r>
    </w:p>
    <w:p>
      <w:pPr>
        <w:widowControl/>
        <w:jc w:val="both"/>
      </w:pPr>
      <w:r>
        <w:rPr>
          <w:rFonts w:ascii="Times New Roman" w:hAnsi="Times New Roman" w:eastAsia="Times New Roman"/>
          <w:color w:val="000000"/>
          <w:sz w:val="24"/>
        </w:rPr>
        <w:t>Null-sensitive questions, including absence of awareness sensitivity or equivalence of unitary and factorized performance, use regions of practical equivalence established by simulation and measurement reliability [30-32,43]. The equivalence bound for predictive score is the smallest difference that produces a reproducible change in held-out condition ranking under synthetic data. The angle equivalence bound is determined from subspace recovery at observed noise levels. Bounds are frozen before confirmatory data are analyzed.</w:t>
      </w:r>
    </w:p>
    <w:p>
      <w:pPr>
        <w:pStyle w:val="Heading3"/>
        <w:widowControl/>
      </w:pPr>
      <w:r>
        <w:rPr>
          <w:rFonts w:ascii="Times New Roman" w:hAnsi="Times New Roman" w:eastAsia="Times New Roman"/>
          <w:b/>
          <w:i/>
          <w:color w:val="000000"/>
          <w:sz w:val="24"/>
        </w:rPr>
        <w:t>21.4 Site and demographic variation</w:t>
      </w:r>
    </w:p>
    <w:p>
      <w:pPr>
        <w:widowControl/>
        <w:jc w:val="both"/>
      </w:pPr>
      <w:r>
        <w:rPr>
          <w:rFonts w:ascii="Times New Roman" w:hAnsi="Times New Roman" w:eastAsia="Times New Roman"/>
          <w:color w:val="000000"/>
          <w:sz w:val="24"/>
        </w:rPr>
        <w:t>Site enters as a random effect and, where justified, a random slope for major constructs. We will not use indiscriminate ComBat harmonization on outcomes because it can remove true state or task effects correlated with site. Features are scaled within site using training data, and acquisition covariates enter the model. Demographic moderators are examined only when harmonized variables and adequate coverage exist. They are exploratory unless a dataset was designed for them.</w:t>
      </w:r>
    </w:p>
    <w:p>
      <w:pPr>
        <w:pStyle w:val="Heading2"/>
        <w:widowControl/>
      </w:pPr>
      <w:r>
        <w:rPr>
          <w:rFonts w:ascii="Times New Roman" w:hAnsi="Times New Roman" w:eastAsia="Times New Roman"/>
          <w:b/>
          <w:i w:val="0"/>
          <w:color w:val="000000"/>
          <w:sz w:val="26"/>
        </w:rPr>
        <w:t>22. Simulation-based power and identifiability analysis</w:t>
      </w:r>
    </w:p>
    <w:p>
      <w:pPr>
        <w:widowControl/>
        <w:jc w:val="both"/>
      </w:pPr>
      <w:r>
        <w:rPr>
          <w:rFonts w:ascii="Times New Roman" w:hAnsi="Times New Roman" w:eastAsia="Times New Roman"/>
          <w:color w:val="000000"/>
          <w:sz w:val="24"/>
        </w:rPr>
        <w:t>Fixed open datasets make conventional prospective sample-size calculation insufficient. Before the lockbox run, the pipeline will simulate data using the exact participant counts, run structure, condition imbalance, channel or parcel dimensions, missingness, and estimated noise covariance from development partitions. Simulated architectures include unitary, each hierarchy, report bottleneck, partial factorization with correlated axes, factorization with interactions, and null outcomes.</w:t>
      </w:r>
    </w:p>
    <w:p>
      <w:pPr>
        <w:widowControl/>
        <w:jc w:val="both"/>
      </w:pPr>
      <w:r>
        <w:rPr>
          <w:rFonts w:ascii="Times New Roman" w:hAnsi="Times New Roman" w:eastAsia="Times New Roman"/>
          <w:color w:val="000000"/>
          <w:sz w:val="24"/>
        </w:rPr>
        <w:t>For every scenario, the full nested cross-validation and hierarchical evidence workflow will be executed. Recovery metrics are architecture-selection accuracy, bias in unique variance, coverage of uncertainty intervals, false-positive rate, and principal-angle error. Effect sizes will vary from zero to the smallest component explaining 0.5%, 1%, 2%, 5%, and 10% of reliable pattern variance. The minimum detectable effect is the smallest value with at least 80% correct directional recovery and no more than 5% false factorization under unitary simulations.</w:t>
      </w:r>
    </w:p>
    <w:p>
      <w:pPr>
        <w:widowControl/>
        <w:jc w:val="both"/>
      </w:pPr>
      <w:r>
        <w:rPr>
          <w:rFonts w:ascii="Times New Roman" w:hAnsi="Times New Roman" w:eastAsia="Times New Roman"/>
          <w:color w:val="000000"/>
          <w:sz w:val="24"/>
        </w:rPr>
        <w:t>If a local contrast fails identifiability or power, it is downgraded before confirmation. The global study may remain powered because different families identify different edges. The simulation report will show which conclusions are possible under each data configuration. This avoids interpreting a low-information dataset's null as evidence for a unitary architecture.</w:t>
      </w:r>
    </w:p>
    <w:p>
      <w:pPr>
        <w:pStyle w:val="Heading2"/>
        <w:widowControl/>
      </w:pPr>
      <w:r>
        <w:rPr>
          <w:rFonts w:ascii="Times New Roman" w:hAnsi="Times New Roman" w:eastAsia="Times New Roman"/>
          <w:b/>
          <w:i w:val="0"/>
          <w:color w:val="000000"/>
          <w:sz w:val="26"/>
        </w:rPr>
        <w:t>23. Quality control, positive controls, and negative controls</w:t>
      </w:r>
    </w:p>
    <w:p>
      <w:pPr>
        <w:pStyle w:val="Heading3"/>
        <w:widowControl/>
      </w:pPr>
      <w:r>
        <w:rPr>
          <w:rFonts w:ascii="Times New Roman" w:hAnsi="Times New Roman" w:eastAsia="Times New Roman"/>
          <w:b/>
          <w:i/>
          <w:color w:val="000000"/>
          <w:sz w:val="24"/>
        </w:rPr>
        <w:t>23.1 Positive controls</w:t>
      </w:r>
    </w:p>
    <w:p>
      <w:pPr>
        <w:widowControl/>
        <w:jc w:val="both"/>
      </w:pPr>
      <w:r>
        <w:rPr>
          <w:rFonts w:ascii="Times New Roman" w:hAnsi="Times New Roman" w:eastAsia="Times New Roman"/>
          <w:color w:val="000000"/>
          <w:sz w:val="24"/>
        </w:rPr>
        <w:t>Each resource must reproduce at least one preregistered positive control before contributing to construct inference. Examples are stimulus-category decoding in visual datasets, supraliminal working-memory performance, target-response decoding in COGITATE, awake imagery classification and force detection in propofol fMRI, canonical sleep-stage spectral differences in DREAM, and wake-versus-sedation complexity differences in the repeated-awakening resource. Failure triggers a documented diagnostic review and possible dataset exclusion under a rule frozen before construct results are inspected.</w:t>
      </w:r>
    </w:p>
    <w:p>
      <w:pPr>
        <w:pStyle w:val="Heading3"/>
        <w:widowControl/>
      </w:pPr>
      <w:r>
        <w:rPr>
          <w:rFonts w:ascii="Times New Roman" w:hAnsi="Times New Roman" w:eastAsia="Times New Roman"/>
          <w:b/>
          <w:i/>
          <w:color w:val="000000"/>
          <w:sz w:val="24"/>
        </w:rPr>
        <w:t>23.2 Negative controls</w:t>
      </w:r>
    </w:p>
    <w:p>
      <w:pPr>
        <w:widowControl/>
        <w:jc w:val="both"/>
      </w:pPr>
      <w:r>
        <w:rPr>
          <w:rFonts w:ascii="Times New Roman" w:hAnsi="Times New Roman" w:eastAsia="Times New Roman"/>
          <w:color w:val="000000"/>
          <w:sz w:val="24"/>
        </w:rPr>
        <w:t>Negative controls include within-block label permutation, pre-stimulus decoding, prediction from participant identifiers, prediction from temporal adjacency alone, and construct maps generated from random orthogonal labels. For no-report calibration, randomly paired ocular features should not predict perception. For fMRI, motion-only models should not reproduce construct geometry. For multisite data, site prediction is expected from raw features but should fall after training-fold scaling and nuisance modeling; residual site decodability will be quantified rather than assumed absent.</w:t>
      </w:r>
    </w:p>
    <w:p>
      <w:pPr>
        <w:pStyle w:val="Heading3"/>
        <w:widowControl/>
      </w:pPr>
      <w:r>
        <w:rPr>
          <w:rFonts w:ascii="Times New Roman" w:hAnsi="Times New Roman" w:eastAsia="Times New Roman"/>
          <w:b/>
          <w:i/>
          <w:color w:val="000000"/>
          <w:sz w:val="24"/>
        </w:rPr>
        <w:t>23.3 Data-loss and influence diagnostics</w:t>
      </w:r>
    </w:p>
    <w:p>
      <w:pPr>
        <w:widowControl/>
        <w:jc w:val="both"/>
      </w:pPr>
      <w:r>
        <w:rPr>
          <w:rFonts w:ascii="Times New Roman" w:hAnsi="Times New Roman" w:eastAsia="Times New Roman"/>
          <w:color w:val="000000"/>
          <w:sz w:val="24"/>
        </w:rPr>
        <w:t>QC exclusions are summarized before and after condition stratification. A construct effect that appears only after disproportionate loss of one condition is flagged. Leave-one-participant, leave-one-site, and leave-one-dataset influence analyses identify dominant observations. Cook-like influence on hierarchical delta estimates is reported. No observation is removed solely for changing the scientific conclusion.</w:t>
      </w:r>
    </w:p>
    <w:p>
      <w:pPr>
        <w:pStyle w:val="Heading2"/>
        <w:widowControl/>
      </w:pPr>
      <w:r>
        <w:rPr>
          <w:rFonts w:ascii="Times New Roman" w:hAnsi="Times New Roman" w:eastAsia="Times New Roman"/>
          <w:b/>
          <w:i w:val="0"/>
          <w:color w:val="000000"/>
          <w:sz w:val="26"/>
        </w:rPr>
        <w:t>24. Missing data and label uncertainty</w:t>
      </w:r>
    </w:p>
    <w:p>
      <w:pPr>
        <w:widowControl/>
        <w:jc w:val="both"/>
      </w:pPr>
      <w:r>
        <w:rPr>
          <w:rFonts w:ascii="Times New Roman" w:hAnsi="Times New Roman" w:eastAsia="Times New Roman"/>
          <w:color w:val="000000"/>
          <w:sz w:val="24"/>
        </w:rPr>
        <w:t>Missing neural segments caused by artifact are handled by valid-case analysis under recorded QC reasons, with inverse-probability sensitivity when missingness relates to condition or state. Missing nuisance covariates may be multiply imputed inside training folds when less than a preregistered proportion is absent and the imputation model is defensible. Construct outcomes are not singly imputed.</w:t>
      </w:r>
    </w:p>
    <w:p>
      <w:pPr>
        <w:widowControl/>
        <w:jc w:val="both"/>
      </w:pPr>
      <w:r>
        <w:rPr>
          <w:rFonts w:ascii="Times New Roman" w:hAnsi="Times New Roman" w:eastAsia="Times New Roman"/>
          <w:color w:val="000000"/>
          <w:sz w:val="24"/>
        </w:rPr>
        <w:t>Ambiguous E labels receive explicit likelihoods. Experience without recall, uncertain visibility reports, and no-information awakenings are distinct. Pattern-mixture sensitivity varies the assumed E distribution of missing reports from the observed no-experience distribution to the observed experience distribution. The tipping point at which architecture ranking changes is reported. If reasonable assumptions alter the headline model, the conclusion is labeled measurement-dependent.</w:t>
      </w:r>
    </w:p>
    <w:p>
      <w:pPr>
        <w:pStyle w:val="Heading2"/>
        <w:widowControl/>
      </w:pPr>
      <w:r>
        <w:rPr>
          <w:rFonts w:ascii="Times New Roman" w:hAnsi="Times New Roman" w:eastAsia="Times New Roman"/>
          <w:b/>
          <w:i w:val="0"/>
          <w:color w:val="000000"/>
          <w:sz w:val="26"/>
        </w:rPr>
        <w:t>25. Preregistered multiverse and robustness analyses</w:t>
      </w:r>
    </w:p>
    <w:p>
      <w:pPr>
        <w:widowControl/>
        <w:jc w:val="both"/>
      </w:pPr>
      <w:r>
        <w:rPr>
          <w:rFonts w:ascii="Times New Roman" w:hAnsi="Times New Roman" w:eastAsia="Times New Roman"/>
          <w:color w:val="000000"/>
          <w:sz w:val="24"/>
        </w:rPr>
        <w:t>A limited multiverse will test choices with genuine methodological ambiguity: global signal regression versus no GSR for connectivity; 200-, 400-, and 600-parcel cortical atlases; hard versus probabilistic low-E definitions; sensor versus source MEG-EEG; 20-, 60-, and 120-s pre-awakening windows; strict versus inclusive iEEG electrode exclusion; and additive versus sparse-interaction factorized models. One branch is designated primary. All branches use identical data splits.</w:t>
      </w:r>
    </w:p>
    <w:p>
      <w:pPr>
        <w:widowControl/>
        <w:jc w:val="both"/>
      </w:pPr>
      <w:r>
        <w:rPr>
          <w:rFonts w:ascii="Times New Roman" w:hAnsi="Times New Roman" w:eastAsia="Times New Roman"/>
          <w:color w:val="000000"/>
          <w:sz w:val="24"/>
        </w:rPr>
        <w:t>Specification-curve plots display architecture score differences across branches [65,66]. A result is robust when the direction of the primary comparison is stable across most defensible specifications and no single branch uniquely generates the effect. Branches that violate reliability or positive-control criteria are shown but not weighted equally. Post hoc forks are appended after confirmatory results and visually separated.</w:t>
      </w:r>
    </w:p>
    <w:p>
      <w:pPr>
        <w:pStyle w:val="Heading2"/>
        <w:widowControl/>
      </w:pPr>
      <w:r>
        <w:rPr>
          <w:rFonts w:ascii="Times New Roman" w:hAnsi="Times New Roman" w:eastAsia="Times New Roman"/>
          <w:b/>
          <w:i w:val="0"/>
          <w:color w:val="000000"/>
          <w:sz w:val="26"/>
        </w:rPr>
        <w:t>26. Reproducible software and Codex-ready implementation</w:t>
      </w:r>
    </w:p>
    <w:p>
      <w:pPr>
        <w:pStyle w:val="Heading3"/>
        <w:widowControl/>
      </w:pPr>
      <w:r>
        <w:rPr>
          <w:rFonts w:ascii="Times New Roman" w:hAnsi="Times New Roman" w:eastAsia="Times New Roman"/>
          <w:b/>
          <w:i/>
          <w:color w:val="000000"/>
          <w:sz w:val="24"/>
        </w:rPr>
        <w:t>26.1 Repository architecture</w:t>
      </w:r>
    </w:p>
    <w:p>
      <w:pPr>
        <w:widowControl/>
        <w:jc w:val="both"/>
      </w:pPr>
      <w:r>
        <w:rPr>
          <w:rFonts w:ascii="Times New Roman" w:hAnsi="Times New Roman" w:eastAsia="Times New Roman"/>
          <w:color w:val="000000"/>
          <w:sz w:val="24"/>
        </w:rPr>
        <w:t>The analysis will be implemented as a typed Python package with a Snakemake workflow [61,62]. Repository-level instructions will be placed in AGENTS.md so that Codex or another coding agent can discover project conventions, test commands, protected files, data-access rules, and completion criteria. The repository will use the following structure:</w:t>
      </w:r>
    </w:p>
    <w:tbl>
      <w:tblPr>
        <w:tblW w:type="auto" w:w="0"/>
        <w:jc w:val="center"/>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144"/>
      </w:tblGrid>
      <w:tr>
        <w:trPr>
          <w:cantSplit/>
        </w:trPr>
        <w:tc>
          <w:tcPr>
            <w:tcW w:type="dxa" w:w="9144"/>
            <w:shd w:fill="F7F7F7"/>
            <w:tcMar>
              <w:top w:w="130" w:type="dxa"/>
              <w:start w:w="180" w:type="dxa"/>
              <w:bottom w:w="130" w:type="dxa"/>
              <w:end w:w="180" w:type="dxa"/>
            </w:tcMar>
          </w:tcPr>
          <w:p>
            <w:pPr>
              <w:spacing w:after="0" w:line="240" w:lineRule="auto"/>
              <w:jc w:val="left"/>
            </w:pPr>
            <w:r>
              <w:rPr>
                <w:rFonts w:ascii="Liberation Mono" w:hAnsi="Liberation Mono" w:eastAsia="Liberation Mono"/>
                <w:color w:val="000000"/>
                <w:sz w:val="18"/>
              </w:rPr>
              <w:t>factorcon/</w:t>
              <w:br/>
            </w:r>
            <w:r>
              <w:rPr>
                <w:rFonts w:ascii="Liberation Mono" w:hAnsi="Liberation Mono" w:eastAsia="Liberation Mono"/>
                <w:color w:val="000000"/>
                <w:sz w:val="18"/>
              </w:rPr>
              <w:t xml:space="preserve">  AGENTS.md</w:t>
              <w:br/>
            </w:r>
            <w:r>
              <w:rPr>
                <w:rFonts w:ascii="Liberation Mono" w:hAnsi="Liberation Mono" w:eastAsia="Liberation Mono"/>
                <w:color w:val="000000"/>
                <w:sz w:val="18"/>
              </w:rPr>
              <w:t xml:space="preserve">  README.md</w:t>
              <w:br/>
            </w:r>
            <w:r>
              <w:rPr>
                <w:rFonts w:ascii="Liberation Mono" w:hAnsi="Liberation Mono" w:eastAsia="Liberation Mono"/>
                <w:color w:val="000000"/>
                <w:sz w:val="18"/>
              </w:rPr>
              <w:t xml:space="preserve">  pyproject.toml</w:t>
              <w:br/>
            </w:r>
            <w:r>
              <w:rPr>
                <w:rFonts w:ascii="Liberation Mono" w:hAnsi="Liberation Mono" w:eastAsia="Liberation Mono"/>
                <w:color w:val="000000"/>
                <w:sz w:val="18"/>
              </w:rPr>
              <w:t xml:space="preserve">  uv.lock</w:t>
              <w:br/>
            </w:r>
            <w:r>
              <w:rPr>
                <w:rFonts w:ascii="Liberation Mono" w:hAnsi="Liberation Mono" w:eastAsia="Liberation Mono"/>
                <w:color w:val="000000"/>
                <w:sz w:val="18"/>
              </w:rPr>
              <w:t xml:space="preserve">  Makefile</w:t>
              <w:br/>
            </w:r>
            <w:r>
              <w:rPr>
                <w:rFonts w:ascii="Liberation Mono" w:hAnsi="Liberation Mono" w:eastAsia="Liberation Mono"/>
                <w:color w:val="000000"/>
                <w:sz w:val="18"/>
              </w:rPr>
              <w:t xml:space="preserve">  conf/</w:t>
              <w:br/>
            </w:r>
            <w:r>
              <w:rPr>
                <w:rFonts w:ascii="Liberation Mono" w:hAnsi="Liberation Mono" w:eastAsia="Liberation Mono"/>
                <w:color w:val="000000"/>
                <w:sz w:val="18"/>
              </w:rPr>
              <w:t xml:space="preserve">    base.yaml</w:t>
              <w:br/>
            </w:r>
            <w:r>
              <w:rPr>
                <w:rFonts w:ascii="Liberation Mono" w:hAnsi="Liberation Mono" w:eastAsia="Liberation Mono"/>
                <w:color w:val="000000"/>
                <w:sz w:val="18"/>
              </w:rPr>
              <w:t xml:space="preserve">    development.yaml</w:t>
              <w:br/>
            </w:r>
            <w:r>
              <w:rPr>
                <w:rFonts w:ascii="Liberation Mono" w:hAnsi="Liberation Mono" w:eastAsia="Liberation Mono"/>
                <w:color w:val="000000"/>
                <w:sz w:val="18"/>
              </w:rPr>
              <w:t xml:space="preserve">    confirmatory.yaml</w:t>
              <w:br/>
            </w:r>
            <w:r>
              <w:rPr>
                <w:rFonts w:ascii="Liberation Mono" w:hAnsi="Liberation Mono" w:eastAsia="Liberation Mono"/>
                <w:color w:val="000000"/>
                <w:sz w:val="18"/>
              </w:rPr>
              <w:t xml:space="preserve">    datasets/*.yaml</w:t>
              <w:br/>
            </w:r>
            <w:r>
              <w:rPr>
                <w:rFonts w:ascii="Liberation Mono" w:hAnsi="Liberation Mono" w:eastAsia="Liberation Mono"/>
                <w:color w:val="000000"/>
                <w:sz w:val="18"/>
              </w:rPr>
              <w:t xml:space="preserve">  construct_maps/*.yaml</w:t>
              <w:br/>
            </w:r>
            <w:r>
              <w:rPr>
                <w:rFonts w:ascii="Liberation Mono" w:hAnsi="Liberation Mono" w:eastAsia="Liberation Mono"/>
                <w:color w:val="000000"/>
                <w:sz w:val="18"/>
              </w:rPr>
              <w:t xml:space="preserve">  workflow/Snakefile</w:t>
              <w:br/>
            </w:r>
            <w:r>
              <w:rPr>
                <w:rFonts w:ascii="Liberation Mono" w:hAnsi="Liberation Mono" w:eastAsia="Liberation Mono"/>
                <w:color w:val="000000"/>
                <w:sz w:val="18"/>
              </w:rPr>
              <w:t xml:space="preserve">  workflow/rules/*.smk</w:t>
            </w:r>
          </w:p>
        </w:tc>
      </w:tr>
    </w:tbl>
    <w:p>
      <w:pPr>
        <w:widowControl/>
        <w:spacing w:after="0" w:before="0"/>
      </w:pPr>
    </w:p>
    <w:tbl>
      <w:tblPr>
        <w:tblW w:type="auto" w:w="0"/>
        <w:jc w:val="center"/>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144"/>
      </w:tblGrid>
      <w:tr>
        <w:trPr>
          <w:cantSplit/>
        </w:trPr>
        <w:tc>
          <w:tcPr>
            <w:tcW w:type="dxa" w:w="9144"/>
            <w:shd w:fill="F7F7F7"/>
            <w:tcMar>
              <w:top w:w="130" w:type="dxa"/>
              <w:start w:w="180" w:type="dxa"/>
              <w:bottom w:w="130" w:type="dxa"/>
              <w:end w:w="180" w:type="dxa"/>
            </w:tcMar>
          </w:tcPr>
          <w:p>
            <w:pPr>
              <w:spacing w:after="0" w:line="240" w:lineRule="auto"/>
              <w:jc w:val="left"/>
            </w:pPr>
            <w:r>
              <w:rPr>
                <w:rFonts w:ascii="Liberation Mono" w:hAnsi="Liberation Mono" w:eastAsia="Liberation Mono"/>
                <w:color w:val="000000"/>
                <w:sz w:val="18"/>
              </w:rPr>
              <w:t xml:space="preserve">  src/factorcon/</w:t>
              <w:br/>
            </w:r>
            <w:r>
              <w:rPr>
                <w:rFonts w:ascii="Liberation Mono" w:hAnsi="Liberation Mono" w:eastAsia="Liberation Mono"/>
                <w:color w:val="000000"/>
                <w:sz w:val="18"/>
              </w:rPr>
              <w:t xml:space="preserve">    io/  schemas/  behavior/  fmri/  meeg/  ieeg/</w:t>
              <w:br/>
            </w:r>
            <w:r>
              <w:rPr>
                <w:rFonts w:ascii="Liberation Mono" w:hAnsi="Liberation Mono" w:eastAsia="Liberation Mono"/>
                <w:color w:val="000000"/>
                <w:sz w:val="18"/>
              </w:rPr>
              <w:t xml:space="preserve">    tmseeg/  features/  models/  stats/  figures/  lockbox/</w:t>
              <w:br/>
            </w:r>
            <w:r>
              <w:rPr>
                <w:rFonts w:ascii="Liberation Mono" w:hAnsi="Liberation Mono" w:eastAsia="Liberation Mono"/>
                <w:color w:val="000000"/>
                <w:sz w:val="18"/>
              </w:rPr>
              <w:t xml:space="preserve">  tests/</w:t>
              <w:br/>
            </w:r>
            <w:r>
              <w:rPr>
                <w:rFonts w:ascii="Liberation Mono" w:hAnsi="Liberation Mono" w:eastAsia="Liberation Mono"/>
                <w:color w:val="000000"/>
                <w:sz w:val="18"/>
              </w:rPr>
              <w:t xml:space="preserve">    unit/  integration/  synthetic/  leakage/</w:t>
              <w:br/>
            </w:r>
            <w:r>
              <w:rPr>
                <w:rFonts w:ascii="Liberation Mono" w:hAnsi="Liberation Mono" w:eastAsia="Liberation Mono"/>
                <w:color w:val="000000"/>
                <w:sz w:val="18"/>
              </w:rPr>
              <w:t xml:space="preserve">  containers/</w:t>
              <w:br/>
            </w:r>
            <w:r>
              <w:rPr>
                <w:rFonts w:ascii="Liberation Mono" w:hAnsi="Liberation Mono" w:eastAsia="Liberation Mono"/>
                <w:color w:val="000000"/>
                <w:sz w:val="18"/>
              </w:rPr>
              <w:t xml:space="preserve">    fmri/  meeg/  analysis/</w:t>
              <w:br/>
            </w:r>
            <w:r>
              <w:rPr>
                <w:rFonts w:ascii="Liberation Mono" w:hAnsi="Liberation Mono" w:eastAsia="Liberation Mono"/>
                <w:color w:val="000000"/>
                <w:sz w:val="18"/>
              </w:rPr>
              <w:t xml:space="preserve">  manifests/</w:t>
              <w:br/>
            </w:r>
            <w:r>
              <w:rPr>
                <w:rFonts w:ascii="Liberation Mono" w:hAnsi="Liberation Mono" w:eastAsia="Liberation Mono"/>
                <w:color w:val="000000"/>
                <w:sz w:val="18"/>
              </w:rPr>
              <w:t xml:space="preserve">  reports/</w:t>
            </w:r>
          </w:p>
        </w:tc>
      </w:tr>
    </w:tbl>
    <w:p>
      <w:pPr>
        <w:widowControl/>
        <w:spacing w:after="0" w:before="0"/>
      </w:pPr>
    </w:p>
    <w:p>
      <w:pPr>
        <w:widowControl/>
        <w:jc w:val="both"/>
      </w:pPr>
      <w:r>
        <w:rPr>
          <w:rFonts w:ascii="Times New Roman" w:hAnsi="Times New Roman" w:eastAsia="Times New Roman"/>
          <w:color w:val="000000"/>
          <w:sz w:val="24"/>
        </w:rPr>
        <w:t>Python 3.12 will be used unless a required neuroimaging library mandates a frozen earlier version. Dependencies include NumPy, SciPy, pandas, xarray, PyArrow, scikit-learn, statsmodels, PyMC, ArviZ, nibabel, Nilearn, pybids, MNE-Python, MNE-BIDS, and a validated PCM implementation [44,45,54,55,57-60]. Container images will pin fMRIPrep and system libraries. Large arrays will use Zarr or chunked NumPy storage; tabular outputs will use Parquet. Every public function will have type hints and a docstring describing input schema, output schema, units, and leakage boundary.</w:t>
      </w:r>
    </w:p>
    <w:p>
      <w:pPr>
        <w:pStyle w:val="Heading3"/>
        <w:widowControl/>
      </w:pPr>
      <w:r>
        <w:rPr>
          <w:rFonts w:ascii="Times New Roman" w:hAnsi="Times New Roman" w:eastAsia="Times New Roman"/>
          <w:b/>
          <w:i/>
          <w:color w:val="000000"/>
          <w:sz w:val="24"/>
        </w:rPr>
        <w:t>26.2 Required command interface</w:t>
      </w:r>
    </w:p>
    <w:p>
      <w:pPr>
        <w:widowControl/>
        <w:jc w:val="both"/>
      </w:pPr>
      <w:r>
        <w:rPr>
          <w:rFonts w:ascii="Times New Roman" w:hAnsi="Times New Roman" w:eastAsia="Times New Roman"/>
          <w:color w:val="000000"/>
          <w:sz w:val="24"/>
        </w:rPr>
        <w:t>The completed repository must support the following deterministic commands:</w:t>
      </w:r>
    </w:p>
    <w:tbl>
      <w:tblPr>
        <w:tblW w:type="auto" w:w="0"/>
        <w:jc w:val="center"/>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144"/>
      </w:tblGrid>
      <w:tr>
        <w:trPr>
          <w:cantSplit/>
        </w:trPr>
        <w:tc>
          <w:tcPr>
            <w:tcW w:type="dxa" w:w="9144"/>
            <w:shd w:fill="F7F7F7"/>
            <w:tcMar>
              <w:top w:w="130" w:type="dxa"/>
              <w:start w:w="180" w:type="dxa"/>
              <w:bottom w:w="130" w:type="dxa"/>
              <w:end w:w="180" w:type="dxa"/>
            </w:tcMar>
          </w:tcPr>
          <w:p>
            <w:pPr>
              <w:spacing w:after="0" w:line="240" w:lineRule="auto"/>
              <w:jc w:val="left"/>
            </w:pPr>
            <w:r>
              <w:rPr>
                <w:rFonts w:ascii="Liberation Mono" w:hAnsi="Liberation Mono" w:eastAsia="Liberation Mono"/>
                <w:color w:val="000000"/>
                <w:sz w:val="18"/>
              </w:rPr>
              <w:t>make bootstrap</w:t>
              <w:br/>
            </w:r>
            <w:r>
              <w:rPr>
                <w:rFonts w:ascii="Liberation Mono" w:hAnsi="Liberation Mono" w:eastAsia="Liberation Mono"/>
                <w:color w:val="000000"/>
                <w:sz w:val="18"/>
              </w:rPr>
              <w:t>make sample-data</w:t>
              <w:br/>
            </w:r>
            <w:r>
              <w:rPr>
                <w:rFonts w:ascii="Liberation Mono" w:hAnsi="Liberation Mono" w:eastAsia="Liberation Mono"/>
                <w:color w:val="000000"/>
                <w:sz w:val="18"/>
              </w:rPr>
              <w:t>make manifest</w:t>
              <w:br/>
            </w:r>
            <w:r>
              <w:rPr>
                <w:rFonts w:ascii="Liberation Mono" w:hAnsi="Liberation Mono" w:eastAsia="Liberation Mono"/>
                <w:color w:val="000000"/>
                <w:sz w:val="18"/>
              </w:rPr>
              <w:t>make validate</w:t>
              <w:br/>
            </w:r>
            <w:r>
              <w:rPr>
                <w:rFonts w:ascii="Liberation Mono" w:hAnsi="Liberation Mono" w:eastAsia="Liberation Mono"/>
                <w:color w:val="000000"/>
                <w:sz w:val="18"/>
              </w:rPr>
              <w:t>make development</w:t>
              <w:br/>
            </w:r>
            <w:r>
              <w:rPr>
                <w:rFonts w:ascii="Liberation Mono" w:hAnsi="Liberation Mono" w:eastAsia="Liberation Mono"/>
                <w:color w:val="000000"/>
                <w:sz w:val="18"/>
              </w:rPr>
              <w:t>make freeze</w:t>
              <w:br/>
            </w:r>
            <w:r>
              <w:rPr>
                <w:rFonts w:ascii="Liberation Mono" w:hAnsi="Liberation Mono" w:eastAsia="Liberation Mono"/>
                <w:color w:val="000000"/>
                <w:sz w:val="18"/>
              </w:rPr>
              <w:t>make confirmatory</w:t>
              <w:br/>
            </w:r>
            <w:r>
              <w:rPr>
                <w:rFonts w:ascii="Liberation Mono" w:hAnsi="Liberation Mono" w:eastAsia="Liberation Mono"/>
                <w:color w:val="000000"/>
                <w:sz w:val="18"/>
              </w:rPr>
              <w:t>make figures</w:t>
              <w:br/>
            </w:r>
            <w:r>
              <w:rPr>
                <w:rFonts w:ascii="Liberation Mono" w:hAnsi="Liberation Mono" w:eastAsia="Liberation Mono"/>
                <w:color w:val="000000"/>
                <w:sz w:val="18"/>
              </w:rPr>
              <w:t>make paper-tables</w:t>
              <w:br/>
            </w:r>
            <w:r>
              <w:rPr>
                <w:rFonts w:ascii="Liberation Mono" w:hAnsi="Liberation Mono" w:eastAsia="Liberation Mono"/>
                <w:color w:val="000000"/>
                <w:sz w:val="18"/>
              </w:rPr>
              <w:t>make reproduce</w:t>
            </w:r>
          </w:p>
        </w:tc>
      </w:tr>
    </w:tbl>
    <w:p>
      <w:pPr>
        <w:widowControl/>
        <w:spacing w:after="0" w:before="0"/>
      </w:pPr>
    </w:p>
    <w:p>
      <w:pPr>
        <w:widowControl/>
        <w:jc w:val="both"/>
      </w:pPr>
      <w:r>
        <w:rPr>
          <w:rFonts w:ascii="Times New Roman" w:hAnsi="Times New Roman" w:eastAsia="Times New Roman"/>
          <w:color w:val="000000"/>
          <w:sz w:val="24"/>
        </w:rPr>
        <w:t>make bootstrap creates the environment and verifies container availability. make sample-data downloads only small public samples or synthetic fixtures. make manifest resolves data versions and checks hashes. make validate runs tests and BIDS checks. make development executes development partitions. make freeze creates the signed lockbox manifest. make confirmatory refuses to run unless hashes match. make reproduce rebuilds all paper figures and tables from immutable summary outputs, without touching raw data.</w:t>
      </w:r>
    </w:p>
    <w:p>
      <w:pPr>
        <w:pStyle w:val="Heading3"/>
        <w:widowControl/>
      </w:pPr>
      <w:r>
        <w:rPr>
          <w:rFonts w:ascii="Times New Roman" w:hAnsi="Times New Roman" w:eastAsia="Times New Roman"/>
          <w:b/>
          <w:i/>
          <w:color w:val="000000"/>
          <w:sz w:val="24"/>
        </w:rPr>
        <w:t>26.3 Configuration contracts</w:t>
      </w:r>
    </w:p>
    <w:p>
      <w:pPr>
        <w:widowControl/>
        <w:jc w:val="both"/>
      </w:pPr>
      <w:r>
        <w:rPr>
          <w:rFonts w:ascii="Times New Roman" w:hAnsi="Times New Roman" w:eastAsia="Times New Roman"/>
          <w:color w:val="000000"/>
          <w:sz w:val="24"/>
        </w:rPr>
        <w:t>Every dataset YAML must declare repository identifiers, expected participants, modality, raw and derivative paths, event parser, construct-map file, QC thresholds, split unit, positive controls, and expected outputs. Pydantic schemas will validate configuration before jobs launch. Contrast definitions must be declarative, for example:</w:t>
      </w:r>
    </w:p>
    <w:tbl>
      <w:tblPr>
        <w:tblW w:type="auto" w:w="0"/>
        <w:jc w:val="center"/>
        <w:tblLayout w:type="fixed"/>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144"/>
      </w:tblGrid>
      <w:tr>
        <w:trPr>
          <w:cantSplit/>
        </w:trPr>
        <w:tc>
          <w:tcPr>
            <w:tcW w:type="dxa" w:w="9144"/>
            <w:shd w:fill="F7F7F7"/>
            <w:tcMar>
              <w:top w:w="130" w:type="dxa"/>
              <w:start w:w="180" w:type="dxa"/>
              <w:bottom w:w="130" w:type="dxa"/>
              <w:end w:w="180" w:type="dxa"/>
            </w:tcMar>
          </w:tcPr>
          <w:p>
            <w:pPr>
              <w:spacing w:after="0" w:line="240" w:lineRule="auto"/>
              <w:jc w:val="left"/>
            </w:pPr>
            <w:r>
              <w:rPr>
                <w:rFonts w:ascii="Liberation Mono" w:hAnsi="Liberation Mono" w:eastAsia="Liberation Mono"/>
                <w:color w:val="000000"/>
                <w:sz w:val="18"/>
              </w:rPr>
              <w:t>name: cogitate_task_relevance_nonresponse</w:t>
              <w:br/>
            </w:r>
            <w:r>
              <w:rPr>
                <w:rFonts w:ascii="Liberation Mono" w:hAnsi="Liberation Mono" w:eastAsia="Liberation Mono"/>
                <w:color w:val="000000"/>
                <w:sz w:val="18"/>
              </w:rPr>
              <w:t>include: response_required == false</w:t>
              <w:br/>
            </w:r>
            <w:r>
              <w:rPr>
                <w:rFonts w:ascii="Liberation Mono" w:hAnsi="Liberation Mono" w:eastAsia="Liberation Mono"/>
                <w:color w:val="000000"/>
                <w:sz w:val="18"/>
              </w:rPr>
              <w:t>effect: task_relevance</w:t>
              <w:br/>
            </w:r>
            <w:r>
              <w:rPr>
                <w:rFonts w:ascii="Liberation Mono" w:hAnsi="Liberation Mono" w:eastAsia="Liberation Mono"/>
                <w:color w:val="000000"/>
                <w:sz w:val="18"/>
              </w:rPr>
              <w:t>match_on: [stimulus_id, category, orientation, duration, site]</w:t>
              <w:br/>
            </w:r>
            <w:r>
              <w:rPr>
                <w:rFonts w:ascii="Liberation Mono" w:hAnsi="Liberation Mono" w:eastAsia="Liberation Mono"/>
                <w:color w:val="000000"/>
                <w:sz w:val="18"/>
              </w:rPr>
              <w:t>nuisance: [run, trial_index, pupil_baseline, motion]</w:t>
              <w:br/>
            </w:r>
            <w:r>
              <w:rPr>
                <w:rFonts w:ascii="Liberation Mono" w:hAnsi="Liberation Mono" w:eastAsia="Liberation Mono"/>
                <w:color w:val="000000"/>
                <w:sz w:val="18"/>
              </w:rPr>
              <w:t>group_by: [subject, run]</w:t>
            </w:r>
          </w:p>
        </w:tc>
      </w:tr>
    </w:tbl>
    <w:p>
      <w:pPr>
        <w:widowControl/>
        <w:spacing w:after="0" w:before="0"/>
      </w:pPr>
    </w:p>
    <w:p>
      <w:pPr>
        <w:widowControl/>
        <w:jc w:val="both"/>
      </w:pPr>
      <w:r>
        <w:rPr>
          <w:rFonts w:ascii="Times New Roman" w:hAnsi="Times New Roman" w:eastAsia="Times New Roman"/>
          <w:color w:val="000000"/>
          <w:sz w:val="24"/>
        </w:rPr>
        <w:t>No scientific contrast may be hidden in an analysis notebook. Notebooks are permitted only for exploratory visualization and must consume frozen result tables.</w:t>
      </w:r>
    </w:p>
    <w:p>
      <w:pPr>
        <w:pStyle w:val="Heading3"/>
        <w:widowControl/>
      </w:pPr>
      <w:r>
        <w:rPr>
          <w:rFonts w:ascii="Times New Roman" w:hAnsi="Times New Roman" w:eastAsia="Times New Roman"/>
          <w:b/>
          <w:i/>
          <w:color w:val="000000"/>
          <w:sz w:val="24"/>
        </w:rPr>
        <w:t>26.4 Module-level implementation tasks</w:t>
      </w:r>
    </w:p>
    <w:p>
      <w:pPr>
        <w:widowControl/>
        <w:jc w:val="both"/>
      </w:pPr>
      <w:r>
        <w:rPr>
          <w:rFonts w:ascii="Times New Roman" w:hAnsi="Times New Roman" w:eastAsia="Times New Roman"/>
          <w:color w:val="000000"/>
          <w:sz w:val="24"/>
        </w:rPr>
        <w:t>The io module resolves BIDS and non-BIDS resources into the common event schema. schemas defines immutable data classes and validation rules. behavior fits ordinal-awareness and signal-detection models. fmri builds first-level GLMs and parcel patterns. meeg handles MNE-BIDS preprocessing, epochs, and time-frequency features. ieeg performs channel QC, rereferencing, localization, and high-gamma extraction. tmseeg reproduces pulse-artifact cleaning and perturbational metrics. features calculates canonical summaries. models implements candidate architectures, PCM, RDM regression, subspaces, and the secondary neural network. stats contains grouped splitting, hierarchical evidence, permutation, bootstrap, and multiplicity correction. lockbox enforces hashes and partition access.</w:t>
      </w:r>
    </w:p>
    <w:p>
      <w:pPr>
        <w:widowControl/>
        <w:jc w:val="both"/>
      </w:pPr>
      <w:r>
        <w:rPr>
          <w:rFonts w:ascii="Times New Roman" w:hAnsi="Times New Roman" w:eastAsia="Times New Roman"/>
          <w:color w:val="000000"/>
          <w:sz w:val="24"/>
        </w:rPr>
        <w:t>Each module will be implemented with synthetic fixtures first. Codex tasks should be scoped to one module and one acceptance-test file at a time. The AGENTS.md instruction will require: inspect existing schemas before editing; do not access confirmatory data during development; run targeted tests and then the full test suite; never change a construct map to fix a failing scientific test; and leave generated data out of git. This repository-centered specification follows the principle that coding agents perform best with explicit environment setup, reliable tests, and concise project instructions rather than a single unstructured prompt.</w:t>
      </w:r>
    </w:p>
    <w:p>
      <w:pPr>
        <w:pStyle w:val="Heading3"/>
        <w:widowControl/>
      </w:pPr>
      <w:r>
        <w:rPr>
          <w:rFonts w:ascii="Times New Roman" w:hAnsi="Times New Roman" w:eastAsia="Times New Roman"/>
          <w:b/>
          <w:i/>
          <w:color w:val="000000"/>
          <w:sz w:val="24"/>
        </w:rPr>
        <w:t>26.5 Minimum acceptance tests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6"/>
        <w:gridCol w:w="3216"/>
        <w:gridCol w:w="3216"/>
      </w:tblGrid>
      <w:tr>
        <w:trPr>
          <w:tblHeader w:val="true"/>
          <w:cantSplit/>
        </w:trPr>
        <w:tc>
          <w:tcPr>
            <w:tcW w:type="dxa" w:w="1440"/>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Test</w:t>
            </w:r>
          </w:p>
        </w:tc>
        <w:tc>
          <w:tcPr>
            <w:tcW w:type="dxa" w:w="5832"/>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Acceptance criterion</w:t>
            </w:r>
          </w:p>
        </w:tc>
        <w:tc>
          <w:tcPr>
            <w:tcW w:type="dxa" w:w="2376"/>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Executable check</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Manifest identity</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Every DOI, dataset title, BIDS descriptor, expected sample, version, and SHA-256 inventory agree.</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tests/integration/test_manifest_identity.py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Partition isolation</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No participant, session, run, or trial group crosses development and confirmatory partitions.</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tests/leakage/test_partition_isolation.py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Fold-local transforms</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Scaling, nuisance regression, covariance estimation, feature selection, and calibration are fitted on training data only.</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tests/leakage/test_fold_locality.py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Positive controls</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Each dataset reproduces its predefined sensory, motor, state, or task positive control before construct inference.</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tests/integration/test_positive_controls.py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Unitary false-positive control</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Synthetic rank-one data are not classified as factorized above the nominal error rate.</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tests/synthetic/test_unitary_recovery.py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Factorized recovery</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Synthetic E/K/A/R components are recovered with calibrated uncertainty and correct held-out ranking.</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tests/synthetic/test_factorized_recovery.py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Determinism</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Repeated runs with the same manifest, seed, and container digest produce identical summary hashes.</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tests/integration/test_determinism.py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Lockbox enforcement</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Confirmatory data cannot be mounted or read when code/configuration hashes differ from the frozen manifest.</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tests/leakage/test_lockbox.py</w:t>
            </w:r>
          </w:p>
        </w:tc>
      </w:tr>
      <w:tr>
        <w:trPr>
          <w:cantSplit/>
        </w:trPr>
        <w:tc>
          <w:tcPr>
            <w:tcW w:type="dxa" w:w="1440"/>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Figure provenance</w:t>
            </w:r>
          </w:p>
        </w:tc>
        <w:tc>
          <w:tcPr>
            <w:tcW w:type="dxa" w:w="583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Every plotted value resolves to a frozen result row and configuration hash.</w:t>
            </w:r>
          </w:p>
        </w:tc>
        <w:tc>
          <w:tcPr>
            <w:tcW w:type="dxa" w:w="237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pytest tests/integration/test_figure_provenance.py</w:t>
            </w:r>
          </w:p>
        </w:tc>
      </w:tr>
    </w:tbl>
    <w:p>
      <w:pPr>
        <w:widowControl/>
        <w:spacing w:after="0"/>
      </w:pPr>
    </w:p>
    <w:p>
      <w:pPr>
        <w:widowControl/>
        <w:jc w:val="both"/>
      </w:pPr>
      <w:r>
        <w:rPr>
          <w:rFonts w:ascii="Times New Roman" w:hAnsi="Times New Roman" w:eastAsia="Times New Roman"/>
          <w:color w:val="000000"/>
          <w:sz w:val="24"/>
        </w:rPr>
        <w:t>Additional tests will verify numerical invariance to row order, reproducibility under fixed seeds, correct grouping of folds, correct sign conventions, no overlap of participant or run identifiers across partitions, and recovery of known architectures from synthetic data. A synthetic unitary dataset must not be classified as factorized above the nominal false-positive rate. A synthetic factorized dataset must recover unique components and leave-one-family-out transfer within simulation tolerances.</w:t>
      </w:r>
    </w:p>
    <w:p>
      <w:pPr>
        <w:pStyle w:val="Heading3"/>
        <w:widowControl/>
      </w:pPr>
      <w:r>
        <w:rPr>
          <w:rFonts w:ascii="Times New Roman" w:hAnsi="Times New Roman" w:eastAsia="Times New Roman"/>
          <w:b/>
          <w:i/>
          <w:color w:val="000000"/>
          <w:sz w:val="24"/>
        </w:rPr>
        <w:t>26.6 Provenance and output contracts</w:t>
      </w:r>
    </w:p>
    <w:p>
      <w:pPr>
        <w:widowControl/>
        <w:jc w:val="both"/>
      </w:pPr>
      <w:r>
        <w:rPr>
          <w:rFonts w:ascii="Times New Roman" w:hAnsi="Times New Roman" w:eastAsia="Times New Roman"/>
          <w:color w:val="000000"/>
          <w:sz w:val="24"/>
        </w:rPr>
        <w:t>Every rule writes a JSON sidecar containing command, code commit, container digest, configuration hash, input hashes, random seed, start and end time, software versions, and QC summary. Final model scores use a tidy schema with dataset_family, modality, feature_family, region, fold, subject_group, candidate_model, log_score, effective_df, and convergence_status. Final component tables add construct, unique_delta_score, uncertainty, and correction status. Figure scripts read only these tables.</w:t>
      </w:r>
    </w:p>
    <w:p>
      <w:pPr>
        <w:widowControl/>
        <w:jc w:val="both"/>
      </w:pPr>
      <w:r>
        <w:rPr>
          <w:rFonts w:ascii="Times New Roman" w:hAnsi="Times New Roman" w:eastAsia="Times New Roman"/>
          <w:color w:val="000000"/>
          <w:sz w:val="24"/>
        </w:rPr>
        <w:t>A top-level results_manifest.json records every manuscript number and its source file. For example, a plotted family-level ΔELPD point will link to the exact folds and configuration that generated it. The workflow will create a machine-readable deviations log. This makes manuscript claims auditable without redistributing sensitive raw files, although all included resources are de-identified and open.</w:t>
      </w:r>
    </w:p>
    <w:p>
      <w:pPr>
        <w:pStyle w:val="Heading2"/>
        <w:widowControl/>
      </w:pPr>
      <w:r>
        <w:rPr>
          <w:rFonts w:ascii="Times New Roman" w:hAnsi="Times New Roman" w:eastAsia="Times New Roman"/>
          <w:b/>
          <w:i w:val="0"/>
          <w:color w:val="000000"/>
          <w:sz w:val="26"/>
        </w:rPr>
        <w:t>27. Computational requirements and execution strategy</w:t>
      </w:r>
    </w:p>
    <w:p>
      <w:pPr>
        <w:widowControl/>
        <w:jc w:val="both"/>
      </w:pPr>
      <w:r>
        <w:rPr>
          <w:rFonts w:ascii="Times New Roman" w:hAnsi="Times New Roman" w:eastAsia="Times New Roman"/>
          <w:color w:val="000000"/>
          <w:sz w:val="24"/>
        </w:rPr>
        <w:t>The full project is data- and CPU-intensive rather than primarily GPU-intensive. The simultaneous MEG-EEG COGITATE bundle alone is approximately 700 GB, and the combined raw plus derivative footprint is expected to require roughly 2-4 TB of reliable storage plus temporary scratch. Reprocessing all fMRI from raw may require tens of thousands of core-hours depending on container versions, surface reconstruction, and whether validated derivatives are reused. Electrophysiology preprocessing and time-resolved multivariate analysis will also require substantial CPU parallelism and high-throughput storage.</w:t>
      </w:r>
    </w:p>
    <w:p>
      <w:pPr>
        <w:widowControl/>
        <w:jc w:val="both"/>
      </w:pPr>
      <w:r>
        <w:rPr>
          <w:rFonts w:ascii="Times New Roman" w:hAnsi="Times New Roman" w:eastAsia="Times New Roman"/>
          <w:color w:val="000000"/>
          <w:sz w:val="24"/>
        </w:rPr>
        <w:t>A practical environment is a Slurm cluster with 100-300 available CPU cores, at least 512 GB aggregate RAM, high-memory nodes for group covariance models, and 5 TB of fast scratch. One modern GPU with at least 24 GB memory is sufficient for the secondary neural network; the primary PCM, GLM, RDM, and hierarchical analyses run on CPU. The Snakemake profile will request resources per rule and limit simultaneous high-I/O jobs. Development begins with sample bundles and one participant per dataset, followed by 10% scale tests, full development partitions, and only then the confirmatory run.</w:t>
      </w:r>
    </w:p>
    <w:p>
      <w:pPr>
        <w:widowControl/>
        <w:jc w:val="both"/>
      </w:pPr>
      <w:r>
        <w:rPr>
          <w:rFonts w:ascii="Times New Roman" w:hAnsi="Times New Roman" w:eastAsia="Times New Roman"/>
          <w:color w:val="000000"/>
          <w:sz w:val="24"/>
        </w:rPr>
        <w:t>The workflow supports derivative reuse. A configuration flag records whether raw preprocessing or publisher-provided derivatives are used. The primary path should maximize comparability without needlessly repeating validated processing. A full raw-reprocessing sensitivity analysis can be limited to a representative subset if compute is prohibitive, provided the derivative and raw branches show equivalent condition geometry within that subset.</w:t>
      </w:r>
    </w:p>
    <w:p>
      <w:pPr>
        <w:pStyle w:val="Heading2"/>
        <w:widowControl/>
      </w:pPr>
      <w:r>
        <w:rPr>
          <w:rFonts w:ascii="Times New Roman" w:hAnsi="Times New Roman" w:eastAsia="Times New Roman"/>
          <w:b/>
          <w:i w:val="0"/>
          <w:color w:val="000000"/>
          <w:sz w:val="26"/>
        </w:rPr>
        <w:t>28. Ethics, governance, and responsible interpretation</w:t>
      </w:r>
    </w:p>
    <w:p>
      <w:pPr>
        <w:widowControl/>
        <w:jc w:val="both"/>
      </w:pPr>
      <w:r>
        <w:rPr>
          <w:rFonts w:ascii="Times New Roman" w:hAnsi="Times New Roman" w:eastAsia="Times New Roman"/>
          <w:color w:val="000000"/>
          <w:sz w:val="24"/>
        </w:rPr>
        <w:t>All analyses use public de-identified data collected under the original studies' ethics approvals and sharing consent. Before execution, the host institution will determine whether secondary analysis requires formal review, exemption, or notification. Repository terms and attribution requirements will be followed. No attempt will be made to re-identify participants, and potentially identifying metadata will not be copied into outputs.</w:t>
      </w:r>
    </w:p>
    <w:p>
      <w:pPr>
        <w:widowControl/>
        <w:jc w:val="both"/>
      </w:pPr>
      <w:r>
        <w:rPr>
          <w:rFonts w:ascii="Times New Roman" w:hAnsi="Times New Roman" w:eastAsia="Times New Roman"/>
          <w:color w:val="000000"/>
          <w:sz w:val="24"/>
        </w:rPr>
        <w:t>The study concerns states in which report may be unavailable. Language will therefore distinguish observed behavior, evidence for cognitive operation, evidence for experience, and clinical consciousness. A classifier output will not be presented as a diagnostic instrument. Findings from healthy anesthesia or sleep will not be directly generalized to patients with disorders of consciousness without separate validation. Negative evidence will be calibrated to measurement sensitivity. The paper will explicitly state that neural factorization does not establish ontological independence and that residual dependence may be theoretically central.</w:t>
      </w:r>
    </w:p>
    <w:p>
      <w:pPr>
        <w:pStyle w:val="Heading2"/>
        <w:widowControl/>
      </w:pPr>
      <w:r>
        <w:rPr>
          <w:rFonts w:ascii="Times New Roman" w:hAnsi="Times New Roman" w:eastAsia="Times New Roman"/>
          <w:b/>
          <w:i w:val="0"/>
          <w:color w:val="000000"/>
          <w:sz w:val="26"/>
        </w:rPr>
        <w:t>29. Reporting standards and open-science outputs</w:t>
      </w:r>
    </w:p>
    <w:p>
      <w:pPr>
        <w:widowControl/>
        <w:jc w:val="both"/>
      </w:pPr>
      <w:r>
        <w:rPr>
          <w:rFonts w:ascii="Times New Roman" w:hAnsi="Times New Roman" w:eastAsia="Times New Roman"/>
          <w:color w:val="000000"/>
          <w:sz w:val="24"/>
        </w:rPr>
        <w:t>The study will be preregistered before confirmatory partition access. The registration will include data versions, construct maps, hypotheses, exclusions, primary and secondary outcomes, simulation report, analysis code release, and decision rules. Code, configuration, synthetic fixtures, model summaries, and figure source data will be archived with a persistent DOI. Raw data will be referenced at their original repositories rather than rehosted.</w:t>
      </w:r>
    </w:p>
    <w:p>
      <w:pPr>
        <w:widowControl/>
        <w:jc w:val="both"/>
      </w:pPr>
      <w:r>
        <w:rPr>
          <w:rFonts w:ascii="Times New Roman" w:hAnsi="Times New Roman" w:eastAsia="Times New Roman"/>
          <w:color w:val="000000"/>
          <w:sz w:val="24"/>
        </w:rPr>
        <w:t>The final manuscript will report participant flow by dataset, all deviations, all tested architectures, the saturated ceiling, and both favorable and unfavorable families. Extended Data will contain design-rank diagnostics, positive controls, multiverse results, influence analyses, and full model calibration. The reporting package will include a reproducibility checklist and a one-command workflow for rebuilding figures from frozen summary data.</w:t>
      </w:r>
    </w:p>
    <w:p>
      <w:pPr>
        <w:pStyle w:val="Heading1"/>
        <w:widowControl/>
      </w:pPr>
      <w:r>
        <w:rPr>
          <w:rFonts w:ascii="Times New Roman" w:hAnsi="Times New Roman" w:eastAsia="Times New Roman"/>
          <w:b/>
          <w:i w:val="0"/>
          <w:color w:val="000000"/>
          <w:sz w:val="30"/>
        </w:rPr>
        <w:t>Anticipated results and interpretation framework</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12"/>
        <w:gridCol w:w="2412"/>
        <w:gridCol w:w="2412"/>
        <w:gridCol w:w="2412"/>
      </w:tblGrid>
      <w:tr>
        <w:trPr>
          <w:tblHeader w:val="true"/>
          <w:cantSplit/>
        </w:trPr>
        <w:tc>
          <w:tcPr>
            <w:tcW w:type="dxa" w:w="1656"/>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Outcome</w:t>
            </w:r>
          </w:p>
        </w:tc>
        <w:tc>
          <w:tcPr>
            <w:tcW w:type="dxa" w:w="3240"/>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Required pattern</w:t>
            </w:r>
          </w:p>
        </w:tc>
        <w:tc>
          <w:tcPr>
            <w:tcW w:type="dxa" w:w="3096"/>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Permitted claim</w:t>
            </w:r>
          </w:p>
        </w:tc>
        <w:tc>
          <w:tcPr>
            <w:tcW w:type="dxa" w:w="1656"/>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6"/>
              </w:rPr>
              <w:t>Likely positioning</w:t>
            </w:r>
          </w:p>
        </w:tc>
      </w:tr>
      <w:tr>
        <w:trPr>
          <w:cantSplit/>
        </w:trPr>
        <w:tc>
          <w:tcPr>
            <w:tcW w:type="dxa" w:w="1656"/>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Factorized-interactive wins broadly</w:t>
            </w:r>
          </w:p>
        </w:tc>
        <w:tc>
          <w:tcPr>
            <w:tcW w:type="dxa" w:w="32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Positive family-weighted predictive advantage; unique E and at least two K components; successful held-out paradigm prediction</w:t>
            </w:r>
          </w:p>
        </w:tc>
        <w:tc>
          <w:tcPr>
            <w:tcW w:type="dxa" w:w="309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Conscious experience and cognitive operations require distinguishable but interacting neural components</w:t>
            </w:r>
          </w:p>
        </w:tc>
        <w:tc>
          <w:tcPr>
            <w:tcW w:type="dxa" w:w="165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Neuron if temporal/iEEG mechanism is strong; otherwise Nature Human Behaviour</w:t>
            </w:r>
          </w:p>
        </w:tc>
      </w:tr>
      <w:tr>
        <w:trPr>
          <w:cantSplit/>
        </w:trPr>
        <w:tc>
          <w:tcPr>
            <w:tcW w:type="dxa" w:w="1656"/>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Partial factorization</w:t>
            </w:r>
          </w:p>
        </w:tc>
        <w:tc>
          <w:tcPr>
            <w:tcW w:type="dxa" w:w="32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 separates from R and/or A, but one or more K components remain collinear with E</w:t>
            </w:r>
          </w:p>
        </w:tc>
        <w:tc>
          <w:tcPr>
            <w:tcW w:type="dxa" w:w="309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Specific functions dissociate; no claim that cognition as a whole is separable</w:t>
            </w:r>
          </w:p>
        </w:tc>
        <w:tc>
          <w:tcPr>
            <w:tcW w:type="dxa" w:w="165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Nature Human Behaviour or Neuron depending mechanistic depth</w:t>
            </w:r>
          </w:p>
        </w:tc>
      </w:tr>
      <w:tr>
        <w:trPr>
          <w:cantSplit/>
        </w:trPr>
        <w:tc>
          <w:tcPr>
            <w:tcW w:type="dxa" w:w="1656"/>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Nested hierarchy wins</w:t>
            </w:r>
          </w:p>
        </w:tc>
        <w:tc>
          <w:tcPr>
            <w:tcW w:type="dxa" w:w="32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E-gating or K-access model predicts held-out data as well as or better than factorization</w:t>
            </w:r>
          </w:p>
        </w:tc>
        <w:tc>
          <w:tcPr>
            <w:tcW w:type="dxa" w:w="309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Evidence for directional dependence under the measured operations and states</w:t>
            </w:r>
          </w:p>
        </w:tc>
        <w:tc>
          <w:tcPr>
            <w:tcW w:type="dxa" w:w="165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Potentially high impact if cross-paradigm and temporally constrained</w:t>
            </w:r>
          </w:p>
        </w:tc>
      </w:tr>
      <w:tr>
        <w:trPr>
          <w:cantSplit/>
        </w:trPr>
        <w:tc>
          <w:tcPr>
            <w:tcW w:type="dxa" w:w="1656"/>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Unitary model is practically equivalent</w:t>
            </w:r>
          </w:p>
        </w:tc>
        <w:tc>
          <w:tcPr>
            <w:tcW w:type="dxa" w:w="32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Rank-one/global model recovers the predictable ceiling and transfers</w:t>
            </w:r>
          </w:p>
        </w:tc>
        <w:tc>
          <w:tcPr>
            <w:tcW w:type="dxa" w:w="309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The apparent dissociations do not require distinct neural dimensions at current resolution</w:t>
            </w:r>
          </w:p>
        </w:tc>
        <w:tc>
          <w:tcPr>
            <w:tcW w:type="dxa" w:w="165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Strong constraint paper; title and framing must change</w:t>
            </w:r>
          </w:p>
        </w:tc>
      </w:tr>
      <w:tr>
        <w:trPr>
          <w:cantSplit/>
        </w:trPr>
        <w:tc>
          <w:tcPr>
            <w:tcW w:type="dxa" w:w="1656"/>
            <w:vAlign w:val="center"/>
            <w:tcMar>
              <w:top w:w="80" w:type="dxa"/>
              <w:start w:w="90" w:type="dxa"/>
              <w:bottom w:w="80" w:type="dxa"/>
              <w:end w:w="90" w:type="dxa"/>
            </w:tcMar>
          </w:tcPr>
          <w:p>
            <w:pPr>
              <w:spacing w:after="0"/>
              <w:jc w:val="center"/>
            </w:pPr>
            <w:r>
              <w:rPr>
                <w:rFonts w:ascii="Times New Roman" w:hAnsi="Times New Roman" w:eastAsia="Times New Roman"/>
                <w:b w:val="0"/>
                <w:color w:val="000000"/>
                <w:sz w:val="16"/>
              </w:rPr>
              <w:t>Low ceiling or unstable heterogeneity</w:t>
            </w:r>
          </w:p>
        </w:tc>
        <w:tc>
          <w:tcPr>
            <w:tcW w:type="dxa" w:w="3240"/>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No architecture predicts reliably across folds/families</w:t>
            </w:r>
          </w:p>
        </w:tc>
        <w:tc>
          <w:tcPr>
            <w:tcW w:type="dxa" w:w="309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Measurement and task heterogeneity preclude an architectural conclusion</w:t>
            </w:r>
          </w:p>
        </w:tc>
        <w:tc>
          <w:tcPr>
            <w:tcW w:type="dxa" w:w="1656"/>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6"/>
              </w:rPr>
              <w:t>Method/resource paper or narrower dataset-specific manuscript</w:t>
            </w:r>
          </w:p>
        </w:tc>
      </w:tr>
    </w:tbl>
    <w:p>
      <w:pPr>
        <w:widowControl/>
        <w:spacing w:after="0"/>
      </w:pPr>
    </w:p>
    <w:p>
      <w:pPr>
        <w:widowControl/>
        <w:jc w:val="both"/>
      </w:pPr>
      <w:r>
        <w:rPr>
          <w:rFonts w:ascii="Times New Roman" w:hAnsi="Times New Roman" w:eastAsia="Times New Roman"/>
          <w:color w:val="000000"/>
          <w:sz w:val="24"/>
        </w:rPr>
        <w:t>The preferred result is not perfectly orthogonal axes. The theoretically meaningful pattern is that a factorized-interactive architecture provides reliable incremental prediction, recovers a large proportion of the saturated ceiling, and transfers to unseen paradigms. Correlation among components is expected because arousal constrains the probability of experience, experience can alter cognition, and reports depend on both. The study is successful if it identifies the minimum architecture and its boundary conditions with calibrated uncertainty.</w:t>
      </w:r>
    </w:p>
    <w:p>
      <w:pPr>
        <w:widowControl/>
        <w:jc w:val="both"/>
      </w:pPr>
      <w:r>
        <w:rPr>
          <w:rFonts w:ascii="Times New Roman" w:hAnsi="Times New Roman" w:eastAsia="Times New Roman"/>
          <w:color w:val="000000"/>
          <w:sz w:val="24"/>
        </w:rPr>
        <w:t>A particularly strong Neuron result would combine four findings: an E component shared by report and no-report perception and by within-stage sleep experience; K_task and R components with distinct time courses in COGITATE MEG-EEG and iEEG; K_volition expression during behavioral unresponsiveness after A is modeled; and leave-one-family-out prediction of representational geometry. A particularly strong Nature Human Behaviour result would add the 531-participant working-memory analysis and show that the same architecture predicts behavior across laboratories and neural data across states.</w:t>
      </w:r>
    </w:p>
    <w:p>
      <w:pPr>
        <w:pStyle w:val="Heading1"/>
        <w:widowControl/>
      </w:pPr>
      <w:r>
        <w:rPr>
          <w:rFonts w:ascii="Times New Roman" w:hAnsi="Times New Roman" w:eastAsia="Times New Roman"/>
          <w:b/>
          <w:i w:val="0"/>
          <w:color w:val="000000"/>
          <w:sz w:val="30"/>
        </w:rPr>
        <w:t>Planned main figures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16"/>
        <w:gridCol w:w="3216"/>
        <w:gridCol w:w="3216"/>
      </w:tblGrid>
      <w:tr>
        <w:trPr>
          <w:tblHeader w:val="true"/>
          <w:cantSplit/>
        </w:trPr>
        <w:tc>
          <w:tcPr>
            <w:tcW w:type="dxa" w:w="547"/>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7"/>
              </w:rPr>
              <w:t>Fig.</w:t>
            </w:r>
          </w:p>
        </w:tc>
        <w:tc>
          <w:tcPr>
            <w:tcW w:type="dxa" w:w="2952"/>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7"/>
              </w:rPr>
              <w:t>Working title</w:t>
            </w:r>
          </w:p>
        </w:tc>
        <w:tc>
          <w:tcPr>
            <w:tcW w:type="dxa" w:w="6149"/>
            <w:vAlign w:val="center"/>
            <w:shd w:fill="E7E6E6"/>
            <w:tcMar>
              <w:top w:w="90" w:type="dxa"/>
              <w:start w:w="90" w:type="dxa"/>
              <w:bottom w:w="90" w:type="dxa"/>
              <w:end w:w="90" w:type="dxa"/>
            </w:tcMar>
          </w:tcPr>
          <w:p>
            <w:pPr>
              <w:jc w:val="center"/>
            </w:pPr>
            <w:r>
              <w:rPr>
                <w:rFonts w:ascii="Times New Roman" w:hAnsi="Times New Roman" w:eastAsia="Times New Roman"/>
                <w:b/>
                <w:color w:val="000000"/>
                <w:sz w:val="17"/>
              </w:rPr>
              <w:t>Content</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1</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Construct-bridge design and competing architectures</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Datasets connect E, K, A, R, and S through overlapping interventions; models make rank and gating predictions.</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2</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Behavioral evidence and latent measurement</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Multisite working memory, visibility/experience calibration, and measurement-error propagation.</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3</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Unique neural components across datasets</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Crossvalidated component-removal scores and variance partitioning for E, K components, A, R, and S.</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4</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Temporal dynamics</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MEG-EEG and iEEG temporal-generalization matrices, onset uncertainty, and construct-specific persistence.</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5</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Cross-modal and anatomical convergence</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Network profiles, second-order RDM agreement, and reliable subspace angles.</w:t>
            </w:r>
          </w:p>
        </w:tc>
      </w:tr>
      <w:tr>
        <w:trPr>
          <w:cantSplit/>
        </w:trPr>
        <w:tc>
          <w:tcPr>
            <w:tcW w:type="dxa" w:w="547"/>
            <w:vAlign w:val="center"/>
            <w:tcMar>
              <w:top w:w="80" w:type="dxa"/>
              <w:start w:w="90" w:type="dxa"/>
              <w:bottom w:w="80" w:type="dxa"/>
              <w:end w:w="90" w:type="dxa"/>
            </w:tcMar>
          </w:tcPr>
          <w:p>
            <w:pPr>
              <w:spacing w:after="0"/>
              <w:jc w:val="center"/>
            </w:pPr>
            <w:r>
              <w:rPr>
                <w:rFonts w:ascii="Times New Roman" w:hAnsi="Times New Roman" w:eastAsia="Times New Roman"/>
                <w:b/>
                <w:color w:val="000000"/>
                <w:sz w:val="17"/>
              </w:rPr>
              <w:t>6</w:t>
            </w:r>
          </w:p>
        </w:tc>
        <w:tc>
          <w:tcPr>
            <w:tcW w:type="dxa" w:w="2952"/>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Falsification and external prediction</w:t>
            </w:r>
          </w:p>
        </w:tc>
        <w:tc>
          <w:tcPr>
            <w:tcW w:type="dxa" w:w="6149"/>
            <w:vAlign w:val="center"/>
            <w:tcMar>
              <w:top w:w="80" w:type="dxa"/>
              <w:start w:w="90" w:type="dxa"/>
              <w:bottom w:w="80" w:type="dxa"/>
              <w:end w:w="90" w:type="dxa"/>
            </w:tcMar>
          </w:tcPr>
          <w:p>
            <w:pPr>
              <w:spacing w:after="0"/>
              <w:jc w:val="left"/>
            </w:pPr>
            <w:r>
              <w:rPr>
                <w:rFonts w:ascii="Times New Roman" w:hAnsi="Times New Roman" w:eastAsia="Times New Roman"/>
                <w:b w:val="0"/>
                <w:color w:val="000000"/>
                <w:sz w:val="17"/>
              </w:rPr>
              <w:t>Model ranking, saturated ceiling, leave-one-family-out prediction, and outcome decision tree.</w:t>
            </w:r>
          </w:p>
        </w:tc>
      </w:tr>
    </w:tbl>
    <w:p>
      <w:pPr>
        <w:widowControl/>
        <w:spacing w:after="0"/>
      </w:pPr>
    </w:p>
    <w:p>
      <w:pPr>
        <w:keepNext/>
        <w:widowControl/>
        <w:jc w:val="center"/>
      </w:pPr>
      <w:r>
        <w:rPr>
          <w:color w:val="000000"/>
        </w:rPr>
        <w:drawing>
          <wp:inline xmlns:a="http://schemas.openxmlformats.org/drawingml/2006/main" xmlns:pic="http://schemas.openxmlformats.org/drawingml/2006/picture">
            <wp:extent cx="6080760" cy="3225664"/>
            <wp:docPr id="2" name="Picture 2"/>
            <wp:cNvGraphicFramePr>
              <a:graphicFrameLocks noChangeAspect="1"/>
            </wp:cNvGraphicFramePr>
            <a:graphic>
              <a:graphicData uri="http://schemas.openxmlformats.org/drawingml/2006/picture">
                <pic:pic>
                  <pic:nvPicPr>
                    <pic:cNvPr id="0" name="figure2_analysis_workflow.png"/>
                    <pic:cNvPicPr/>
                  </pic:nvPicPr>
                  <pic:blipFill>
                    <a:blip r:embed="rId11"/>
                    <a:stretch>
                      <a:fillRect/>
                    </a:stretch>
                  </pic:blipFill>
                  <pic:spPr>
                    <a:xfrm>
                      <a:off x="0" y="0"/>
                      <a:ext cx="6080760" cy="3225664"/>
                    </a:xfrm>
                    <a:prstGeom prst="rect"/>
                  </pic:spPr>
                </pic:pic>
              </a:graphicData>
            </a:graphic>
          </wp:inline>
        </w:drawing>
      </w:r>
    </w:p>
    <w:p>
      <w:pPr>
        <w:keepNext w:val="0"/>
        <w:widowControl/>
        <w:jc w:val="both"/>
      </w:pPr>
      <w:r>
        <w:rPr>
          <w:rFonts w:ascii="Times New Roman" w:hAnsi="Times New Roman" w:eastAsia="Times New Roman"/>
          <w:i/>
          <w:color w:val="000000"/>
          <w:sz w:val="20"/>
        </w:rPr>
        <w:t>Figure 2. Confirmatory and reproducible analysis workflow. Data identity, construct maps, development decisions, code, containers, and model outputs are content hashed. The confirmatory partition is analyzed only after synthetic recovery and leakage tests pass.</w:t>
      </w:r>
    </w:p>
    <w:p>
      <w:pPr>
        <w:pStyle w:val="Heading1"/>
        <w:widowControl/>
      </w:pPr>
      <w:r>
        <w:rPr>
          <w:rFonts w:ascii="Times New Roman" w:hAnsi="Times New Roman" w:eastAsia="Times New Roman"/>
          <w:b/>
          <w:i w:val="0"/>
          <w:color w:val="000000"/>
          <w:sz w:val="30"/>
        </w:rPr>
        <w:t>Risk register and mitigation</w:t>
      </w:r>
    </w:p>
    <w:p>
      <w:pPr>
        <w:pStyle w:val="Heading2"/>
        <w:widowControl/>
      </w:pPr>
      <w:r>
        <w:rPr>
          <w:rFonts w:ascii="Times New Roman" w:hAnsi="Times New Roman" w:eastAsia="Times New Roman"/>
          <w:b/>
          <w:i w:val="0"/>
          <w:color w:val="000000"/>
          <w:sz w:val="26"/>
        </w:rPr>
        <w:t>Construct non-equivalence across datasets</w:t>
      </w:r>
    </w:p>
    <w:p>
      <w:pPr>
        <w:widowControl/>
        <w:jc w:val="both"/>
      </w:pPr>
      <w:r>
        <w:rPr>
          <w:rFonts w:ascii="Times New Roman" w:hAnsi="Times New Roman" w:eastAsia="Times New Roman"/>
          <w:color w:val="000000"/>
          <w:sz w:val="24"/>
        </w:rPr>
        <w:t>E is not measured on one universal scale. The mitigation is to model dataset-specific measurement links and compare relative representational geometry, not raw scores. Conclusions will be phrased at the level of distinguishable components, not numerical equality of conscious level.</w:t>
      </w:r>
    </w:p>
    <w:p>
      <w:pPr>
        <w:pStyle w:val="Heading2"/>
        <w:widowControl/>
      </w:pPr>
      <w:r>
        <w:rPr>
          <w:rFonts w:ascii="Times New Roman" w:hAnsi="Times New Roman" w:eastAsia="Times New Roman"/>
          <w:b/>
          <w:i w:val="0"/>
          <w:color w:val="000000"/>
          <w:sz w:val="26"/>
        </w:rPr>
        <w:t>Residual awareness in low-visibility trials</w:t>
      </w:r>
    </w:p>
    <w:p>
      <w:pPr>
        <w:widowControl/>
        <w:jc w:val="both"/>
      </w:pPr>
      <w:r>
        <w:rPr>
          <w:rFonts w:ascii="Times New Roman" w:hAnsi="Times New Roman" w:eastAsia="Times New Roman"/>
          <w:color w:val="000000"/>
          <w:sz w:val="24"/>
        </w:rPr>
        <w:t>The mitigation is a graded latent awareness model, cue-absent controls, reliability modeling, equivalence tests, and a large multisite behavioral anchor. The paper will not call a trial unconscious merely because its lowest awareness category was selected.</w:t>
      </w:r>
    </w:p>
    <w:p>
      <w:pPr>
        <w:pStyle w:val="Heading2"/>
        <w:widowControl/>
      </w:pPr>
      <w:r>
        <w:rPr>
          <w:rFonts w:ascii="Times New Roman" w:hAnsi="Times New Roman" w:eastAsia="Times New Roman"/>
          <w:b/>
          <w:i w:val="0"/>
          <w:color w:val="000000"/>
          <w:sz w:val="26"/>
        </w:rPr>
        <w:t>Report contamination</w:t>
      </w:r>
    </w:p>
    <w:p>
      <w:pPr>
        <w:widowControl/>
        <w:jc w:val="both"/>
      </w:pPr>
      <w:r>
        <w:rPr>
          <w:rFonts w:ascii="Times New Roman" w:hAnsi="Times New Roman" w:eastAsia="Times New Roman"/>
          <w:color w:val="000000"/>
          <w:sz w:val="24"/>
        </w:rPr>
        <w:t>BMVP provides report and no-report contrasts, COGITATE separates task relevance from response on nontarget trials, and propofol separates imagery from force response. R is modeled as a construct rather than regressed away as a nuisance.</w:t>
      </w:r>
    </w:p>
    <w:p>
      <w:pPr>
        <w:pStyle w:val="Heading2"/>
        <w:widowControl/>
      </w:pPr>
      <w:r>
        <w:rPr>
          <w:rFonts w:ascii="Times New Roman" w:hAnsi="Times New Roman" w:eastAsia="Times New Roman"/>
          <w:b/>
          <w:i w:val="0"/>
          <w:color w:val="000000"/>
          <w:sz w:val="26"/>
        </w:rPr>
        <w:t>Arousal contamination</w:t>
      </w:r>
    </w:p>
    <w:p>
      <w:pPr>
        <w:widowControl/>
        <w:jc w:val="both"/>
      </w:pPr>
      <w:r>
        <w:rPr>
          <w:rFonts w:ascii="Times New Roman" w:hAnsi="Times New Roman" w:eastAsia="Times New Roman"/>
          <w:color w:val="000000"/>
          <w:sz w:val="24"/>
        </w:rPr>
        <w:t>DREAM uses within-stage contrasts; repeated-awakening propofol uses experience variation within deep sedation; propofol fMRI models dose continuously. A is a primary component, not a hidden confound.</w:t>
      </w:r>
    </w:p>
    <w:p>
      <w:pPr>
        <w:pStyle w:val="Heading2"/>
        <w:widowControl/>
      </w:pPr>
      <w:r>
        <w:rPr>
          <w:rFonts w:ascii="Times New Roman" w:hAnsi="Times New Roman" w:eastAsia="Times New Roman"/>
          <w:b/>
          <w:i w:val="0"/>
          <w:color w:val="000000"/>
          <w:sz w:val="26"/>
        </w:rPr>
        <w:t>Heterogeneous preprocessing and modality</w:t>
      </w:r>
    </w:p>
    <w:p>
      <w:pPr>
        <w:widowControl/>
        <w:jc w:val="both"/>
      </w:pPr>
      <w:r>
        <w:rPr>
          <w:rFonts w:ascii="Times New Roman" w:hAnsi="Times New Roman" w:eastAsia="Times New Roman"/>
          <w:color w:val="000000"/>
          <w:sz w:val="24"/>
        </w:rPr>
        <w:t>Primary inference uses within-dataset crossvalidation and second-order geometry. Raw signals are not concatenated. Shared atlases and source estimates support but do not define convergence.</w:t>
      </w:r>
    </w:p>
    <w:p>
      <w:pPr>
        <w:pStyle w:val="Heading2"/>
        <w:widowControl/>
      </w:pPr>
      <w:r>
        <w:rPr>
          <w:rFonts w:ascii="Times New Roman" w:hAnsi="Times New Roman" w:eastAsia="Times New Roman"/>
          <w:b/>
          <w:i w:val="0"/>
          <w:color w:val="000000"/>
          <w:sz w:val="26"/>
        </w:rPr>
        <w:t>Small or imbalanced datasets</w:t>
      </w:r>
    </w:p>
    <w:p>
      <w:pPr>
        <w:widowControl/>
        <w:jc w:val="both"/>
      </w:pPr>
      <w:r>
        <w:rPr>
          <w:rFonts w:ascii="Times New Roman" w:hAnsi="Times New Roman" w:eastAsia="Times New Roman"/>
          <w:color w:val="000000"/>
          <w:sz w:val="24"/>
        </w:rPr>
        <w:t>Small resources contribute uncertainty-weighted family estimates and cannot alone determine the headline claim. Simulation establishes detectable effects. Influence analyses expose dominance by rare no-experience observations.</w:t>
      </w:r>
    </w:p>
    <w:p>
      <w:pPr>
        <w:pStyle w:val="Heading2"/>
        <w:widowControl/>
      </w:pPr>
      <w:r>
        <w:rPr>
          <w:rFonts w:ascii="Times New Roman" w:hAnsi="Times New Roman" w:eastAsia="Times New Roman"/>
          <w:b/>
          <w:i w:val="0"/>
          <w:color w:val="000000"/>
          <w:sz w:val="26"/>
        </w:rPr>
        <w:t>Factorized model flexibility</w:t>
      </w:r>
    </w:p>
    <w:p>
      <w:pPr>
        <w:widowControl/>
        <w:jc w:val="both"/>
      </w:pPr>
      <w:r>
        <w:rPr>
          <w:rFonts w:ascii="Times New Roman" w:hAnsi="Times New Roman" w:eastAsia="Times New Roman"/>
          <w:color w:val="000000"/>
          <w:sz w:val="24"/>
        </w:rPr>
        <w:t>Nested cross-validation, matched regularization, effective-degrees-of-freedom reporting, rank-constrained sensitivity, and a saturated ceiling prevent in-sample flexibility from being mistaken for theory support.</w:t>
      </w:r>
    </w:p>
    <w:p>
      <w:pPr>
        <w:pStyle w:val="Heading1"/>
        <w:widowControl/>
      </w:pPr>
      <w:r>
        <w:rPr>
          <w:rFonts w:ascii="Times New Roman" w:hAnsi="Times New Roman" w:eastAsia="Times New Roman"/>
          <w:b/>
          <w:i w:val="0"/>
          <w:color w:val="000000"/>
          <w:sz w:val="30"/>
        </w:rPr>
        <w:t>Journal positioning and manuscript architecture</w:t>
      </w:r>
    </w:p>
    <w:p>
      <w:pPr>
        <w:pStyle w:val="Heading2"/>
        <w:widowControl/>
      </w:pPr>
      <w:r>
        <w:rPr>
          <w:rFonts w:ascii="Times New Roman" w:hAnsi="Times New Roman" w:eastAsia="Times New Roman"/>
          <w:b/>
          <w:i w:val="0"/>
          <w:color w:val="000000"/>
          <w:sz w:val="26"/>
        </w:rPr>
        <w:t>Neuron-first version</w:t>
      </w:r>
    </w:p>
    <w:p>
      <w:pPr>
        <w:widowControl/>
        <w:jc w:val="both"/>
      </w:pPr>
      <w:r>
        <w:rPr>
          <w:rFonts w:ascii="Times New Roman" w:hAnsi="Times New Roman" w:eastAsia="Times New Roman"/>
          <w:color w:val="000000"/>
          <w:sz w:val="24"/>
        </w:rPr>
        <w:t>The title should remain "Conscious experience and cognitive operations define dissociable dimensions of human brain dynamics." The Results should foreground dynamic PCM, iEEG and MEG-EEG temporal generalization, network-level unique variance, and altered-state trajectories. The behavioral multisite result should establish construct validity but not dominate the narrative. The main claim should be mechanistic: human neural dynamics require interacting experiential, cognitive, arousal, and response components whose temporal and representational organization predicts new paradigms.</w:t>
      </w:r>
    </w:p>
    <w:p>
      <w:pPr>
        <w:pStyle w:val="Heading2"/>
        <w:widowControl/>
      </w:pPr>
      <w:r>
        <w:rPr>
          <w:rFonts w:ascii="Times New Roman" w:hAnsi="Times New Roman" w:eastAsia="Times New Roman"/>
          <w:b/>
          <w:i w:val="0"/>
          <w:color w:val="000000"/>
          <w:sz w:val="26"/>
        </w:rPr>
        <w:t>Nature Human Behaviour version</w:t>
      </w:r>
    </w:p>
    <w:p>
      <w:pPr>
        <w:widowControl/>
        <w:jc w:val="both"/>
      </w:pPr>
      <w:r>
        <w:rPr>
          <w:rFonts w:ascii="Times New Roman" w:hAnsi="Times New Roman" w:eastAsia="Times New Roman"/>
          <w:color w:val="000000"/>
          <w:sz w:val="24"/>
        </w:rPr>
        <w:t>A stronger title is "Conscious experience and cognitive operations are separable across human brain states." The Results should foreground the cross-laboratory working-memory analysis, report/no-report dissociation, hierarchical architecture comparison, and leave-one-paradigm-out prediction. Neural modalities provide convergent mechanism. The broad claim is that human behavior and brain state cannot be adequately ordered on a single consciousness-cognition continuum.</w:t>
      </w:r>
    </w:p>
    <w:p>
      <w:pPr>
        <w:widowControl/>
        <w:jc w:val="both"/>
      </w:pPr>
      <w:r>
        <w:rPr>
          <w:rFonts w:ascii="Times New Roman" w:hAnsi="Times New Roman" w:eastAsia="Times New Roman"/>
          <w:color w:val="000000"/>
          <w:sz w:val="24"/>
        </w:rPr>
        <w:t>Nature Human Behaviour permits Article main text up to 5,000 words excluding Methods, references, and legends, with up to eight display items. The proposed six-figure architecture fits that format. The present Introduction can be shortened after results are known, while the detailed Methods can remain online. For either journal, the final title and claim must follow the winning model rather than preserve the factorization hypothesis if the data favor a nested or unitary architecture.</w:t>
      </w:r>
    </w:p>
    <w:p>
      <w:pPr>
        <w:pStyle w:val="Heading1"/>
        <w:widowControl/>
      </w:pPr>
      <w:r>
        <w:rPr>
          <w:rFonts w:ascii="Times New Roman" w:hAnsi="Times New Roman" w:eastAsia="Times New Roman"/>
          <w:b/>
          <w:i w:val="0"/>
          <w:color w:val="000000"/>
          <w:sz w:val="30"/>
        </w:rPr>
        <w:t>References</w:t>
      </w:r>
    </w:p>
    <w:p>
      <w:pPr>
        <w:widowControl/>
        <w:spacing w:after="60"/>
        <w:ind w:left="360" w:hanging="360"/>
        <w:jc w:val="left"/>
      </w:pPr>
      <w:r>
        <w:rPr>
          <w:rFonts w:ascii="Times New Roman" w:hAnsi="Times New Roman" w:eastAsia="Times New Roman"/>
          <w:color w:val="000000"/>
          <w:sz w:val="21"/>
        </w:rPr>
        <w:t>[1] Block N. On a confusion about a function of consciousness. Behavioral and Brain Sciences. 1995;18:227-287.</w:t>
      </w:r>
    </w:p>
    <w:p>
      <w:pPr>
        <w:widowControl/>
        <w:spacing w:after="60"/>
        <w:ind w:left="360" w:hanging="360"/>
        <w:jc w:val="left"/>
      </w:pPr>
      <w:r>
        <w:rPr>
          <w:rFonts w:ascii="Times New Roman" w:hAnsi="Times New Roman" w:eastAsia="Times New Roman"/>
          <w:color w:val="000000"/>
          <w:sz w:val="21"/>
        </w:rPr>
        <w:t>[2] Cohen MA, Dennett DC. Consciousness cannot be separated from function. Trends in Cognitive Sciences. 2011;15:358-364.</w:t>
      </w:r>
    </w:p>
    <w:p>
      <w:pPr>
        <w:widowControl/>
        <w:spacing w:after="60"/>
        <w:ind w:left="360" w:hanging="360"/>
        <w:jc w:val="left"/>
      </w:pPr>
      <w:r>
        <w:rPr>
          <w:rFonts w:ascii="Times New Roman" w:hAnsi="Times New Roman" w:eastAsia="Times New Roman"/>
          <w:color w:val="000000"/>
          <w:sz w:val="21"/>
        </w:rPr>
        <w:t>[3] Bayne T, Hohwy J, Owen AM. Are there levels of consciousness? Trends in Cognitive Sciences. 2016;20:405-413.</w:t>
      </w:r>
    </w:p>
    <w:p>
      <w:pPr>
        <w:widowControl/>
        <w:spacing w:after="60"/>
        <w:ind w:left="360" w:hanging="360"/>
        <w:jc w:val="left"/>
      </w:pPr>
      <w:r>
        <w:rPr>
          <w:rFonts w:ascii="Times New Roman" w:hAnsi="Times New Roman" w:eastAsia="Times New Roman"/>
          <w:color w:val="000000"/>
          <w:sz w:val="21"/>
        </w:rPr>
        <w:t>[4] Dehaene S, Naccache L. Towards a cognitive neuroscience of consciousness: basic evidence and a workspace framework. Cognition. 2001;79:1-37.</w:t>
      </w:r>
    </w:p>
    <w:p>
      <w:pPr>
        <w:widowControl/>
        <w:spacing w:after="60"/>
        <w:ind w:left="360" w:hanging="360"/>
        <w:jc w:val="left"/>
      </w:pPr>
      <w:r>
        <w:rPr>
          <w:rFonts w:ascii="Times New Roman" w:hAnsi="Times New Roman" w:eastAsia="Times New Roman"/>
          <w:color w:val="000000"/>
          <w:sz w:val="21"/>
        </w:rPr>
        <w:t>[5] Lamme VAF. Towards a true neural stance on consciousness. Trends in Cognitive Sciences. 2006;10:494-501.</w:t>
      </w:r>
    </w:p>
    <w:p>
      <w:pPr>
        <w:widowControl/>
        <w:spacing w:after="60"/>
        <w:ind w:left="360" w:hanging="360"/>
        <w:jc w:val="left"/>
      </w:pPr>
      <w:r>
        <w:rPr>
          <w:rFonts w:ascii="Times New Roman" w:hAnsi="Times New Roman" w:eastAsia="Times New Roman"/>
          <w:color w:val="000000"/>
          <w:sz w:val="21"/>
        </w:rPr>
        <w:t>[6] Tononi G, Boly M, Massimini M, Koch C. Integrated information theory: from consciousness to its physical substrate. Nature Reviews Neuroscience. 2016;17:450-461.</w:t>
      </w:r>
    </w:p>
    <w:p>
      <w:pPr>
        <w:widowControl/>
        <w:spacing w:after="60"/>
        <w:ind w:left="360" w:hanging="360"/>
        <w:jc w:val="left"/>
      </w:pPr>
      <w:r>
        <w:rPr>
          <w:rFonts w:ascii="Times New Roman" w:hAnsi="Times New Roman" w:eastAsia="Times New Roman"/>
          <w:color w:val="000000"/>
          <w:sz w:val="21"/>
        </w:rPr>
        <w:t>[7] Mashour GA, Roelfsema P, Changeux JP, Dehaene S. Conscious processing and the global neuronal workspace hypothesis. Neuron. 2020;105:776-798.</w:t>
      </w:r>
    </w:p>
    <w:p>
      <w:pPr>
        <w:widowControl/>
        <w:spacing w:after="60"/>
        <w:ind w:left="360" w:hanging="360"/>
        <w:jc w:val="left"/>
      </w:pPr>
      <w:r>
        <w:rPr>
          <w:rFonts w:ascii="Times New Roman" w:hAnsi="Times New Roman" w:eastAsia="Times New Roman"/>
          <w:color w:val="000000"/>
          <w:sz w:val="21"/>
        </w:rPr>
        <w:t>[8] Seth AK, Bayne T. Theories of consciousness. Nature Reviews Neuroscience. 2022;23:439-452.</w:t>
      </w:r>
    </w:p>
    <w:p>
      <w:pPr>
        <w:widowControl/>
        <w:spacing w:after="60"/>
        <w:ind w:left="360" w:hanging="360"/>
        <w:jc w:val="left"/>
      </w:pPr>
      <w:r>
        <w:rPr>
          <w:rFonts w:ascii="Times New Roman" w:hAnsi="Times New Roman" w:eastAsia="Times New Roman"/>
          <w:color w:val="000000"/>
          <w:sz w:val="21"/>
        </w:rPr>
        <w:t>[9] Aru J, Bachmann T, Singer W, Melloni L. Distilling the neural correlates of consciousness. Neuroscience and Biobehavioral Reviews. 2012;36:737-746.</w:t>
      </w:r>
    </w:p>
    <w:p>
      <w:pPr>
        <w:widowControl/>
        <w:spacing w:after="60"/>
        <w:ind w:left="360" w:hanging="360"/>
        <w:jc w:val="left"/>
      </w:pPr>
      <w:r>
        <w:rPr>
          <w:rFonts w:ascii="Times New Roman" w:hAnsi="Times New Roman" w:eastAsia="Times New Roman"/>
          <w:color w:val="000000"/>
          <w:sz w:val="21"/>
        </w:rPr>
        <w:t>[10] Tsuchiya N, Wilke M, Frassle S, Lamme VAF. No-report paradigms: extracting the true neural correlates of consciousness. Trends in Cognitive Sciences. 2015;19:757-770.</w:t>
      </w:r>
    </w:p>
    <w:p>
      <w:pPr>
        <w:widowControl/>
        <w:spacing w:after="60"/>
        <w:ind w:left="360" w:hanging="360"/>
        <w:jc w:val="left"/>
      </w:pPr>
      <w:r>
        <w:rPr>
          <w:rFonts w:ascii="Times New Roman" w:hAnsi="Times New Roman" w:eastAsia="Times New Roman"/>
          <w:color w:val="000000"/>
          <w:sz w:val="21"/>
        </w:rPr>
        <w:t>[11] Pitts MA, Padwal J, Fennelly D, Martinez A, Hillyard SA. Gamma band activity and the P3 reflect post-perceptual processes, not visual awareness. NeuroImage. 2014;101:337-350.</w:t>
      </w:r>
    </w:p>
    <w:p>
      <w:pPr>
        <w:widowControl/>
        <w:spacing w:after="60"/>
        <w:ind w:left="360" w:hanging="360"/>
        <w:jc w:val="left"/>
      </w:pPr>
      <w:r>
        <w:rPr>
          <w:rFonts w:ascii="Times New Roman" w:hAnsi="Times New Roman" w:eastAsia="Times New Roman"/>
          <w:color w:val="000000"/>
          <w:sz w:val="21"/>
        </w:rPr>
        <w:t>[12] Sanders RD, Tononi G, Laureys S, Sleigh JW. Unresponsiveness does not equal unconsciousness. Anesthesiology. 2012;116:946-959.</w:t>
      </w:r>
    </w:p>
    <w:p>
      <w:pPr>
        <w:widowControl/>
        <w:spacing w:after="60"/>
        <w:ind w:left="360" w:hanging="360"/>
        <w:jc w:val="left"/>
      </w:pPr>
      <w:r>
        <w:rPr>
          <w:rFonts w:ascii="Times New Roman" w:hAnsi="Times New Roman" w:eastAsia="Times New Roman"/>
          <w:color w:val="000000"/>
          <w:sz w:val="21"/>
        </w:rPr>
        <w:t>[13] Owen AM, Coleman MR, Boly M, Davis MH, Laureys S, Pickard JD. Detecting awareness in the vegetative state. Science. 2006;313:1402.</w:t>
      </w:r>
    </w:p>
    <w:p>
      <w:pPr>
        <w:widowControl/>
        <w:spacing w:after="60"/>
        <w:ind w:left="360" w:hanging="360"/>
        <w:jc w:val="left"/>
      </w:pPr>
      <w:r>
        <w:rPr>
          <w:rFonts w:ascii="Times New Roman" w:hAnsi="Times New Roman" w:eastAsia="Times New Roman"/>
          <w:color w:val="000000"/>
          <w:sz w:val="21"/>
        </w:rPr>
        <w:t>[14] Claassen J, Doyle K, Matory A, et al. Detection of brain activation in unresponsive patients with acute brain injury. New England Journal of Medicine. 2019;380:2497-2505.</w:t>
      </w:r>
    </w:p>
    <w:p>
      <w:pPr>
        <w:widowControl/>
        <w:spacing w:after="60"/>
        <w:ind w:left="360" w:hanging="360"/>
        <w:jc w:val="left"/>
      </w:pPr>
      <w:r>
        <w:rPr>
          <w:rFonts w:ascii="Times New Roman" w:hAnsi="Times New Roman" w:eastAsia="Times New Roman"/>
          <w:color w:val="000000"/>
          <w:sz w:val="21"/>
        </w:rPr>
        <w:t>[15] Mei N, Santana R, Soto D. Informative neural representations of unseen contents during higher-order processing in human brains and deep artificial networks. Nature Human Behaviour. 2022;6:720-731. doi:10.1038/s41562-021-01274-7.</w:t>
      </w:r>
    </w:p>
    <w:p>
      <w:pPr>
        <w:widowControl/>
        <w:spacing w:after="60"/>
        <w:ind w:left="360" w:hanging="360"/>
        <w:jc w:val="left"/>
      </w:pPr>
      <w:r>
        <w:rPr>
          <w:rFonts w:ascii="Times New Roman" w:hAnsi="Times New Roman" w:eastAsia="Times New Roman"/>
          <w:color w:val="000000"/>
          <w:sz w:val="21"/>
        </w:rPr>
        <w:t>[16] Soto D, Mantyla T, Silvanto J. Working memory without consciousness. Current Biology. 2011;21:R912-R913.</w:t>
      </w:r>
    </w:p>
    <w:p>
      <w:pPr>
        <w:widowControl/>
        <w:spacing w:after="60"/>
        <w:ind w:left="360" w:hanging="360"/>
        <w:jc w:val="left"/>
      </w:pPr>
      <w:r>
        <w:rPr>
          <w:rFonts w:ascii="Times New Roman" w:hAnsi="Times New Roman" w:eastAsia="Times New Roman"/>
          <w:color w:val="000000"/>
          <w:sz w:val="21"/>
        </w:rPr>
        <w:t>[17] Trubutschek D, Marti S, Ojeda A, et al. A theory of working memory without consciousness or sustained activity. eLife. 2017;6:e23871.</w:t>
      </w:r>
    </w:p>
    <w:p>
      <w:pPr>
        <w:widowControl/>
        <w:spacing w:after="60"/>
        <w:ind w:left="360" w:hanging="360"/>
        <w:jc w:val="left"/>
      </w:pPr>
      <w:r>
        <w:rPr>
          <w:rFonts w:ascii="Times New Roman" w:hAnsi="Times New Roman" w:eastAsia="Times New Roman"/>
          <w:color w:val="000000"/>
          <w:sz w:val="21"/>
        </w:rPr>
        <w:t>[18] Franco-Martinez A, Rey-Saez R, Adrian-Ventura J, et al. Replicating the unconscious working memory effect: a multisite Registered Report. Neuroscience of Consciousness. 2026;2026:niaf046. doi:10.1093/nc/niaf046.</w:t>
      </w:r>
    </w:p>
    <w:p>
      <w:pPr>
        <w:widowControl/>
        <w:spacing w:after="60"/>
        <w:ind w:left="360" w:hanging="360"/>
        <w:jc w:val="left"/>
      </w:pPr>
      <w:r>
        <w:rPr>
          <w:rFonts w:ascii="Times New Roman" w:hAnsi="Times New Roman" w:eastAsia="Times New Roman"/>
          <w:color w:val="000000"/>
          <w:sz w:val="21"/>
        </w:rPr>
        <w:t>[19] Kronemer SI, Aksen M, Ding JZ, et al. Human visual consciousness involves large scale cortical and subcortical networks independent of task report and eye movement activity. Nature Communications. 2022;13:7342. doi:10.1038/s41467-022-35117-4.</w:t>
      </w:r>
    </w:p>
    <w:p>
      <w:pPr>
        <w:widowControl/>
        <w:spacing w:after="60"/>
        <w:ind w:left="360" w:hanging="360"/>
        <w:jc w:val="left"/>
      </w:pPr>
      <w:r>
        <w:rPr>
          <w:rFonts w:ascii="Times New Roman" w:hAnsi="Times New Roman" w:eastAsia="Times New Roman"/>
          <w:color w:val="000000"/>
          <w:sz w:val="21"/>
        </w:rPr>
        <w:t>[20] Ferrante O, Gorska-Klimowska U, Henin S, et al. Adversarial testing of global neuronal workspace and integrated information theories of consciousness. Nature. 2025;642:133-142. doi:10.1038/s41586-025-08888-1.</w:t>
      </w:r>
    </w:p>
    <w:p>
      <w:pPr>
        <w:widowControl/>
        <w:spacing w:after="60"/>
        <w:ind w:left="360" w:hanging="360"/>
        <w:jc w:val="left"/>
      </w:pPr>
      <w:r>
        <w:rPr>
          <w:rFonts w:ascii="Times New Roman" w:hAnsi="Times New Roman" w:eastAsia="Times New Roman"/>
          <w:color w:val="000000"/>
          <w:sz w:val="21"/>
        </w:rPr>
        <w:t>[21] Khalaf A, Richter D, Vidal Y, et al. An open-access multi-site fMRI dataset for investigating conscious visual perception. Scientific Data. 2026;13:779. doi:10.1038/s41597-026-07377-y.</w:t>
      </w:r>
    </w:p>
    <w:p>
      <w:pPr>
        <w:widowControl/>
        <w:spacing w:after="60"/>
        <w:ind w:left="360" w:hanging="360"/>
        <w:jc w:val="left"/>
      </w:pPr>
      <w:r>
        <w:rPr>
          <w:rFonts w:ascii="Times New Roman" w:hAnsi="Times New Roman" w:eastAsia="Times New Roman"/>
          <w:color w:val="000000"/>
          <w:sz w:val="21"/>
        </w:rPr>
        <w:t>[22] Liu L, Ferrante O, Ghafari T, et al. An open multi-center MEG-EEG dataset for studying conscious visual perception. Scientific Data. 2026;13:799. doi:10.1038/s41597-026-07350-9.</w:t>
      </w:r>
    </w:p>
    <w:p>
      <w:pPr>
        <w:widowControl/>
        <w:spacing w:after="60"/>
        <w:ind w:left="360" w:hanging="360"/>
        <w:jc w:val="left"/>
      </w:pPr>
      <w:r>
        <w:rPr>
          <w:rFonts w:ascii="Times New Roman" w:hAnsi="Times New Roman" w:eastAsia="Times New Roman"/>
          <w:color w:val="000000"/>
          <w:sz w:val="21"/>
        </w:rPr>
        <w:t>[23] Seedat A, Lepauvre A, Jeschke J, et al. Open multi-center intracranial electroencephalography dataset with task probing conscious visual perception. Scientific Data. 2025;12:854. doi:10.1038/s41597-025-04833-z.</w:t>
      </w:r>
    </w:p>
    <w:p>
      <w:pPr>
        <w:widowControl/>
        <w:spacing w:after="60"/>
        <w:ind w:left="360" w:hanging="360"/>
        <w:jc w:val="left"/>
      </w:pPr>
      <w:r>
        <w:rPr>
          <w:rFonts w:ascii="Times New Roman" w:hAnsi="Times New Roman" w:eastAsia="Times New Roman"/>
          <w:color w:val="000000"/>
          <w:sz w:val="21"/>
        </w:rPr>
        <w:t>[24] Huang Z, Tarnal V, Fotiadis P, et al. An open fMRI resource for studying human brain function and covert consciousness under anesthesia. Scientific Data. 2026;13:127. doi:10.1038/s41597-025-06442-2.</w:t>
      </w:r>
    </w:p>
    <w:p>
      <w:pPr>
        <w:widowControl/>
        <w:spacing w:after="60"/>
        <w:ind w:left="360" w:hanging="360"/>
        <w:jc w:val="left"/>
      </w:pPr>
      <w:r>
        <w:rPr>
          <w:rFonts w:ascii="Times New Roman" w:hAnsi="Times New Roman" w:eastAsia="Times New Roman"/>
          <w:color w:val="000000"/>
          <w:sz w:val="21"/>
        </w:rPr>
        <w:t>[25] Wong W, Herzog R, Tsuchiya N, et al. A dream EEG and mentation database. Nature Communications. 2025;16:7495. doi:10.1038/s41467-025-61945-1.</w:t>
      </w:r>
    </w:p>
    <w:p>
      <w:pPr>
        <w:widowControl/>
        <w:spacing w:after="60"/>
        <w:ind w:left="360" w:hanging="360"/>
        <w:jc w:val="left"/>
      </w:pPr>
      <w:r>
        <w:rPr>
          <w:rFonts w:ascii="Times New Roman" w:hAnsi="Times New Roman" w:eastAsia="Times New Roman"/>
          <w:color w:val="000000"/>
          <w:sz w:val="21"/>
        </w:rPr>
        <w:t>[26] Bajwa IJ, Nilsen AS, Skukies R, et al. A repeated awakening study exploring the capacity of complexity measures to capture dreaming during propofol sedation. Scientific Reports. 2025;15:32746. doi:10.1038/s41598-025-12695-z.</w:t>
      </w:r>
    </w:p>
    <w:p>
      <w:pPr>
        <w:widowControl/>
        <w:spacing w:after="60"/>
        <w:ind w:left="360" w:hanging="360"/>
        <w:jc w:val="left"/>
      </w:pPr>
      <w:r>
        <w:rPr>
          <w:rFonts w:ascii="Times New Roman" w:hAnsi="Times New Roman" w:eastAsia="Times New Roman"/>
          <w:color w:val="000000"/>
          <w:sz w:val="21"/>
        </w:rPr>
        <w:t>[27] Siclari F, Baird B, Perogamvros L, et al. The neural correlates of dreaming. Nature Neuroscience. 2017;20:872-878.</w:t>
      </w:r>
    </w:p>
    <w:p>
      <w:pPr>
        <w:widowControl/>
        <w:spacing w:after="60"/>
        <w:ind w:left="360" w:hanging="360"/>
        <w:jc w:val="left"/>
      </w:pPr>
      <w:r>
        <w:rPr>
          <w:rFonts w:ascii="Times New Roman" w:hAnsi="Times New Roman" w:eastAsia="Times New Roman"/>
          <w:color w:val="000000"/>
          <w:sz w:val="21"/>
        </w:rPr>
        <w:t>[28] Windt JM, Nielsen T, Thompson E. Does consciousness disappear in dreamless sleep? Trends in Cognitive Sciences. 2016;20:871-882.</w:t>
      </w:r>
    </w:p>
    <w:p>
      <w:pPr>
        <w:widowControl/>
        <w:spacing w:after="60"/>
        <w:ind w:left="360" w:hanging="360"/>
        <w:jc w:val="left"/>
      </w:pPr>
      <w:r>
        <w:rPr>
          <w:rFonts w:ascii="Times New Roman" w:hAnsi="Times New Roman" w:eastAsia="Times New Roman"/>
          <w:color w:val="000000"/>
          <w:sz w:val="21"/>
        </w:rPr>
        <w:t>[29] Huang Z, Mashour GA, Hudetz AG. Functional geometry of the cortex encodes dimensions of consciousness. Nature Communications. 2023;14. doi:10.1038/s41467-022-35764-7.</w:t>
      </w:r>
    </w:p>
    <w:p>
      <w:pPr>
        <w:widowControl/>
        <w:spacing w:after="60"/>
        <w:ind w:left="360" w:hanging="360"/>
        <w:jc w:val="left"/>
      </w:pPr>
      <w:r>
        <w:rPr>
          <w:rFonts w:ascii="Times New Roman" w:hAnsi="Times New Roman" w:eastAsia="Times New Roman"/>
          <w:color w:val="000000"/>
          <w:sz w:val="21"/>
        </w:rPr>
        <w:t>[30] Lublinsky S, Yaron I, Marshall W, Mudrik L. Increasing power for detecting awareness: a new approach to test group level objective performance. Neuroscience of Consciousness. 2026;2026:niag039. doi:10.1093/nc/niag039.</w:t>
      </w:r>
    </w:p>
    <w:p>
      <w:pPr>
        <w:widowControl/>
        <w:spacing w:after="60"/>
        <w:ind w:left="360" w:hanging="360"/>
        <w:jc w:val="left"/>
      </w:pPr>
      <w:r>
        <w:rPr>
          <w:rFonts w:ascii="Times New Roman" w:hAnsi="Times New Roman" w:eastAsia="Times New Roman"/>
          <w:color w:val="000000"/>
          <w:sz w:val="21"/>
        </w:rPr>
        <w:t>[31] Sanchez-Fuenzalida N, van Gaal S, van den Hurk Z, Stein T, Fahrenfort JJF. Evidence for unconscious priming using a Bayesian single-subject approach. Neuroscience of Consciousness. 2026;2026:niag052. doi:10.1093/nc/niag052.</w:t>
      </w:r>
    </w:p>
    <w:p>
      <w:pPr>
        <w:widowControl/>
        <w:spacing w:after="60"/>
        <w:ind w:left="360" w:hanging="360"/>
        <w:jc w:val="left"/>
      </w:pPr>
      <w:r>
        <w:rPr>
          <w:rFonts w:ascii="Times New Roman" w:hAnsi="Times New Roman" w:eastAsia="Times New Roman"/>
          <w:color w:val="000000"/>
          <w:sz w:val="21"/>
        </w:rPr>
        <w:t>[32] Dienes Z. How Bayesian statistics are needed to determine whether mental states are unconscious. In: Overgaard M, editor. Behavioural Methods in Consciousness Research. Oxford University Press; 2015.</w:t>
      </w:r>
    </w:p>
    <w:p>
      <w:pPr>
        <w:widowControl/>
        <w:spacing w:after="60"/>
        <w:ind w:left="360" w:hanging="360"/>
        <w:jc w:val="left"/>
      </w:pPr>
      <w:r>
        <w:rPr>
          <w:rFonts w:ascii="Times New Roman" w:hAnsi="Times New Roman" w:eastAsia="Times New Roman"/>
          <w:color w:val="000000"/>
          <w:sz w:val="21"/>
        </w:rPr>
        <w:t>[33] Kriegeskorte N, Mur M, Bandettini P. Representational similarity analysis - connecting the branches of systems neuroscience. Frontiers in Systems Neuroscience. 2008;2:4.</w:t>
      </w:r>
    </w:p>
    <w:p>
      <w:pPr>
        <w:widowControl/>
        <w:spacing w:after="60"/>
        <w:ind w:left="360" w:hanging="360"/>
        <w:jc w:val="left"/>
      </w:pPr>
      <w:r>
        <w:rPr>
          <w:rFonts w:ascii="Times New Roman" w:hAnsi="Times New Roman" w:eastAsia="Times New Roman"/>
          <w:color w:val="000000"/>
          <w:sz w:val="21"/>
        </w:rPr>
        <w:t>[34] Walther A, Nili H, Ejaz N, Alink A, Kriegeskorte N, Diedrichsen J. Reliability of dissimilarity measures for multi-voxel pattern analysis. NeuroImage. 2016;137:188-200.</w:t>
      </w:r>
    </w:p>
    <w:p>
      <w:pPr>
        <w:widowControl/>
        <w:spacing w:after="60"/>
        <w:ind w:left="360" w:hanging="360"/>
        <w:jc w:val="left"/>
      </w:pPr>
      <w:r>
        <w:rPr>
          <w:rFonts w:ascii="Times New Roman" w:hAnsi="Times New Roman" w:eastAsia="Times New Roman"/>
          <w:color w:val="000000"/>
          <w:sz w:val="21"/>
        </w:rPr>
        <w:t>[35] Diedrichsen J, Ridgway GR, Friston KJ, Wiestler T. Comparing the similarity and spatial structure of neural representations: a pattern-component model. NeuroImage. 2011;55:1665-1678.</w:t>
      </w:r>
    </w:p>
    <w:p>
      <w:pPr>
        <w:widowControl/>
        <w:spacing w:after="60"/>
        <w:ind w:left="360" w:hanging="360"/>
        <w:jc w:val="left"/>
      </w:pPr>
      <w:r>
        <w:rPr>
          <w:rFonts w:ascii="Times New Roman" w:hAnsi="Times New Roman" w:eastAsia="Times New Roman"/>
          <w:color w:val="000000"/>
          <w:sz w:val="21"/>
        </w:rPr>
        <w:t>[36] Diedrichsen J, Kriegeskorte N. Representational models: a common framework for understanding encoding, pattern-component, and representational-similarity analysis. PLoS Computational Biology. 2017;13:e1005508.</w:t>
      </w:r>
    </w:p>
    <w:p>
      <w:pPr>
        <w:widowControl/>
        <w:spacing w:after="60"/>
        <w:ind w:left="360" w:hanging="360"/>
        <w:jc w:val="left"/>
      </w:pPr>
      <w:r>
        <w:rPr>
          <w:rFonts w:ascii="Times New Roman" w:hAnsi="Times New Roman" w:eastAsia="Times New Roman"/>
          <w:color w:val="000000"/>
          <w:sz w:val="21"/>
        </w:rPr>
        <w:t>[37] Nili H, Wingfield C, Walther A, Su L, Marslen-Wilson W, Kriegeskorte N. A toolbox for representational similarity analysis. PLoS Computational Biology. 2014;10:e1003553.</w:t>
      </w:r>
    </w:p>
    <w:p>
      <w:pPr>
        <w:widowControl/>
        <w:spacing w:after="60"/>
        <w:ind w:left="360" w:hanging="360"/>
        <w:jc w:val="left"/>
      </w:pPr>
      <w:r>
        <w:rPr>
          <w:rFonts w:ascii="Times New Roman" w:hAnsi="Times New Roman" w:eastAsia="Times New Roman"/>
          <w:color w:val="000000"/>
          <w:sz w:val="21"/>
        </w:rPr>
        <w:t>[38] King JR, Dehaene S. Characterizing the dynamics of mental representations: the temporal generalization method. Trends in Cognitive Sciences. 2014;18:203-210.</w:t>
      </w:r>
    </w:p>
    <w:p>
      <w:pPr>
        <w:widowControl/>
        <w:spacing w:after="60"/>
        <w:ind w:left="360" w:hanging="360"/>
        <w:jc w:val="left"/>
      </w:pPr>
      <w:r>
        <w:rPr>
          <w:rFonts w:ascii="Times New Roman" w:hAnsi="Times New Roman" w:eastAsia="Times New Roman"/>
          <w:color w:val="000000"/>
          <w:sz w:val="21"/>
        </w:rPr>
        <w:t>[39] Haufe S, Meinecke F, Gorgen K, et al. On the interpretation of weight vectors of linear models in multivariate neuroimaging. NeuroImage. 2014;87:96-110.</w:t>
      </w:r>
    </w:p>
    <w:p>
      <w:pPr>
        <w:widowControl/>
        <w:spacing w:after="60"/>
        <w:ind w:left="360" w:hanging="360"/>
        <w:jc w:val="left"/>
      </w:pPr>
      <w:r>
        <w:rPr>
          <w:rFonts w:ascii="Times New Roman" w:hAnsi="Times New Roman" w:eastAsia="Times New Roman"/>
          <w:color w:val="000000"/>
          <w:sz w:val="21"/>
        </w:rPr>
        <w:t>[40] Varoquaux G, Raamana PR, Engemann DA, Hoyos-Idrobo A, Schwartz Y, Thirion B. Assessing and tuning brain decoders: cross-validation, caveats, and guidelines. NeuroImage. 2017;145:166-179.</w:t>
      </w:r>
    </w:p>
    <w:p>
      <w:pPr>
        <w:widowControl/>
        <w:spacing w:after="60"/>
        <w:ind w:left="360" w:hanging="360"/>
        <w:jc w:val="left"/>
      </w:pPr>
      <w:r>
        <w:rPr>
          <w:rFonts w:ascii="Times New Roman" w:hAnsi="Times New Roman" w:eastAsia="Times New Roman"/>
          <w:color w:val="000000"/>
          <w:sz w:val="21"/>
        </w:rPr>
        <w:t>[41] Snoek L, Mileti A, Steven Scholte H. How to control for confounds in decoding analyses of neuroimaging data. NeuroImage. 2019;184:741-760.</w:t>
      </w:r>
    </w:p>
    <w:p>
      <w:pPr>
        <w:widowControl/>
        <w:spacing w:after="60"/>
        <w:ind w:left="360" w:hanging="360"/>
        <w:jc w:val="left"/>
      </w:pPr>
      <w:r>
        <w:rPr>
          <w:rFonts w:ascii="Times New Roman" w:hAnsi="Times New Roman" w:eastAsia="Times New Roman"/>
          <w:color w:val="000000"/>
          <w:sz w:val="21"/>
        </w:rPr>
        <w:t>[42] Maris E, Oostenveld R. Nonparametric statistical testing of EEG- and MEG-data. Journal of Neuroscience Methods. 2007;164:177-190.</w:t>
      </w:r>
    </w:p>
    <w:p>
      <w:pPr>
        <w:widowControl/>
        <w:spacing w:after="60"/>
        <w:ind w:left="360" w:hanging="360"/>
        <w:jc w:val="left"/>
      </w:pPr>
      <w:r>
        <w:rPr>
          <w:rFonts w:ascii="Times New Roman" w:hAnsi="Times New Roman" w:eastAsia="Times New Roman"/>
          <w:color w:val="000000"/>
          <w:sz w:val="21"/>
        </w:rPr>
        <w:t>[43] Lakens D. Equivalence tests: a practical primer for t tests, correlations, and meta-analyses. Social Psychological and Personality Science. 2017;8:355-362.</w:t>
      </w:r>
    </w:p>
    <w:p>
      <w:pPr>
        <w:widowControl/>
        <w:spacing w:after="60"/>
        <w:ind w:left="360" w:hanging="360"/>
        <w:jc w:val="left"/>
      </w:pPr>
      <w:r>
        <w:rPr>
          <w:rFonts w:ascii="Times New Roman" w:hAnsi="Times New Roman" w:eastAsia="Times New Roman"/>
          <w:color w:val="000000"/>
          <w:sz w:val="21"/>
        </w:rPr>
        <w:t>[44] Vehtari A, Gelman A, Gabry J. Practical Bayesian model evaluation using leave-one-out cross-validation and WAIC. Statistics and Computing. 2017;27:1413-1432.</w:t>
      </w:r>
    </w:p>
    <w:p>
      <w:pPr>
        <w:widowControl/>
        <w:spacing w:after="60"/>
        <w:ind w:left="360" w:hanging="360"/>
        <w:jc w:val="left"/>
      </w:pPr>
      <w:r>
        <w:rPr>
          <w:rFonts w:ascii="Times New Roman" w:hAnsi="Times New Roman" w:eastAsia="Times New Roman"/>
          <w:color w:val="000000"/>
          <w:sz w:val="21"/>
        </w:rPr>
        <w:t>[45] Gelman A, Carlin JB, Stern HS, Dunson DB, Vehtari A, Rubin DB. Bayesian Data Analysis. 3rd ed. CRC Press; 2013.</w:t>
      </w:r>
    </w:p>
    <w:p>
      <w:pPr>
        <w:widowControl/>
        <w:spacing w:after="60"/>
        <w:ind w:left="360" w:hanging="360"/>
        <w:jc w:val="left"/>
      </w:pPr>
      <w:r>
        <w:rPr>
          <w:rFonts w:ascii="Times New Roman" w:hAnsi="Times New Roman" w:eastAsia="Times New Roman"/>
          <w:color w:val="000000"/>
          <w:sz w:val="21"/>
        </w:rPr>
        <w:t>[46] Gorgolewski KJ, Auer T, Calhoun VD, et al. The brain imaging data structure, a format for organizing and describing outputs of neuroimaging experiments. Scientific Data. 2016;3:160044.</w:t>
      </w:r>
    </w:p>
    <w:p>
      <w:pPr>
        <w:widowControl/>
        <w:spacing w:after="60"/>
        <w:ind w:left="360" w:hanging="360"/>
        <w:jc w:val="left"/>
      </w:pPr>
      <w:r>
        <w:rPr>
          <w:rFonts w:ascii="Times New Roman" w:hAnsi="Times New Roman" w:eastAsia="Times New Roman"/>
          <w:color w:val="000000"/>
          <w:sz w:val="21"/>
        </w:rPr>
        <w:t>[47] Niso G, Gorgolewski KJ, Bock E, et al. MEG-BIDS, the brain imaging data structure extended to magnetoencephalography. Scientific Data. 2018;5:180110.</w:t>
      </w:r>
    </w:p>
    <w:p>
      <w:pPr>
        <w:widowControl/>
        <w:spacing w:after="60"/>
        <w:ind w:left="360" w:hanging="360"/>
        <w:jc w:val="left"/>
      </w:pPr>
      <w:r>
        <w:rPr>
          <w:rFonts w:ascii="Times New Roman" w:hAnsi="Times New Roman" w:eastAsia="Times New Roman"/>
          <w:color w:val="000000"/>
          <w:sz w:val="21"/>
        </w:rPr>
        <w:t>[48] Holdgraf C, Appelhoff S, Bickel S, et al. iEEG-BIDS, extending the brain imaging data structure specification to human intracranial electrophysiology. Scientific Data. 2019;6:102.</w:t>
      </w:r>
    </w:p>
    <w:p>
      <w:pPr>
        <w:widowControl/>
        <w:spacing w:after="60"/>
        <w:ind w:left="360" w:hanging="360"/>
        <w:jc w:val="left"/>
      </w:pPr>
      <w:r>
        <w:rPr>
          <w:rFonts w:ascii="Times New Roman" w:hAnsi="Times New Roman" w:eastAsia="Times New Roman"/>
          <w:color w:val="000000"/>
          <w:sz w:val="21"/>
        </w:rPr>
        <w:t>[49] Esteban O, Markiewicz CJ, Blair RW, et al. fMRIPrep: a robust preprocessing pipeline for functional MRI. Nature Methods. 2019;16:111-116.</w:t>
      </w:r>
    </w:p>
    <w:p>
      <w:pPr>
        <w:widowControl/>
        <w:spacing w:after="60"/>
        <w:ind w:left="360" w:hanging="360"/>
        <w:jc w:val="left"/>
      </w:pPr>
      <w:r>
        <w:rPr>
          <w:rFonts w:ascii="Times New Roman" w:hAnsi="Times New Roman" w:eastAsia="Times New Roman"/>
          <w:color w:val="000000"/>
          <w:sz w:val="21"/>
        </w:rPr>
        <w:t>[50] Ciric R, Wolf DH, Power JD, et al. Benchmarking of participant-level confound regression strategies for the control of motion artifact in studies of functional connectivity. NeuroImage. 2017;154:169-173.</w:t>
      </w:r>
    </w:p>
    <w:p>
      <w:pPr>
        <w:widowControl/>
        <w:spacing w:after="60"/>
        <w:ind w:left="360" w:hanging="360"/>
        <w:jc w:val="left"/>
      </w:pPr>
      <w:r>
        <w:rPr>
          <w:rFonts w:ascii="Times New Roman" w:hAnsi="Times New Roman" w:eastAsia="Times New Roman"/>
          <w:color w:val="000000"/>
          <w:sz w:val="21"/>
        </w:rPr>
        <w:t>[51] Power JD, Mitra A, Laumann TO, Snyder AZ, Schlaggar BL, Petersen SE. Methods to detect, characterize, and remove motion artifact in resting state fMRI. NeuroImage. 2014;84:320-341.</w:t>
      </w:r>
    </w:p>
    <w:p>
      <w:pPr>
        <w:widowControl/>
        <w:spacing w:after="60"/>
        <w:ind w:left="360" w:hanging="360"/>
        <w:jc w:val="left"/>
      </w:pPr>
      <w:r>
        <w:rPr>
          <w:rFonts w:ascii="Times New Roman" w:hAnsi="Times New Roman" w:eastAsia="Times New Roman"/>
          <w:color w:val="000000"/>
          <w:sz w:val="21"/>
        </w:rPr>
        <w:t>[52] Schaefer A, Kong R, Gordon EM, et al. Local-global parcellation of the human cerebral cortex from intrinsic functional connectivity MRI. Cerebral Cortex. 2018;28:3095-3114.</w:t>
      </w:r>
    </w:p>
    <w:p>
      <w:pPr>
        <w:widowControl/>
        <w:spacing w:after="60"/>
        <w:ind w:left="360" w:hanging="360"/>
        <w:jc w:val="left"/>
      </w:pPr>
      <w:r>
        <w:rPr>
          <w:rFonts w:ascii="Times New Roman" w:hAnsi="Times New Roman" w:eastAsia="Times New Roman"/>
          <w:color w:val="000000"/>
          <w:sz w:val="21"/>
        </w:rPr>
        <w:t>[53] Yeo BTT, Krienen FM, Sepulcre J, et al. The organization of the human cerebral cortex estimated by intrinsic functional connectivity. Journal of Neurophysiology. 2011;106:1125-1165.</w:t>
      </w:r>
    </w:p>
    <w:p>
      <w:pPr>
        <w:widowControl/>
        <w:spacing w:after="60"/>
        <w:ind w:left="360" w:hanging="360"/>
        <w:jc w:val="left"/>
      </w:pPr>
      <w:r>
        <w:rPr>
          <w:rFonts w:ascii="Times New Roman" w:hAnsi="Times New Roman" w:eastAsia="Times New Roman"/>
          <w:color w:val="000000"/>
          <w:sz w:val="21"/>
        </w:rPr>
        <w:t>[54] Gramfort A, Luessi M, Larson E, et al. MEG and EEG data analysis with MNE-Python. Frontiers in Neuroscience. 2013;7:267.</w:t>
      </w:r>
    </w:p>
    <w:p>
      <w:pPr>
        <w:widowControl/>
        <w:spacing w:after="60"/>
        <w:ind w:left="360" w:hanging="360"/>
        <w:jc w:val="left"/>
      </w:pPr>
      <w:r>
        <w:rPr>
          <w:rFonts w:ascii="Times New Roman" w:hAnsi="Times New Roman" w:eastAsia="Times New Roman"/>
          <w:color w:val="000000"/>
          <w:sz w:val="21"/>
        </w:rPr>
        <w:t>[55] Appelhoff S, Sanderson M, Brooks TL, et al. MNE-BIDS: organizing electrophysiological data into the BIDS format and facilitating their analysis. Journal of Open Source Software. 2019;4:1896.</w:t>
      </w:r>
    </w:p>
    <w:p>
      <w:pPr>
        <w:widowControl/>
        <w:spacing w:after="60"/>
        <w:ind w:left="360" w:hanging="360"/>
        <w:jc w:val="left"/>
      </w:pPr>
      <w:r>
        <w:rPr>
          <w:rFonts w:ascii="Times New Roman" w:hAnsi="Times New Roman" w:eastAsia="Times New Roman"/>
          <w:color w:val="000000"/>
          <w:sz w:val="21"/>
        </w:rPr>
        <w:t>[56] Jas M, Engemann DA, Bekhti Y, Raimondo F, Gramfort A. Autoreject: automated artifact rejection for MEG and EEG data. NeuroImage. 2017;159:417-429.</w:t>
      </w:r>
    </w:p>
    <w:p>
      <w:pPr>
        <w:widowControl/>
        <w:spacing w:after="60"/>
        <w:ind w:left="360" w:hanging="360"/>
        <w:jc w:val="left"/>
      </w:pPr>
      <w:r>
        <w:rPr>
          <w:rFonts w:ascii="Times New Roman" w:hAnsi="Times New Roman" w:eastAsia="Times New Roman"/>
          <w:color w:val="000000"/>
          <w:sz w:val="21"/>
        </w:rPr>
        <w:t>[57] Abraham A, Pedregosa F, Eickenberg M, et al. Machine learning for neuroimaging with scikit-learn. Frontiers in Neuroinformatics. 2014;8:14.</w:t>
      </w:r>
    </w:p>
    <w:p>
      <w:pPr>
        <w:widowControl/>
        <w:spacing w:after="60"/>
        <w:ind w:left="360" w:hanging="360"/>
        <w:jc w:val="left"/>
      </w:pPr>
      <w:r>
        <w:rPr>
          <w:rFonts w:ascii="Times New Roman" w:hAnsi="Times New Roman" w:eastAsia="Times New Roman"/>
          <w:color w:val="000000"/>
          <w:sz w:val="21"/>
        </w:rPr>
        <w:t>[58] Pedregosa F, Varoquaux G, Gramfort A, et al. Scikit-learn: machine learning in Python. Journal of Machine Learning Research. 2011;12:2825-2830.</w:t>
      </w:r>
    </w:p>
    <w:p>
      <w:pPr>
        <w:widowControl/>
        <w:spacing w:after="60"/>
        <w:ind w:left="360" w:hanging="360"/>
        <w:jc w:val="left"/>
      </w:pPr>
      <w:r>
        <w:rPr>
          <w:rFonts w:ascii="Times New Roman" w:hAnsi="Times New Roman" w:eastAsia="Times New Roman"/>
          <w:color w:val="000000"/>
          <w:sz w:val="21"/>
        </w:rPr>
        <w:t>[59] Harris CR, Millman KJ, van der Walt SJ, et al. Array programming with NumPy. Nature. 2020;585:357-362.</w:t>
      </w:r>
    </w:p>
    <w:p>
      <w:pPr>
        <w:widowControl/>
        <w:spacing w:after="60"/>
        <w:ind w:left="360" w:hanging="360"/>
        <w:jc w:val="left"/>
      </w:pPr>
      <w:r>
        <w:rPr>
          <w:rFonts w:ascii="Times New Roman" w:hAnsi="Times New Roman" w:eastAsia="Times New Roman"/>
          <w:color w:val="000000"/>
          <w:sz w:val="21"/>
        </w:rPr>
        <w:t>[60] Virtanen P, Gommers R, Oliphant TE, et al. SciPy 1.0: fundamental algorithms for scientific computing in Python. Nature Methods. 2020;17:261-272.</w:t>
      </w:r>
    </w:p>
    <w:p>
      <w:pPr>
        <w:widowControl/>
        <w:spacing w:after="60"/>
        <w:ind w:left="360" w:hanging="360"/>
        <w:jc w:val="left"/>
      </w:pPr>
      <w:r>
        <w:rPr>
          <w:rFonts w:ascii="Times New Roman" w:hAnsi="Times New Roman" w:eastAsia="Times New Roman"/>
          <w:color w:val="000000"/>
          <w:sz w:val="21"/>
        </w:rPr>
        <w:t>[61] Koster J, Rahmann S. Snakemake - a scalable bioinformatics workflow engine. Bioinformatics. 2012;28:2520-2522.</w:t>
      </w:r>
    </w:p>
    <w:p>
      <w:pPr>
        <w:widowControl/>
        <w:spacing w:after="60"/>
        <w:ind w:left="360" w:hanging="360"/>
        <w:jc w:val="left"/>
      </w:pPr>
      <w:r>
        <w:rPr>
          <w:rFonts w:ascii="Times New Roman" w:hAnsi="Times New Roman" w:eastAsia="Times New Roman"/>
          <w:color w:val="000000"/>
          <w:sz w:val="21"/>
        </w:rPr>
        <w:t>[62] Molder F, Jablonski KP, Letcher B, et al. Sustainable data analysis with Snakemake. F1000Research. 2021;10:33.</w:t>
      </w:r>
    </w:p>
    <w:p>
      <w:pPr>
        <w:widowControl/>
        <w:spacing w:after="60"/>
        <w:ind w:left="360" w:hanging="360"/>
        <w:jc w:val="left"/>
      </w:pPr>
      <w:r>
        <w:rPr>
          <w:rFonts w:ascii="Times New Roman" w:hAnsi="Times New Roman" w:eastAsia="Times New Roman"/>
          <w:color w:val="000000"/>
          <w:sz w:val="21"/>
        </w:rPr>
        <w:t>[63] Nichols TE, Das S, Eickhoff SB, et al. Best practices in data analysis and sharing in neuroimaging using MRI. Nature Neuroscience. 2017;20:299-303.</w:t>
      </w:r>
    </w:p>
    <w:p>
      <w:pPr>
        <w:widowControl/>
        <w:spacing w:after="60"/>
        <w:ind w:left="360" w:hanging="360"/>
        <w:jc w:val="left"/>
      </w:pPr>
      <w:r>
        <w:rPr>
          <w:rFonts w:ascii="Times New Roman" w:hAnsi="Times New Roman" w:eastAsia="Times New Roman"/>
          <w:color w:val="000000"/>
          <w:sz w:val="21"/>
        </w:rPr>
        <w:t>[64] Botvinik-Nezer R, Holzmeister F, Camerer CF, et al. Variability in the analysis of a single neuroimaging dataset by many teams. Nature. 2020;582:84-88.</w:t>
      </w:r>
    </w:p>
    <w:p>
      <w:pPr>
        <w:widowControl/>
        <w:spacing w:after="60"/>
        <w:ind w:left="360" w:hanging="360"/>
        <w:jc w:val="left"/>
      </w:pPr>
      <w:r>
        <w:rPr>
          <w:rFonts w:ascii="Times New Roman" w:hAnsi="Times New Roman" w:eastAsia="Times New Roman"/>
          <w:color w:val="000000"/>
          <w:sz w:val="21"/>
        </w:rPr>
        <w:t>[65] Steegen S, Tuerlinckx F, Gelman A, Vanpaemel W. Increasing transparency through a multiverse analysis. Perspectives on Psychological Science. 2016;11:702-712.</w:t>
      </w:r>
    </w:p>
    <w:p>
      <w:pPr>
        <w:widowControl/>
        <w:spacing w:after="60"/>
        <w:ind w:left="360" w:hanging="360"/>
        <w:jc w:val="left"/>
      </w:pPr>
      <w:r>
        <w:rPr>
          <w:rFonts w:ascii="Times New Roman" w:hAnsi="Times New Roman" w:eastAsia="Times New Roman"/>
          <w:color w:val="000000"/>
          <w:sz w:val="21"/>
        </w:rPr>
        <w:t>[66] Simonsohn U, Simmons JP, Nelson LD. Specification curve analysis. Nature Human Behaviour. 2020;4:1208-1214.</w:t>
      </w:r>
    </w:p>
    <w:p>
      <w:pPr>
        <w:widowControl/>
        <w:spacing w:after="60"/>
        <w:ind w:left="360" w:hanging="360"/>
        <w:jc w:val="left"/>
      </w:pPr>
      <w:r>
        <w:rPr>
          <w:rFonts w:ascii="Times New Roman" w:hAnsi="Times New Roman" w:eastAsia="Times New Roman"/>
          <w:color w:val="000000"/>
          <w:sz w:val="21"/>
        </w:rPr>
        <w:t>[67] Casali AG, Gosseries O, Rosanova M, et al. A theoretically based index of consciousness independent of sensory processing and behavior. Science Translational Medicine. 2013;5:198ra105.</w:t>
      </w:r>
    </w:p>
    <w:p>
      <w:pPr>
        <w:widowControl/>
        <w:spacing w:after="60"/>
        <w:ind w:left="360" w:hanging="360"/>
        <w:jc w:val="left"/>
      </w:pPr>
      <w:r>
        <w:rPr>
          <w:rFonts w:ascii="Times New Roman" w:hAnsi="Times New Roman" w:eastAsia="Times New Roman"/>
          <w:color w:val="000000"/>
          <w:sz w:val="21"/>
        </w:rPr>
        <w:t>[68] Comolatti R, Pigorini A, Casarotto S, et al. A fast and general method to empirically estimate the complexity of brain responses to transcranial and intracranial stimulations. Brain Stimulation. 2019;12:1280-1289.</w:t>
      </w:r>
    </w:p>
    <w:p>
      <w:pPr>
        <w:widowControl/>
        <w:spacing w:after="60"/>
        <w:ind w:left="360" w:hanging="360"/>
        <w:jc w:val="left"/>
      </w:pPr>
      <w:r>
        <w:rPr>
          <w:rFonts w:ascii="Times New Roman" w:hAnsi="Times New Roman" w:eastAsia="Times New Roman"/>
          <w:color w:val="000000"/>
          <w:sz w:val="21"/>
        </w:rPr>
        <w:t>[69] Schartner MM, Pigorini A, Gibbs SA, et al. Global and local complexity of intracranial EEG decreases during NREM sleep. Neuroscience of Consciousness. 2017;2017:niw022.</w:t>
      </w:r>
    </w:p>
    <w:p>
      <w:pPr>
        <w:widowControl/>
        <w:spacing w:after="60"/>
        <w:ind w:left="360" w:hanging="360"/>
        <w:jc w:val="left"/>
      </w:pPr>
      <w:r>
        <w:rPr>
          <w:rFonts w:ascii="Times New Roman" w:hAnsi="Times New Roman" w:eastAsia="Times New Roman"/>
          <w:color w:val="000000"/>
          <w:sz w:val="21"/>
        </w:rPr>
        <w:t>[70] Yarkoni T, Westfall J. Choosing prediction over explanation in psychology: lessons from machine learning. Perspectives on Psychological Science. 2017;12:1100-1122.</w:t>
      </w:r>
    </w:p>
    <w:p>
      <w:pPr>
        <w:widowControl/>
        <w:spacing w:after="60"/>
        <w:ind w:left="360" w:hanging="360"/>
        <w:jc w:val="left"/>
      </w:pPr>
      <w:r>
        <w:rPr>
          <w:rFonts w:ascii="Times New Roman" w:hAnsi="Times New Roman" w:eastAsia="Times New Roman"/>
          <w:color w:val="000000"/>
          <w:sz w:val="21"/>
        </w:rPr>
        <w:t>[71] OpenAI. Introducing Codex. 2025. Official product documentation and guidance on repository instructions and testable development environments.</w:t>
      </w:r>
    </w:p>
    <w:p>
      <w:pPr>
        <w:widowControl/>
        <w:spacing w:after="60"/>
        <w:ind w:left="360" w:hanging="360"/>
        <w:jc w:val="left"/>
      </w:pPr>
      <w:r>
        <w:rPr>
          <w:rFonts w:ascii="Times New Roman" w:hAnsi="Times New Roman" w:eastAsia="Times New Roman"/>
          <w:color w:val="000000"/>
          <w:sz w:val="21"/>
        </w:rPr>
        <w:t>[72] Tian Y, Margulies DS, Breakspear M, Zalesky A. Topographic organization of the human subcortex unveiled with functional connectivity gradients. Nature Neuroscience. 2020;23:1421-1432.</w:t>
      </w:r>
    </w:p>
    <w:p>
      <w:pPr>
        <w:widowControl/>
        <w:spacing w:after="60"/>
        <w:ind w:left="360" w:hanging="360"/>
        <w:jc w:val="left"/>
      </w:pPr>
      <w:r>
        <w:rPr>
          <w:rFonts w:ascii="Times New Roman" w:hAnsi="Times New Roman" w:eastAsia="Times New Roman"/>
          <w:color w:val="000000"/>
          <w:sz w:val="21"/>
        </w:rPr>
        <w:t>[73] Mumford JA, Turner BO, Ashby FG, Poldrack RA. Deconvolving BOLD activation in event-related designs for multivoxel pattern classification analyses. NeuroImage. 2012;59:2636-2643.</w:t>
      </w:r>
    </w:p>
    <w:p>
      <w:pPr>
        <w:widowControl/>
        <w:spacing w:after="60"/>
        <w:ind w:left="360" w:hanging="360"/>
        <w:jc w:val="left"/>
      </w:pPr>
      <w:r>
        <w:rPr>
          <w:rFonts w:ascii="Times New Roman" w:hAnsi="Times New Roman" w:eastAsia="Times New Roman"/>
          <w:color w:val="000000"/>
          <w:sz w:val="21"/>
        </w:rPr>
        <w:t>[74] Abdulrahman H, Henson RN. Effect of trial-to-trial variability on optimal event-related fMRI design: implications for beta-series correlation and multi-voxel pattern analysis. NeuroImage. 2016;125:756-766.</w:t>
      </w:r>
    </w:p>
    <w:p>
      <w:pPr>
        <w:widowControl/>
        <w:spacing w:after="60"/>
        <w:ind w:left="360" w:hanging="360"/>
        <w:jc w:val="left"/>
      </w:pPr>
      <w:r>
        <w:rPr>
          <w:rFonts w:ascii="Times New Roman" w:hAnsi="Times New Roman" w:eastAsia="Times New Roman"/>
          <w:color w:val="000000"/>
          <w:sz w:val="21"/>
        </w:rPr>
        <w:t>[75] Prince JS, Charest I, Kurzawski JW, Pyles JA, Tarr MJ, Kay KN. Improving the accuracy of single-trial fMRI response estimates using GLMsingle. eLife. 2022;11:e77599.</w:t>
      </w:r>
    </w:p>
    <w:p>
      <w:pPr>
        <w:widowControl/>
        <w:spacing w:after="60"/>
        <w:ind w:left="360" w:hanging="360"/>
        <w:jc w:val="left"/>
      </w:pPr>
      <w:r>
        <w:rPr>
          <w:rFonts w:ascii="Times New Roman" w:hAnsi="Times New Roman" w:eastAsia="Times New Roman"/>
          <w:color w:val="000000"/>
          <w:sz w:val="21"/>
        </w:rPr>
        <w:t>[76] Benjamini Y, Hochberg Y. Controlling the false discovery rate: a practical and powerful approach to multiple testing. Journal of the Royal Statistical Society Series B. 1995;57:289-300.</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auto" w:line="269"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Times New Roman" w:hAnsi="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Times New Roman" w:hAnsi="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 experience and cognitive operations define dissociable dimensions of human brain dynamics</dc:title>
  <dc:subject>Neuron / Nature Human Behaviour open-data research proposal</dc:subject>
  <dc:creator>Peng Wang</dc:creator>
  <cp:keywords>consciousness, cognition, open data, fMRI, MEG, EEG, iEEG, anesthesia, sleep, Codex</cp:keywords>
  <dc:description>generated by python-docx</dc:description>
  <cp:lastModifiedBy/>
  <cp:revision>1</cp:revision>
  <dcterms:created xsi:type="dcterms:W3CDTF">2013-12-23T23:15:00Z</dcterms:created>
  <dcterms:modified xsi:type="dcterms:W3CDTF">2013-12-23T23:15:00Z</dcterms:modified>
  <cp:category/>
</cp:coreProperties>
</file>