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Machine-defined state and capacity coordinates in human cognition</w:t>
      </w:r>
    </w:p>
    <w:p>
      <w:pPr>
        <w:pStyle w:val="Subtitle"/>
        <w:jc w:val="center"/>
      </w:pPr>
      <w:r>
        <w:t>Revised Introduction and Methods for a Nature / Nature Human Behaviour target</w:t>
      </w:r>
    </w:p>
    <w:p>
      <w:r>
        <w:rPr>
          <w:b/>
        </w:rPr>
        <w:t xml:space="preserve">Purpose: </w:t>
      </w:r>
      <w:r>
        <w:t>This file provides a journal-ready and implementation-ready Introduction and Methods section for the revised state-capacity TinyRNN empirical article. It frames the current implementation as the first open-data test of a broader theory that uses machine perturbations to test human cognitive state and capacity.</w:t>
      </w:r>
    </w:p>
    <w:p>
      <w:pPr>
        <w:pStyle w:val="Heading1"/>
      </w:pPr>
      <w:r>
        <w:t>Introduction</w:t>
      </w:r>
    </w:p>
    <w:p>
      <w:pPr>
        <w:jc w:val="both"/>
      </w:pPr>
      <w:r>
        <w:t>Human cognitive performance often appears to vary along a single dimension. A participant becomes slower, less accurate, more variable, more lapse-prone or less responsive, and the resulting pattern is described as fatigue, overload, inattention, impairment or reduced ability. Yet the same observed failure can arise from mechanistically distinct causes. An otherwise capable system may be temporarily misconfigured: arousal may be low, attention unstable, internal noise elevated, response policy poorly tuned or task engagement intermittent. Conversely, a system may fail because the representational resources required by the task are unavailable or insufficient: the task may exceed working-memory capacity, require longer temporal integration, demand more separable latent states or require a level of abstraction the system cannot sustain. A one-dimensional account of performance obscures this distinction. It risks treating transient access failures as structural limitations, and structural limitations as temporary state fluctuations.</w:t>
      </w:r>
    </w:p>
    <w:p>
      <w:pPr>
        <w:jc w:val="both"/>
      </w:pPr>
      <w:r>
        <w:t>This distinction has appeared repeatedly in cognitive science, but usually in task-specific form. Signal-detection theory separates sensitivity from criterion; sequential-sampling models separate evidence quality from decision threshold; reinforcement-learning models separate learned value structure from exploration; working-memory models separate storage capacity from lapse; psychometric models separate stable ability from measurement error. These decompositions are powerful, but they do not by themselves provide a common coordinate system for comparing state-like and capacity-like explanations across tasks, individuals and datasets. The unresolved question is whether the same broad distinction can be made operational across heterogeneous cognitive behavior: whether poor performance is better understood as a change in how an available system is deployed, a change in what the system can represent, or an interaction between the two.</w:t>
      </w:r>
    </w:p>
    <w:p>
      <w:pPr>
        <w:jc w:val="both"/>
      </w:pPr>
      <w:r>
        <w:t>Artificial neural networks provide a way to make this distinction experimentally testable. Their scientific value is not limited to prediction. They are fully specified systems that can be trained, perturbed, ablated, replayed and analysed internally. In such systems, changes in operating regime and changes in representational resources can be separated more explicitly than in human participants. A fixed architecture can be run under different levels of gain, noise, response temperature, lapse or update reliability. Separately, its representational resources can be changed by altering hidden dimensionality, recurrence, memory window, bottleneck width, depth or multimodal breadth. This makes artificial systems useful not merely as black-box predictors of human behavior, but as perturbable instruments for defining candidate mechanistic axes. The theoretical premise of the present study is therefore not that human cognition is literally implemented by the same parameters as a small recurrent network. It is that artificial models can define controlled intervention signatures, and those signatures can be used to test whether human behavioral and physiological variation aligns with state-like or capacity-like directions.</w:t>
      </w:r>
    </w:p>
    <w:p>
      <w:pPr>
        <w:jc w:val="both"/>
      </w:pPr>
      <w:r>
        <w:t>Here we instantiate this logic in compact recurrent neural networks. We use tiny task-conditioned recurrent models because they occupy a useful middle ground between interpretability and expressiveness. They are complex enough to capture history dependence, task context, sequential updating and individual differences, but small enough to analyse as dynamical systems. Their hidden trajectories can be visualized; their recurrent geometry can be quantified; their local memory timescales can be estimated; and their latent states can be tested for task, target and response separability. This makes them especially suitable for a first empirical test of the state-capacity framework. In the present implementation, state refers to the operating regime of a fitted recurrent system, captured by session-level response temperature, lapse probability, hidden-state noise and update gain. Capacity refers to the representational and dynamical resources available to that system, captured by selected recurrent dimensionality and by derived measures of hidden-state geometry, recurrent rank, trajectory participation ratio, spectral radius and local memory timescale.</w:t>
      </w:r>
    </w:p>
    <w:p>
      <w:pPr>
        <w:jc w:val="both"/>
      </w:pPr>
      <w:r>
        <w:t>The critical methodological step is that state and capacity are first defined in machines before they are interpreted in humans. We construct a perturbation library of artificial recurrent agents. In the state family, a trained recurrent architecture is held fixed while operating-regime parameters are varied: response temperature, lapse, hidden noise, update gain and memory decay. In the capacity family, the operating regime is held fixed while representational resources are varied: hidden size, recurrent rank, memory window, bottleneck width and recurrence itself. Hybrid agents cross these two families factorially. The artificial agents are then performance matched so that state-perturbed and capacity-limited agents can exhibit similar mean accuracy while differing in error structure, reliability, sequential dependence and recurrent geometry. This design prevents the proposed axes from collapsing into a single severity scale.</w:t>
      </w:r>
    </w:p>
    <w:p>
      <w:pPr>
        <w:jc w:val="both"/>
      </w:pPr>
      <w:r>
        <w:t>Only after this machine-only validation do we project human data into the resulting coordinate system. The human analyses combine parameter-based coordinates, derived from fitted state parameters and selected recurrent capacity, with fingerprint-based coordinates, derived from similarity to known artificial state and capacity perturbations. Primary claims require convergence between these two estimates. This design turns the conceptual distinction between state and capacity into a falsifiable empirical model. If state and capacity perturbations in artificial agents cannot be distinguished under matched performance, the framework fails before human projection. If the human coordinates reduce to mean accuracy or reaction time, the framework fails as a mechanistic decomposition. If the coordinates generalize across open datasets and align with independent physiological or subjective measures, the framework gains support as a machine-defined coordinate system for human cognitive variation.</w:t>
      </w:r>
    </w:p>
    <w:p>
      <w:pPr>
        <w:jc w:val="both"/>
      </w:pPr>
      <w:r>
        <w:t>We test this framework using directly downloadable open datasets. The discovery dataset is OpenNeuro ds007554, a multimodal cognitive, motor and cognitive-motor dataset with behavioral, EEG, fNIRS, ECG and subjective measures. This dataset anchors the primary TinyRNN estimation and recurrent-dynamics analysis. A second stage uses the already available ds007554 neurophysiology to test whether model-derived state and capacity coordinates align with independent physiological features. The main external validation uses COG-BCI, an open multi-session, multi-task EEG/ECG dataset designed to elicit cognitive-state variation across repeated sessions. A direct N-back validation uses the TU Berlin simultaneous EEG-NIRS dataset, which includes 0-, 2- and 3-back conditions. A supplementary scalability analysis uses the Healthy Brain Network EEG release, which provides a larger developmental BIDS dataset. Sleepy Brain and MAUS are retained as diagnostic analyses only where the data are directly accessible and adequate for the model; existing results show that Sleepy Brain is negative or inconclusive for the present estimator and that current public MAUS features validate physiological workload sensitivity but not the full behavioral state-capacity hypothesis.</w:t>
      </w:r>
    </w:p>
    <w:p>
      <w:pPr>
        <w:jc w:val="both"/>
      </w:pPr>
      <w:r>
        <w:t>The study makes three linked contributions. First, it provides a minimal empirical implementation of the theoretical claim that artificial models can be used as instruments for testing human state and capacity. Second, it evaluates whether a participant-level capacity coordinate is more than a behavioral score by testing its relationship to recurrent geometry and local memory timescale. Third, it tests whether a session-level state coordinate behaves as a reliability-like variable across behavior, physiology and repeated sessions. The expected result is not that a tiny recurrent model will outperform every behavioral baseline. Conventional behavioral summaries may describe task-session accuracy extremely well. The stronger claim is mechanistic: that compact recurrent models can define interpretable coordinates whose internal dynamics, perturbation signatures and physiological correlates help distinguish transient misconfiguration from representational limitation.</w:t>
      </w:r>
    </w:p>
    <w:p>
      <w:pPr>
        <w:jc w:val="both"/>
      </w:pPr>
      <w:r>
        <w:t>The framework also has implications beyond the present datasets. The theoretical state-capacity distinction was motivated partly by consciousness research, where overt unresponsiveness may reflect inaccessible but preserved representational capacity, degraded structural capacity, or both. The present study does not claim to diagnose consciousness or resolve clinical disorders of consciousness. Instead, it provides an open-data cognitive testbed for the broader logic: whether machine perturbations can define mechanistic axes that help separate changes in operating state from changes in representational capacity. Establishing this logic in controlled cognitive datasets is a necessary step before extending the framework to stronger claims about conscious access, sedation or clinical populations.</w:t>
      </w:r>
    </w:p>
    <w:p>
      <w:pPr>
        <w:pStyle w:val="Heading1"/>
      </w:pPr>
      <w:r>
        <w:t>Methods</w:t>
      </w:r>
    </w:p>
    <w:p>
      <w:pPr>
        <w:pStyle w:val="Heading2"/>
      </w:pPr>
      <w:r>
        <w:t>Study design</w:t>
      </w:r>
    </w:p>
    <w:p>
      <w:pPr>
        <w:jc w:val="both"/>
      </w:pPr>
      <w:r>
        <w:t>We conducted a fully reproducible, open-data computational study testing whether compact recurrent neural networks can define separable state-like and capacity-like coordinates in human task behavior and neurophysiology. The study was designed as an empirical implementation of a broader theoretical framework in which artificial neural networks are used as perturbable instruments for distinguishing changes in global computational state from changes in structural capacity. The analysis had six stages. First, we constructed a machine perturbation library in which state and capacity interventions were independently applied to tiny recurrent agents. Second, we validated the artificial perturbation space using machine-only tests before examining human data. Third, we fitted task-conditioned recurrent models to human behavioral events and estimated participant-level capacity and session-level state. Fourth, we analysed the fitted recurrent dynamics to determine whether the capacity coordinate was associated with learned geometry and local memory timescale. Fifth, we linked human state and capacity coordinates to independent EEG, fNIRS and ECG features. Sixth, we tested external validity in directly downloadable open datasets with repeated cognitive-state assessment, N-back workload manipulation and larger-scale EEG behavior.</w:t>
      </w:r>
    </w:p>
    <w:p>
      <w:pPr>
        <w:jc w:val="both"/>
      </w:pPr>
      <w:r>
        <w:t>The primary methodological principle was that state and capacity were not inferred solely from human covariance structure. They were first operationalized by controlled interventions in artificial recurrent agents. In the state family, the trained architecture and representational resources were held fixed while operating-regime parameters were altered. In the capacity family, operating parameters were held fixed while recurrent resources were constrained or expanded. Human participants and sessions were then projected into the resulting machine-defined space using both parameter-based and fingerprint-based coordinates. This design allowed the framework to be falsified at multiple levels: by failure of artificial state and capacity perturbations to separate under matched performance, by failure to recover known artificial coordinates, by reduction of human coordinates to mean performance, or by lack of external validation in independent open datasets.</w:t>
      </w:r>
    </w:p>
    <w:p>
      <w:pPr>
        <w:pStyle w:val="Heading2"/>
      </w:pPr>
      <w:r>
        <w:t>Dataset eligibility and reproducibility constraints</w:t>
      </w:r>
    </w:p>
    <w:p>
      <w:pPr>
        <w:jc w:val="both"/>
      </w:pPr>
      <w:r>
        <w:t>Only datasets that could be downloaded directly from the command line without manual login, controlled-access approval or browser-only interaction were eligible for the main analysis. This rule was imposed before external validation to ensure that the final study could be reproduced from a clean repository checkout. Each dataset was required to have a documented download command, raw-data manifest, checksum or file-size verification, subject/session inventory and preprocessing log. Datasets that required manual archive placement, private approval or unavailable links were excluded from confirmatory analyses and could be used only as exploratory or diagnostic negative controls if already present locally.</w:t>
      </w:r>
    </w:p>
    <w:p>
      <w:pPr>
        <w:jc w:val="both"/>
      </w:pPr>
      <w:r>
        <w:t>The primary datasets were OpenNeuro ds007554, COG-BCI, TU Berlin simultaneous EEG-NIRS and Healthy Brain Network EEG Release 4. OpenNeuro ds007554 was used as the discovery and internal neurophysiology dataset. COG-BCI was used as the primary external repeated-session validation dataset. TU Berlin EEG-NIRS was used as the direct N-back load and multimodal physiology validation dataset. HBN EEG Release 4 was used as a supplementary scalability and developmental generalization analysis. Existing Sleepy Brain and MAUS analyses were retained as diagnostic results, but they were not treated as successful confirmatory validation unless the directly accessible data supported the prespecified tests.</w:t>
      </w:r>
    </w:p>
    <w:p>
      <w:pPr>
        <w:pStyle w:val="Heading2"/>
      </w:pPr>
      <w:r>
        <w:t>Human datasets</w:t>
      </w:r>
    </w:p>
    <w:p>
      <w:pPr>
        <w:jc w:val="both"/>
      </w:pPr>
      <w:r>
        <w:t>OpenNeuro ds007554 was the primary discovery dataset. It contains multimodal EEG, fNIRS, ECG, EMG, behavioral and subjective measures from healthy adults performing cognitive, motor and combined cognitive-motor tasks. The implemented behavioral pipeline used model-ready N-back and N-back arithmetic pushbutton events, yielding 7,584 model events from 17 participants, 47 participant-sessions and 74 task-by-session rows in the current handoff. The revised full pipeline will re-run the importer on the complete downloaded dataset and report the final inclusion counts after applying prespecified event-quality criteria. The main behavioral discovery analyses use N-back and N-back arithmetic because they provide explicit response structure and recurrent task demands. The neurophysiology extension uses EEG, fNIRS and ECG features extracted from the same participant-session-task structure wherever raw signal quality permits.</w:t>
      </w:r>
    </w:p>
    <w:p>
      <w:pPr>
        <w:jc w:val="both"/>
      </w:pPr>
      <w:r>
        <w:t>COG-BCI was selected as the primary external validation dataset because it provides repeated sessions, multiple tasks, EEG, ECG and subjective measures relevant to cognitive state and workload. It contains recordings from 29 participants over three sessions and four tasks, with more than 100 hours of electrophysiological data. The validation logic is that state should vary more within participants across sessions and task conditions, whereas capacity should be more stable across sessions and should predict cross-task consistency or load robustness. Subjective and physiological measures are used only as external validators and are not used to define the state-capacity axes.</w:t>
      </w:r>
    </w:p>
    <w:p>
      <w:pPr>
        <w:jc w:val="both"/>
      </w:pPr>
      <w:r>
        <w:t>The TU Berlin simultaneous EEG-NIRS dataset was selected as a direct multimodal N-back validation. It contains EEG and NIRS recordings from 26 healthy participants performing 0-, 2- and 3-back, discrimination/selection response and word-generation tasks. The primary use in this study is to test whether increasing N-back load produces a capacity-pressure profile: increased behavioral difficulty, altered workload-related EEG/NIRS features and steeper performance decline in lower-capacity participants. Because this dataset is less strongly multi-session than COG-BCI, it is not used as the primary evidence for participant-level capacity stability.</w:t>
      </w:r>
    </w:p>
    <w:p>
      <w:pPr>
        <w:jc w:val="both"/>
      </w:pPr>
      <w:r>
        <w:t>Healthy Brain Network EEG Release 4 was used as a supplementary scalability analysis. Because it is a large developmental dataset and not a direct conceptual replication of the N-back/PVT state-capacity design, it is not used as a primary validation of the theory. Instead, it tests whether the event schema, TinyRNN fitting procedure and coordinate estimation scale to hundreds of participants, and whether state-like reliability and capacity-like dimensionality can be estimated in a larger, younger sample.</w:t>
      </w:r>
    </w:p>
    <w:p>
      <w:pPr>
        <w:pStyle w:val="Heading2"/>
      </w:pPr>
      <w:r>
        <w:t>Unified behavioral event schema</w:t>
      </w:r>
    </w:p>
    <w:p>
      <w:pPr>
        <w:jc w:val="both"/>
      </w:pPr>
      <w:r>
        <w:t>All datasets were converted into a common event-level schema before modeling. Each row represented one behavioral event or trial and contained dataset, subject, session, task, block, trial index, time stamp, condition, load level, stimulus or target label, available response set, observed response, correctness, reaction time where available, previous response, previous correctness and time-on-task. Continuous variables were standardized using training-set statistics only. Categorical variables were one-hot encoded or embedded. Missingness was not silently imputed before inventory; each dataset produced an exclusion table specifying missing response labels, ambiguous targets, invalid reaction times, incomplete sessions and signal-quality failures.</w:t>
      </w:r>
    </w:p>
    <w:p>
      <w:pPr>
        <w:jc w:val="both"/>
      </w:pPr>
      <w:r>
        <w:t>For recurrent modeling, each event vector contained only information available before the participant's response. Current-trial correctness, future responses and aggregate participant performance were excluded from model inputs. Previous response and previous correctness were included only when available before the current event. For N-back tasks, features included target status, lure status where available, N-back level, trial position and recent response history. For PVT-like tasks, features included stimulus onset, response occurrence, reaction-time bin and lapse label where task-defined. For workload and multi-task datasets, task identity and load level were encoded as condition variables.</w:t>
      </w:r>
    </w:p>
    <w:p>
      <w:pPr>
        <w:pStyle w:val="Heading2"/>
      </w:pPr>
      <w:r>
        <w:t>Tiny recurrent model</w:t>
      </w:r>
    </w:p>
    <w:p>
      <w:pPr>
        <w:jc w:val="both"/>
      </w:pPr>
      <w:r>
        <w:t>The primary model was a task-conditioned gated recurrent unit. For participant i, session j, task k and event t, the event vector x_ijkt was mapped by a task-specific encoder into an input representation u_ijkt. A single-layer GRU with hidden size d updated the hidden state across event sequences. Hidden size was scanned over d in {1, 2, 3, 4, 6, 8}. The recurrent update used the standard GRU equations, with session-level operating parameters applied during state estimation. Response logits were generated by task-specific output heads and converted into response probabilities through a temperature-lapse policy:</w:t>
      </w:r>
    </w:p>
    <w:p>
      <w:pPr>
        <w:jc w:val="both"/>
      </w:pPr>
      <w:r>
        <w:t>p(y_t = a | h_t) = (1 - lambda_ij) softmax(logits_t / tau_ij)_a + lambda_ij u_k(a),</w:t>
      </w:r>
    </w:p>
    <w:p>
      <w:pPr>
        <w:jc w:val="both"/>
      </w:pPr>
      <w:r>
        <w:t>where tau_ij is response temperature, lambda_ij is lapse probability and u_k(a) is the task-specific lapse distribution. Hidden-state noise sigma_ij and update gain g_ij were applied to the recurrent candidate update during session-level state estimation. The four state parameters were estimated on transformed scales: log tau, logit lambda, log(sigma + epsilon) and -log g, oriented so that higher values reflected poorer or less reliable state.</w:t>
      </w:r>
    </w:p>
    <w:p>
      <w:pPr>
        <w:pStyle w:val="Heading2"/>
      </w:pPr>
      <w:r>
        <w:t>Machine perturbation library</w:t>
      </w:r>
    </w:p>
    <w:p>
      <w:pPr>
        <w:jc w:val="both"/>
      </w:pPr>
      <w:r>
        <w:t>A central addition to the current implementation is the machine perturbation library. This library defines state and capacity in artificial agents before human projection. Artificial agents were trained on the same task schemas as the human models, using the same loss function and train/validation splits where applicable. After baseline training, three perturbation families were generated.</w:t>
      </w:r>
    </w:p>
    <w:p>
      <w:pPr>
        <w:jc w:val="both"/>
      </w:pPr>
      <w:r>
        <w:t>In the state family, trained recurrent weights, encoders and output heads were fixed. The operating regime was varied by changing response temperature, lapse probability, hidden-state noise, update gain and memory decay. These manipulations changed how the trained system was deployed without changing its representational resources.</w:t>
      </w:r>
    </w:p>
    <w:p>
      <w:pPr>
        <w:jc w:val="both"/>
      </w:pPr>
      <w:r>
        <w:t>In the capacity family, operating parameters were fixed while representational resources were varied. Capacity manipulations included hidden dimensionality, recurrent-rank restriction, bottleneck width, memory-window truncation and no-recurrence controls. These manipulations changed what the model could represent, maintain or integrate.</w:t>
      </w:r>
    </w:p>
    <w:p>
      <w:pPr>
        <w:jc w:val="both"/>
      </w:pPr>
      <w:r>
        <w:t>In the hybrid family, capacity level and state severity were crossed factorially. Hybrid agents were used to test whether the projection could recover both known state severity and known capacity level when both contributed to performance. Hybrid agents were not used to define the axes unless explicitly specified; they served as recovery and interpretability tests.</w:t>
      </w:r>
    </w:p>
    <w:p>
      <w:pPr>
        <w:pStyle w:val="Heading2"/>
      </w:pPr>
      <w:r>
        <w:t>Artificial-agent fingerprints and validation gate</w:t>
      </w:r>
    </w:p>
    <w:p>
      <w:pPr>
        <w:jc w:val="both"/>
      </w:pPr>
      <w:r>
        <w:t>Each artificial agent was summarized by a behavioral and dynamical fingerprint. Behavioral features included accuracy, negative log-likelihood, response entropy, lapse rate, within-block performance slope, difficulty or load sensitivity, sequential dependence, stay/switch behavior and reaction-time proxies where available. Dynamical features included hidden-state trajectory participation ratio, trajectory radius, step norm, recurrent rank, spectral radius, local memory timescale and latent decodability of task, target, response and correctness.</w:t>
      </w:r>
    </w:p>
    <w:p>
      <w:pPr>
        <w:jc w:val="both"/>
      </w:pPr>
      <w:r>
        <w:t>Before human projection, artificial state and capacity perturbations were performance matched. State-perturbed and capacity-limited agents were grouped into strata with overlapping mean accuracy and negative log-likelihood. The primary separability tests were conducted within matched strata and repeated after residualizing fingerprints for mean accuracy and negative log-likelihood. This step was required to show that the state-capacity distinction was not a disguised severity axis.</w:t>
      </w:r>
    </w:p>
    <w:p>
      <w:pPr>
        <w:jc w:val="both"/>
      </w:pPr>
      <w:r>
        <w:t>The machine-only validation gate had four required tests. First, a classifier had to distinguish state-perturbed from capacity-limited agents above a permutation null under matched performance. Second, known state severity had to be recoverable from artificial fingerprints. Third, known capacity level had to be recoverable from artificial fingerprints. Fourth, hybrid agents had to project to both their known state and capacity levels. If this validation gate failed, strong human state-capacity claims were not permitted.</w:t>
      </w:r>
    </w:p>
    <w:p>
      <w:pPr>
        <w:pStyle w:val="Heading2"/>
      </w:pPr>
      <w:r>
        <w:t>Human state and capacity estimation</w:t>
      </w:r>
    </w:p>
    <w:p>
      <w:pPr>
        <w:jc w:val="both"/>
      </w:pPr>
      <w:r>
        <w:t>Human coordinates were estimated in two complementary ways. The parameter-based state coordinate was derived from session-level log tau, logit lambda, log(sigma + epsilon) and -log g, standardized using training-set statistics and summarized by the first principal component or a prespecified weighted reliability index. The sign was oriented so that higher state values indicated poorer reliability: higher temperature, higher lapse, higher hidden noise and lower update gain.</w:t>
      </w:r>
    </w:p>
    <w:p>
      <w:pPr>
        <w:jc w:val="both"/>
      </w:pPr>
      <w:r>
        <w:t>The parameter-based capacity coordinate was derived from participant-level selected hidden size and recurrent-dynamics measures. The primary capacity estimate was the selected hidden size d_i*, chosen by blocked cross-validation using a one-standard-error rule. Secondary capacity measures included trajectory participation ratio, recurrent rank, local memory timescale, spectral radius and latent separability. Capacity was interpreted as a model-derived dimensionality and dynamical-resource coordinate, not as a general ability score.</w:t>
      </w:r>
    </w:p>
    <w:p>
      <w:pPr>
        <w:jc w:val="both"/>
      </w:pPr>
      <w:r>
        <w:t>The fingerprint-based state and capacity coordinates were computed by projecting human fingerprints into the artificial perturbation space. Human sessions were standardized using the artificial-agent fingerprint scaling parameters and projected onto state and capacity axes derived from artificial perturbation-difference vectors. Primary human claims required convergence between parameter-based and fingerprint-based coordinates. Disagreement between these coordinate estimates was treated as evidence of construct instability and reported explicitly.</w:t>
      </w:r>
    </w:p>
    <w:p>
      <w:pPr>
        <w:pStyle w:val="Heading2"/>
      </w:pPr>
      <w:r>
        <w:t>Model training and leakage control</w:t>
      </w:r>
    </w:p>
    <w:p>
      <w:pPr>
        <w:jc w:val="both"/>
      </w:pPr>
      <w:r>
        <w:t>All model training minimized negative log-likelihood of observed responses using Adam with gradient clipping and early stopping. Hyperparameters were selected on training and validation partitions only. External datasets were not used for hyperparameter selection except in explicitly labelled calibration analyses. All scalers, encoders and feature-selection decisions were fitted on training data only.</w:t>
      </w:r>
    </w:p>
    <w:p>
      <w:pPr>
        <w:jc w:val="both"/>
      </w:pPr>
      <w:r>
        <w:t>To prevent leakage, state parameters were estimated and evaluated on disjoint events. The primary split used odd-numbered mini-blocks for state estimation and even-numbered mini-blocks for evaluation; the split was reversed in a robustness analysis. Participant-level capacity was selected using blocked cross-validation across sessions or task blocks. Leave-one-participant-out prediction was used for discovery generalization. External validation datasets were analysed after the ds007554 pipeline and artificial perturbation gate had been fixed.</w:t>
      </w:r>
    </w:p>
    <w:p>
      <w:pPr>
        <w:pStyle w:val="Heading2"/>
      </w:pPr>
      <w:r>
        <w:t>Recurrent-dynamics analysis</w:t>
      </w:r>
    </w:p>
    <w:p>
      <w:pPr>
        <w:jc w:val="both"/>
      </w:pPr>
      <w:r>
        <w:t>For each fitted participant model, hidden trajectories were extracted from held-out evaluation events. The primary trajectory-level measures were participation ratio, trajectory radius, step norm and effective recurrent rank. Local fixed points were estimated by solving h* = F(h*, u*) for task-context inputs using multiple random initializations. The Jacobian at each local fixed point was computed by automatic differentiation. The spectral radius of the Jacobian was used to estimate local stability, and local memory timescale was defined as:</w:t>
      </w:r>
    </w:p>
    <w:p>
      <w:pPr>
        <w:jc w:val="both"/>
      </w:pPr>
      <w:r>
        <w:t>T_mem = -1 / log(rho(J)),</w:t>
      </w:r>
    </w:p>
    <w:p>
      <w:pPr>
        <w:jc w:val="both"/>
      </w:pPr>
      <w:r>
        <w:t>with rho(J) clipped for numerical stability. Fixed points were interpreted strictly as local summaries of the fitted model's dynamics, not as biological attractors.</w:t>
      </w:r>
    </w:p>
    <w:p>
      <w:pPr>
        <w:jc w:val="both"/>
      </w:pPr>
      <w:r>
        <w:t>Latent decoders were trained on hidden states to predict task identity, target status, correctness and response. High task decodability with near-chance response or correctness decoding was interpreted as evidence that the hidden states represented task context more than overt response labels. Capacity was predicted to correlate more strongly with participation ratio, local memory timescale and latent separability than with mean accuracy alone.</w:t>
      </w:r>
    </w:p>
    <w:p>
      <w:pPr>
        <w:pStyle w:val="Heading2"/>
      </w:pPr>
      <w:r>
        <w:t>Neurophysiology extraction</w:t>
      </w:r>
    </w:p>
    <w:p>
      <w:pPr>
        <w:jc w:val="both"/>
      </w:pPr>
      <w:r>
        <w:t>Neurophysiological features were extracted from datasets with EEG, fNIRS and ECG. The ds007554 neurophysiology extension was treated as an internal validation because the behavioral state and capacity coordinates were estimated from the same dataset but the physiological features were independent signals. COG-BCI and TU Berlin provided external neurophysiology validation.</w:t>
      </w:r>
    </w:p>
    <w:p>
      <w:pPr>
        <w:jc w:val="both"/>
      </w:pPr>
      <w:r>
        <w:t>EEG preprocessing used a fixed pipeline with band-pass filtering, line-noise removal, bad-channel detection, artifact correction where feasible and epoching around task events. Extracted EEG features included delta, theta, alpha and beta power; theta/alpha ratio; frontal-midline theta where channel montage permitted; spectral entropy; aperiodic slope; and trialwise EEG variability. fNIRS preprocessing used standard optical-density conversion, motion correction where possible and extraction of HbO and HbR mean, slope and task-evoked features over prefrontal channels. ECG features included heart rate, RMSSD, SDNN, pNN50 and within-task heart-rate slope.</w:t>
      </w:r>
    </w:p>
    <w:p>
      <w:pPr>
        <w:jc w:val="both"/>
      </w:pPr>
      <w:r>
        <w:t>Physiological validation models tested whether state and capacity coordinates predicted independent physiological features after controlling for task, session order and mean performance. Conversely, predictive models tested whether EEG, fNIRS and ECG features explained state-coordinate variation beyond task and accuracy. Physiological associations were treated as supportive only if they survived these controls and were directionally consistent across datasets or modalities.</w:t>
      </w:r>
    </w:p>
    <w:p>
      <w:pPr>
        <w:pStyle w:val="Heading2"/>
      </w:pPr>
      <w:r>
        <w:t>Discovery and validation analyses</w:t>
      </w:r>
    </w:p>
    <w:p>
      <w:pPr>
        <w:jc w:val="both"/>
      </w:pPr>
      <w:r>
        <w:t>The ds007554 discovery analysis compared task-only, one-dimensional impairment, additive state-capacity and state-by-capacity interaction models. Outcomes included held-out accuracy, negative log-likelihood and standardized task-session performance. The primary comparison tested whether the two-coordinate model improved over a one-dimensional impairment model under permutation testing. Leave-one-participant-out RMSE was reported to assess generalization. Failure to outperform a task-only model was not treated as fatal to the mechanistic claim, but it prohibited any claim of predictive superiority.</w:t>
      </w:r>
    </w:p>
    <w:p>
      <w:pPr>
        <w:jc w:val="both"/>
      </w:pPr>
      <w:r>
        <w:t>COG-BCI was the primary external validation. State was predicted to show higher within-person/session variation than capacity, stronger association with subjective workload or vigilance measures where available, and stronger association with physiological reliability markers. Capacity was predicted to show greater participant-level stability across sessions and stronger association with cross-task consistency or load robustness. The primary validation was considered successful only if at least one independent subjective or physiological state marker aligned with the state coordinate after controlling for task and mean performance, and if capacity was more stable across sessions than state.</w:t>
      </w:r>
    </w:p>
    <w:p>
      <w:pPr>
        <w:jc w:val="both"/>
      </w:pPr>
      <w:r>
        <w:t>TU Berlin EEG-NIRS tested capacity pressure under N-back load. Increasing load was predicted to reduce performance and alter workload-related EEG/NIRS features. Lower inferred capacity was predicted to be associated with steeper load-related decline or reduced latent separability. State was predicted to explain within-load lapses, instability or variability. HBN tested scalability and developmental generalization but was not used as a primary validation of the state-capacity theory.</w:t>
      </w:r>
    </w:p>
    <w:p>
      <w:pPr>
        <w:pStyle w:val="Heading2"/>
      </w:pPr>
      <w:r>
        <w:t>Baselines, falsification and robustness</w:t>
      </w:r>
    </w:p>
    <w:p>
      <w:pPr>
        <w:jc w:val="both"/>
      </w:pPr>
      <w:r>
        <w:t>The framework was compared against deployable, descriptive and mechanistic baselines. Deployable baselines used only information available before the evaluated events. Descriptive baselines used same-row behavioral summaries such as response rate, d-prime or reaction-time summaries and were interpreted as descriptive sanity checks rather than deployable predictors. Mechanistic baselines included a no-state GRU, one-dimensional severity axis, hierarchical logistic model, signal-detection model where applicable, random-axis controls and shuffled-label controls.</w:t>
      </w:r>
    </w:p>
    <w:p>
      <w:pPr>
        <w:jc w:val="both"/>
      </w:pPr>
      <w:r>
        <w:t>Robustness analyses included hidden-size extension to d = 8, architecture variants using vanilla RNN, GRU and LSTM, reversal of odd/even state-estimation splits, removal of mean accuracy and reaction-time effects from fingerprints, leave-one-task-out validation, leave-one-dataset-out validation, participant bootstrap and dataset bootstrap. The framework was considered falsified if state and capacity axes failed the artificial-agent gate, if human coordinates were reducible to mean performance, if shuffled labels produced comparable effects, or if external validation failed across all directly downloadable datasets.</w:t>
      </w:r>
    </w:p>
    <w:p>
      <w:pPr>
        <w:pStyle w:val="Heading2"/>
      </w:pPr>
      <w:r>
        <w:t>Statistical inference and claim grading</w:t>
      </w:r>
    </w:p>
    <w:p>
      <w:pPr>
        <w:jc w:val="both"/>
      </w:pPr>
      <w:r>
        <w:t>All statistical tests were two-sided unless explicitly stated as directional before analysis. Mixed-effects models included random intercepts for participant and task, with random slopes when supported by the data. Confidence intervals were computed by participant-level bootstrap. Permutation tests were used for model-comparison gains, artificial-agent separability and shuffled-label controls. False-discovery-rate correction was applied within outcome families.</w:t>
      </w:r>
    </w:p>
    <w:p>
      <w:pPr>
        <w:jc w:val="both"/>
      </w:pPr>
      <w:r>
        <w:t>Every empirical claim was assigned a claim strength before manuscript writing: strong, moderate, exploratory, negative or failed validation. Strong claims required convergence across model parameters, fingerprints and robustness analyses. Moderate claims required support in the primary dataset with at least one robustness test. Exploratory claims were dataset-specific or hypothesis-generating. Negative and failed-validation results were reported explicitly. No claim was allowed in the Results or Discussion unless linked to a script, output table, figure source-data file and claim-audit entry.</w:t>
      </w:r>
    </w:p>
    <w:p>
      <w:pPr>
        <w:pStyle w:val="Heading1"/>
      </w:pPr>
      <w:r>
        <w:t>Implementation note</w:t>
      </w:r>
    </w:p>
    <w:p>
      <w:pPr>
        <w:jc w:val="both"/>
      </w:pPr>
      <w:r>
        <w:t>This draft is written to be synchronized with the existing implementation handoff and to incorporate the broader theoretical logic from the state-capacity review and proposal documents. The final manuscript should insert formal references and exact dataset/sample counts only after the full Codex pipeline regenerates all outputs, manifests and claim-audit tables.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