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jc w:val="left"/>
      </w:pPr>
      <w:r>
        <w:rPr>
          <w:rFonts w:ascii="Arial" w:cs="Arial" w:eastAsia="Arial" w:hAnsi="Arial"/>
          <w:b/>
          <w:bCs/>
          <w:i w:val="false"/>
          <w:iCs w:val="false"/>
          <w:color w:val="888888"/>
          <w:sz w:val="16"/>
          <w:szCs w:val="16"/>
        </w:rPr>
        <w:t xml:space="preserve">PRODUCT REQUIREMENTS DOCUMENT</w:t>
      </w:r>
    </w:p>
    <w:p>
      <w:pPr>
        <w:pStyle w:val="Heading1"/>
        <w:spacing w:after="80" w:before="0"/>
      </w:pPr>
      <w:r>
        <w:rPr>
          <w:rFonts w:ascii="Arial" w:cs="Arial" w:eastAsia="Arial" w:hAnsi="Arial"/>
          <w:b/>
          <w:bCs/>
          <w:color w:val="1A1A1A"/>
          <w:sz w:val="44"/>
          <w:szCs w:val="44"/>
        </w:rPr>
        <w:t xml:space="preserve">Renovation Decision
Support Tool</w:t>
      </w:r>
    </w:p>
    <w:p>
      <w:pPr>
        <w:spacing w:after="240" w:before="0"/>
        <w:jc w:val="left"/>
      </w:pPr>
      <w:r>
        <w:rPr>
          <w:rFonts w:ascii="Arial" w:cs="Arial" w:eastAsia="Arial" w:hAnsi="Arial"/>
          <w:b w:val="false"/>
          <w:bCs w:val="false"/>
          <w:i w:val="false"/>
          <w:iCs w:val="false"/>
          <w:color w:val="555555"/>
          <w:sz w:val="20"/>
          <w:szCs w:val="20"/>
        </w:rPr>
        <w:t xml:space="preserve">A web-based AHP + TOPSIS multi-criteria decision analysis tool for selecting renovation strategies for lower-temperature heating readiness in Dutch dwellings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1800"/>
        <w:gridCol w:w="2000"/>
        <w:gridCol w:w="1760"/>
      </w:tblGrid>
      <w:tr>
        <w:tc>
          <w:tcPr>
            <w:tcW w:type="dxa" w:w="1800"/>
            <w:tcBorders>
              <w:top w:val="none" w:color="FFFFFF" w:sz="0"/>
              <w:left w:val="none" w:color="FFFFFF" w:sz="0"/>
              <w:bottom w:val="none" w:color="FFFFFF" w:sz="0"/>
              <w:right w:val="none" w:color="FFFFFF" w:sz="0"/>
            </w:tcBorders>
            <w:tcMar>
              <w:top w:type="dxa" w:w="100"/>
              <w:left w:type="dxa" w:w="140"/>
              <w:bottom w:type="dxa" w:w="100"/>
              <w:right w:type="dxa" w:w="140"/>
            </w:tcMar>
            <w:vAlign w:val="top"/>
          </w:tcPr>
          <w:p>
            <w:pPr>
              <w:spacing w:after="20" w:before="0"/>
              <w:jc w:val="left"/>
            </w:pPr>
            <w:r>
              <w:rPr>
                <w:rFonts w:ascii="Arial" w:cs="Arial" w:eastAsia="Arial" w:hAnsi="Arial"/>
                <w:b/>
                <w:bCs/>
                <w:i w:val="false"/>
                <w:iCs w:val="false"/>
                <w:color w:val="888888"/>
                <w:sz w:val="16"/>
                <w:szCs w:val="16"/>
              </w:rPr>
              <w:t xml:space="preserve">Status</w:t>
            </w:r>
          </w:p>
          <w:p>
            <w:pPr>
              <w:spacing w:after="80" w:before="0"/>
              <w:jc w:val="left"/>
            </w:pPr>
            <w:r>
              <w:rPr>
                <w:rFonts w:ascii="Arial" w:cs="Arial" w:eastAsia="Arial" w:hAnsi="Arial"/>
                <w:b w:val="false"/>
                <w:bCs w:val="false"/>
                <w:i w:val="false"/>
                <w:iCs w:val="false"/>
                <w:color w:val="1A1A1A"/>
                <w:sz w:val="19"/>
                <w:szCs w:val="19"/>
              </w:rPr>
              <w:t xml:space="preserve">Draft v0.1</w:t>
            </w:r>
          </w:p>
        </w:tc>
        <w:tc>
          <w:tcPr>
            <w:tcW w:type="dxa" w:w="2000"/>
            <w:tcBorders>
              <w:top w:val="none" w:color="FFFFFF" w:sz="0"/>
              <w:left w:val="none" w:color="FFFFFF" w:sz="0"/>
              <w:bottom w:val="none" w:color="FFFFFF" w:sz="0"/>
              <w:right w:val="none" w:color="FFFFFF" w:sz="0"/>
            </w:tcBorders>
            <w:tcMar>
              <w:top w:type="dxa" w:w="100"/>
              <w:left w:type="dxa" w:w="140"/>
              <w:bottom w:type="dxa" w:w="100"/>
              <w:right w:type="dxa" w:w="140"/>
            </w:tcMar>
            <w:vAlign w:val="top"/>
          </w:tcPr>
          <w:p>
            <w:pPr>
              <w:spacing w:after="20" w:before="0"/>
              <w:jc w:val="left"/>
            </w:pPr>
            <w:r>
              <w:rPr>
                <w:rFonts w:ascii="Arial" w:cs="Arial" w:eastAsia="Arial" w:hAnsi="Arial"/>
                <w:b/>
                <w:bCs/>
                <w:i w:val="false"/>
                <w:iCs w:val="false"/>
                <w:color w:val="888888"/>
                <w:sz w:val="16"/>
                <w:szCs w:val="16"/>
              </w:rPr>
              <w:t xml:space="preserve">Date</w:t>
            </w:r>
          </w:p>
          <w:p>
            <w:pPr>
              <w:spacing w:after="80" w:before="0"/>
              <w:jc w:val="left"/>
            </w:pPr>
            <w:r>
              <w:rPr>
                <w:rFonts w:ascii="Arial" w:cs="Arial" w:eastAsia="Arial" w:hAnsi="Arial"/>
                <w:b w:val="false"/>
                <w:bCs w:val="false"/>
                <w:i w:val="false"/>
                <w:iCs w:val="false"/>
                <w:color w:val="1A1A1A"/>
                <w:sz w:val="19"/>
                <w:szCs w:val="19"/>
              </w:rPr>
              <w:t xml:space="preserve">April 2026</w:t>
            </w:r>
          </w:p>
        </w:tc>
        <w:tc>
          <w:tcPr>
            <w:tcW w:type="dxa" w:w="1800"/>
            <w:tcBorders>
              <w:top w:val="none" w:color="FFFFFF" w:sz="0"/>
              <w:left w:val="none" w:color="FFFFFF" w:sz="0"/>
              <w:bottom w:val="none" w:color="FFFFFF" w:sz="0"/>
              <w:right w:val="none" w:color="FFFFFF" w:sz="0"/>
            </w:tcBorders>
            <w:tcMar>
              <w:top w:type="dxa" w:w="100"/>
              <w:left w:type="dxa" w:w="140"/>
              <w:bottom w:type="dxa" w:w="100"/>
              <w:right w:type="dxa" w:w="140"/>
            </w:tcMar>
            <w:vAlign w:val="top"/>
          </w:tcPr>
          <w:p>
            <w:pPr>
              <w:spacing w:after="20" w:before="0"/>
              <w:jc w:val="left"/>
            </w:pPr>
            <w:r>
              <w:rPr>
                <w:rFonts w:ascii="Arial" w:cs="Arial" w:eastAsia="Arial" w:hAnsi="Arial"/>
                <w:b/>
                <w:bCs/>
                <w:i w:val="false"/>
                <w:iCs w:val="false"/>
                <w:color w:val="888888"/>
                <w:sz w:val="16"/>
                <w:szCs w:val="16"/>
              </w:rPr>
              <w:t xml:space="preserve">Author</w:t>
            </w:r>
          </w:p>
          <w:p>
            <w:pPr>
              <w:spacing w:after="80" w:before="0"/>
              <w:jc w:val="left"/>
            </w:pPr>
            <w:r>
              <w:rPr>
                <w:rFonts w:ascii="Arial" w:cs="Arial" w:eastAsia="Arial" w:hAnsi="Arial"/>
                <w:b w:val="false"/>
                <w:bCs w:val="false"/>
                <w:i w:val="false"/>
                <w:iCs w:val="false"/>
                <w:color w:val="1A1A1A"/>
                <w:sz w:val="19"/>
                <w:szCs w:val="19"/>
              </w:rPr>
              <w:t xml:space="preserve">Prateek Wahi</w:t>
            </w:r>
          </w:p>
        </w:tc>
        <w:tc>
          <w:tcPr>
            <w:tcW w:type="dxa" w:w="2000"/>
            <w:tcBorders>
              <w:top w:val="none" w:color="FFFFFF" w:sz="0"/>
              <w:left w:val="none" w:color="FFFFFF" w:sz="0"/>
              <w:bottom w:val="none" w:color="FFFFFF" w:sz="0"/>
              <w:right w:val="none" w:color="FFFFFF" w:sz="0"/>
            </w:tcBorders>
            <w:tcMar>
              <w:top w:type="dxa" w:w="100"/>
              <w:left w:type="dxa" w:w="140"/>
              <w:bottom w:type="dxa" w:w="100"/>
              <w:right w:type="dxa" w:w="140"/>
            </w:tcMar>
            <w:vAlign w:val="top"/>
          </w:tcPr>
          <w:p>
            <w:pPr>
              <w:spacing w:after="20" w:before="0"/>
              <w:jc w:val="left"/>
            </w:pPr>
            <w:r>
              <w:rPr>
                <w:rFonts w:ascii="Arial" w:cs="Arial" w:eastAsia="Arial" w:hAnsi="Arial"/>
                <w:b/>
                <w:bCs/>
                <w:i w:val="false"/>
                <w:iCs w:val="false"/>
                <w:color w:val="888888"/>
                <w:sz w:val="16"/>
                <w:szCs w:val="16"/>
              </w:rPr>
              <w:t xml:space="preserve">Research basis</w:t>
            </w:r>
          </w:p>
          <w:p>
            <w:pPr>
              <w:spacing w:after="80" w:before="0"/>
              <w:jc w:val="left"/>
            </w:pPr>
            <w:r>
              <w:rPr>
                <w:rFonts w:ascii="Arial" w:cs="Arial" w:eastAsia="Arial" w:hAnsi="Arial"/>
                <w:b w:val="false"/>
                <w:bCs w:val="false"/>
                <w:i w:val="false"/>
                <w:iCs w:val="false"/>
                <w:color w:val="1A1A1A"/>
                <w:sz w:val="19"/>
                <w:szCs w:val="19"/>
              </w:rPr>
              <w:t xml:space="preserve">Wahi (2025), TU Delft</w:t>
            </w:r>
          </w:p>
        </w:tc>
        <w:tc>
          <w:tcPr>
            <w:tcW w:type="dxa" w:w="1760"/>
            <w:tcBorders>
              <w:top w:val="none" w:color="FFFFFF" w:sz="0"/>
              <w:left w:val="none" w:color="FFFFFF" w:sz="0"/>
              <w:bottom w:val="none" w:color="FFFFFF" w:sz="0"/>
              <w:right w:val="none" w:color="FFFFFF" w:sz="0"/>
            </w:tcBorders>
            <w:tcMar>
              <w:top w:type="dxa" w:w="100"/>
              <w:left w:type="dxa" w:w="140"/>
              <w:bottom w:type="dxa" w:w="100"/>
              <w:right w:type="dxa" w:w="140"/>
            </w:tcMar>
            <w:vAlign w:val="top"/>
          </w:tcPr>
          <w:p>
            <w:pPr>
              <w:spacing w:after="20" w:before="0"/>
              <w:jc w:val="left"/>
            </w:pPr>
            <w:r>
              <w:rPr>
                <w:rFonts w:ascii="Arial" w:cs="Arial" w:eastAsia="Arial" w:hAnsi="Arial"/>
                <w:b/>
                <w:bCs/>
                <w:i w:val="false"/>
                <w:iCs w:val="false"/>
                <w:color w:val="888888"/>
                <w:sz w:val="16"/>
                <w:szCs w:val="16"/>
              </w:rPr>
              <w:t xml:space="preserve">Horizon</w:t>
            </w:r>
          </w:p>
          <w:p>
            <w:pPr>
              <w:spacing w:after="80" w:before="0"/>
              <w:jc w:val="left"/>
            </w:pPr>
            <w:r>
              <w:rPr>
                <w:rFonts w:ascii="Arial" w:cs="Arial" w:eastAsia="Arial" w:hAnsi="Arial"/>
                <w:b w:val="false"/>
                <w:bCs w:val="false"/>
                <w:i w:val="false"/>
                <w:iCs w:val="false"/>
                <w:color w:val="1A1A1A"/>
                <w:sz w:val="19"/>
                <w:szCs w:val="19"/>
              </w:rPr>
              <w:t xml:space="preserve">MVP + V2</w:t>
            </w:r>
          </w:p>
        </w:tc>
      </w:tr>
    </w:tbl>
    <w:p>
      <w:pPr>
        <w:spacing w:after="80" w:before="0"/>
        <w:jc w:val="left"/>
      </w:pPr>
      <w:r>
        <w:rPr>
          <w:rFonts w:ascii="Arial" w:cs="Arial" w:eastAsia="Arial" w:hAnsi="Arial"/>
          <w:b w:val="false"/>
          <w:bCs w:val="false"/>
          <w:i w:val="false"/>
          <w:iCs w:val="false"/>
          <w:color w:val="1A1A1A"/>
          <w:sz w:val="20"/>
          <w:szCs w:val="20"/>
        </w:rPr>
        <w:t xml:space="preserve"/>
      </w:r>
    </w:p>
    <w:p>
      <w:pPr>
        <w:pBdr>
          <w:top w:val="single" w:color="CCCCCC" w:sz="4" w:space="8"/>
        </w:pBdr>
        <w:spacing w:after="120" w:before="320"/>
      </w:pPr>
      <w:r>
        <w:rPr>
          <w:rFonts w:ascii="Arial" w:cs="Arial" w:eastAsia="Arial" w:hAnsi="Arial"/>
          <w:b w:val="false"/>
          <w:bCs w:val="false"/>
          <w:color w:val="888888"/>
          <w:sz w:val="18"/>
          <w:szCs w:val="18"/>
        </w:rPr>
        <w:t xml:space="preserve">01 — PROBLEM STATEMENT</w:t>
      </w:r>
    </w:p>
    <w:p>
      <w:pPr>
        <w:spacing w:after="80" w:before="0"/>
        <w:jc w:val="left"/>
      </w:pPr>
      <w:r>
        <w:rPr>
          <w:rFonts w:ascii="Arial" w:cs="Arial" w:eastAsia="Arial" w:hAnsi="Arial"/>
          <w:b w:val="false"/>
          <w:bCs w:val="false"/>
          <w:i w:val="false"/>
          <w:iCs w:val="false"/>
          <w:color w:val="555555"/>
          <w:sz w:val="19"/>
          <w:szCs w:val="19"/>
        </w:rPr>
        <w:t xml:space="preserve">Selecting the right renovation strategy for preparing Dutch dwellings for lower-temperature district heating (LTH) is a complex multi-criteria problem. Decision-makers — housing corporations, energy consultants, and project managers — must balance competing objectives across environmental, economic, and social dimensions, while accounting for the subjective preferences of multiple stakeholders.</w:t>
      </w:r>
    </w:p>
    <w:p>
      <w:pPr>
        <w:spacing w:after="160" w:before="0"/>
        <w:jc w:val="left"/>
      </w:pPr>
      <w:r>
        <w:rPr>
          <w:rFonts w:ascii="Arial" w:cs="Arial" w:eastAsia="Arial" w:hAnsi="Arial"/>
          <w:b w:val="false"/>
          <w:bCs w:val="false"/>
          <w:i w:val="false"/>
          <w:iCs w:val="false"/>
          <w:color w:val="555555"/>
          <w:sz w:val="19"/>
          <w:szCs w:val="19"/>
        </w:rPr>
        <w:t xml:space="preserve">Current practice relies on informal expert judgement, manual spreadsheets, or ad-hoc scoring with no structured way to incorporate stakeholder priorities or check for decision consistency. This tool operationalises the decision-support framework developed in Wahi (2025) into an interactive, repeatable, and auditable process.</w:t>
      </w:r>
    </w:p>
    <w:p>
      <w:pPr>
        <w:pBdr>
          <w:top w:val="single" w:color="CCCCCC" w:sz="4" w:space="8"/>
        </w:pBdr>
        <w:spacing w:after="120" w:before="320"/>
      </w:pPr>
      <w:r>
        <w:rPr>
          <w:rFonts w:ascii="Arial" w:cs="Arial" w:eastAsia="Arial" w:hAnsi="Arial"/>
          <w:b w:val="false"/>
          <w:bCs w:val="false"/>
          <w:color w:val="888888"/>
          <w:sz w:val="18"/>
          <w:szCs w:val="18"/>
        </w:rPr>
        <w:t xml:space="preserve">02 — TARGET USERS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top"/>
          </w:tcPr>
          <w:p>
            <w:pPr>
              <w:spacing w:after="40" w:before="0"/>
              <w:jc w:val="left"/>
            </w:pPr>
            <w:r>
              <w:rPr>
                <w:rFonts w:ascii="Arial" w:cs="Arial" w:eastAsia="Arial" w:hAnsi="Arial"/>
                <w:b/>
                <w:bCs/>
                <w:i w:val="false"/>
                <w:iCs w:val="false"/>
                <w:color w:val="1A1A1A"/>
                <w:sz w:val="20"/>
                <w:szCs w:val="20"/>
              </w:rPr>
              <w:t xml:space="preserve">Building physics consultants</w:t>
            </w:r>
          </w:p>
          <w:p>
            <w:pPr>
              <w:spacing w:after="80" w:before="0"/>
              <w:jc w:val="left"/>
            </w:pPr>
            <w:r>
              <w:rPr>
                <w:rFonts w:ascii="Arial" w:cs="Arial" w:eastAsia="Arial" w:hAnsi="Arial"/>
                <w:b w:val="false"/>
                <w:bCs w:val="false"/>
                <w:i w:val="false"/>
                <w:iCs w:val="false"/>
                <w:color w:val="555555"/>
                <w:sz w:val="18"/>
                <w:szCs w:val="18"/>
              </w:rPr>
              <w:t xml:space="preserve">Lead users. Run the analysis for projects, configure criteria, and input simulation outputs as performance scores.</w:t>
            </w:r>
          </w:p>
        </w:tc>
        <w:tc>
          <w:tcPr>
            <w:tcW w:type="dxa" w:w="312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top"/>
          </w:tcPr>
          <w:p>
            <w:pPr>
              <w:spacing w:after="40" w:before="0"/>
              <w:jc w:val="left"/>
            </w:pPr>
            <w:r>
              <w:rPr>
                <w:rFonts w:ascii="Arial" w:cs="Arial" w:eastAsia="Arial" w:hAnsi="Arial"/>
                <w:b/>
                <w:bCs/>
                <w:i w:val="false"/>
                <w:iCs w:val="false"/>
                <w:color w:val="1A1A1A"/>
                <w:sz w:val="20"/>
                <w:szCs w:val="20"/>
              </w:rPr>
              <w:t xml:space="preserve">Housing corporations</w:t>
            </w:r>
          </w:p>
          <w:p>
            <w:pPr>
              <w:spacing w:after="80" w:before="0"/>
              <w:jc w:val="left"/>
            </w:pPr>
            <w:r>
              <w:rPr>
                <w:rFonts w:ascii="Arial" w:cs="Arial" w:eastAsia="Arial" w:hAnsi="Arial"/>
                <w:b w:val="false"/>
                <w:bCs w:val="false"/>
                <w:i w:val="false"/>
                <w:iCs w:val="false"/>
                <w:color w:val="555555"/>
                <w:sz w:val="18"/>
                <w:szCs w:val="18"/>
              </w:rPr>
              <w:t xml:space="preserve">Asset managers and portfolio owners who set renovation objectives and engage in stakeholder priority workshops.</w:t>
            </w:r>
          </w:p>
        </w:tc>
        <w:tc>
          <w:tcPr>
            <w:tcW w:type="dxa" w:w="312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top"/>
          </w:tcPr>
          <w:p>
            <w:pPr>
              <w:spacing w:after="40" w:before="0"/>
              <w:jc w:val="left"/>
            </w:pPr>
            <w:r>
              <w:rPr>
                <w:rFonts w:ascii="Arial" w:cs="Arial" w:eastAsia="Arial" w:hAnsi="Arial"/>
                <w:b/>
                <w:bCs/>
                <w:i w:val="false"/>
                <w:iCs w:val="false"/>
                <w:color w:val="1A1A1A"/>
                <w:sz w:val="20"/>
                <w:szCs w:val="20"/>
              </w:rPr>
              <w:t xml:space="preserve">Energy transition consultants</w:t>
            </w:r>
          </w:p>
          <w:p>
            <w:pPr>
              <w:spacing w:after="80" w:before="0"/>
              <w:jc w:val="left"/>
            </w:pPr>
            <w:r>
              <w:rPr>
                <w:rFonts w:ascii="Arial" w:cs="Arial" w:eastAsia="Arial" w:hAnsi="Arial"/>
                <w:b w:val="false"/>
                <w:bCs w:val="false"/>
                <w:i w:val="false"/>
                <w:iCs w:val="false"/>
                <w:color w:val="555555"/>
                <w:sz w:val="18"/>
                <w:szCs w:val="18"/>
              </w:rPr>
              <w:t xml:space="preserve">Project managers facilitating decision sessions, using the tool to record and audit the process.</w:t>
            </w:r>
          </w:p>
        </w:tc>
      </w:tr>
    </w:tbl>
    <w:p>
      <w:pPr>
        <w:spacing w:after="80" w:before="0"/>
        <w:jc w:val="left"/>
      </w:pPr>
      <w:r>
        <w:rPr>
          <w:rFonts w:ascii="Arial" w:cs="Arial" w:eastAsia="Arial" w:hAnsi="Arial"/>
          <w:b w:val="false"/>
          <w:bCs w:val="false"/>
          <w:i w:val="false"/>
          <w:iCs w:val="false"/>
          <w:color w:val="1A1A1A"/>
          <w:sz w:val="20"/>
          <w:szCs w:val="20"/>
        </w:rPr>
        <w:t xml:space="preserve"/>
      </w:r>
    </w:p>
    <w:p>
      <w:pPr>
        <w:pBdr>
          <w:top w:val="single" w:color="CCCCCC" w:sz="4" w:space="8"/>
        </w:pBdr>
        <w:spacing w:after="120" w:before="320"/>
      </w:pPr>
      <w:r>
        <w:rPr>
          <w:rFonts w:ascii="Arial" w:cs="Arial" w:eastAsia="Arial" w:hAnsi="Arial"/>
          <w:b w:val="false"/>
          <w:bCs w:val="false"/>
          <w:color w:val="888888"/>
          <w:sz w:val="18"/>
          <w:szCs w:val="18"/>
        </w:rPr>
        <w:t xml:space="preserve">03 — DECISION FRAMEWORK IMPLEMENTED</w:t>
      </w:r>
    </w:p>
    <w:p>
      <w:pPr>
        <w:spacing w:after="120" w:before="0"/>
        <w:jc w:val="left"/>
      </w:pPr>
      <w:r>
        <w:rPr>
          <w:rFonts w:ascii="Arial" w:cs="Arial" w:eastAsia="Arial" w:hAnsi="Arial"/>
          <w:b w:val="false"/>
          <w:bCs w:val="false"/>
          <w:i w:val="false"/>
          <w:iCs w:val="false"/>
          <w:color w:val="555555"/>
          <w:sz w:val="19"/>
          <w:szCs w:val="19"/>
        </w:rPr>
        <w:t xml:space="preserve">The tool implements Steps 3a and 6 of the 6-step LTH renovation decision framework from Wahi (2025) — the most cognitively demanding steps. Steps 1–2 and 3b–5 remain external (simulation tools, building diagnosis, expert estimation) and feed into this tool as inputs.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400"/>
        <w:gridCol w:w="1560"/>
        <w:gridCol w:w="400"/>
        <w:gridCol w:w="1560"/>
        <w:gridCol w:w="400"/>
        <w:gridCol w:w="1560"/>
        <w:gridCol w:w="400"/>
        <w:gridCol w:w="1520"/>
      </w:tblGrid>
      <w:tr>
        <w:tc>
          <w:tcPr>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top"/>
          </w:tcPr>
          <w:p>
            <w:pPr>
              <w:spacing w:after="80" w:before="0"/>
              <w:jc w:val="left"/>
            </w:pPr>
            <w:r>
              <w:rPr>
                <w:rFonts w:ascii="Arial" w:cs="Arial" w:eastAsia="Arial" w:hAnsi="Arial"/>
                <w:b w:val="false"/>
                <w:bCs w:val="false"/>
                <w:i w:val="false"/>
                <w:iCs w:val="false"/>
                <w:color w:val="888888"/>
                <w:sz w:val="16"/>
                <w:szCs w:val="16"/>
              </w:rPr>
              <w:t xml:space="preserve">Step 1</w:t>
            </w:r>
          </w:p>
          <w:p>
            <w:pPr>
              <w:spacing w:after="80" w:before="0"/>
              <w:jc w:val="left"/>
            </w:pPr>
            <w:r>
              <w:rPr>
                <w:rFonts w:ascii="Arial" w:cs="Arial" w:eastAsia="Arial" w:hAnsi="Arial"/>
                <w:b w:val="false"/>
                <w:bCs w:val="false"/>
                <w:i w:val="false"/>
                <w:iCs w:val="false"/>
                <w:color w:val="888888"/>
                <w:sz w:val="18"/>
                <w:szCs w:val="18"/>
              </w:rPr>
              <w:t xml:space="preserve">Diagnose</w:t>
            </w:r>
          </w:p>
        </w:tc>
        <w:tc>
          <w:tcPr>
            <w:tcBorders>
              <w:top w:val="none" w:color="FFFFFF" w:sz="0"/>
              <w:left w:val="none" w:color="FFFFFF" w:sz="0"/>
              <w:bottom w:val="none" w:color="FFFFFF" w:sz="0"/>
              <w:right w:val="none" w:color="FFFFFF" w:sz="0"/>
            </w:tcBorders>
            <w:tcMar>
              <w:top w:type="dxa" w:w="100"/>
              <w:left w:type="dxa" w:w="140"/>
              <w:bottom w:type="dxa" w:w="100"/>
              <w:right w:type="dxa" w:w="140"/>
            </w:tcMar>
            <w:vAlign w:val="top"/>
          </w:tcPr>
          <w:p>
            <w:pPr>
              <w:spacing w:after="80" w:before="0"/>
              <w:jc w:val="center"/>
            </w:pPr>
            <w:r>
              <w:rPr>
                <w:rFonts w:ascii="Arial" w:cs="Arial" w:eastAsia="Arial" w:hAnsi="Arial"/>
                <w:b w:val="false"/>
                <w:bCs w:val="false"/>
                <w:i w:val="false"/>
                <w:iCs w:val="false"/>
                <w:color w:val="888888"/>
                <w:sz w:val="18"/>
                <w:szCs w:val="18"/>
              </w:rPr>
              <w:t xml:space="preserve">→</w:t>
            </w:r>
          </w:p>
        </w:tc>
        <w:tc>
          <w:tcPr>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top"/>
          </w:tcPr>
          <w:p>
            <w:pPr>
              <w:spacing w:after="80" w:before="0"/>
              <w:jc w:val="left"/>
            </w:pPr>
            <w:r>
              <w:rPr>
                <w:rFonts w:ascii="Arial" w:cs="Arial" w:eastAsia="Arial" w:hAnsi="Arial"/>
                <w:b w:val="false"/>
                <w:bCs w:val="false"/>
                <w:i w:val="false"/>
                <w:iCs w:val="false"/>
                <w:color w:val="888888"/>
                <w:sz w:val="16"/>
                <w:szCs w:val="16"/>
              </w:rPr>
              <w:t xml:space="preserve">Step 2</w:t>
            </w:r>
          </w:p>
          <w:p>
            <w:pPr>
              <w:spacing w:after="80" w:before="0"/>
              <w:jc w:val="left"/>
            </w:pPr>
            <w:r>
              <w:rPr>
                <w:rFonts w:ascii="Arial" w:cs="Arial" w:eastAsia="Arial" w:hAnsi="Arial"/>
                <w:b w:val="false"/>
                <w:bCs w:val="false"/>
                <w:i w:val="false"/>
                <w:iCs w:val="false"/>
                <w:color w:val="888888"/>
                <w:sz w:val="18"/>
                <w:szCs w:val="18"/>
              </w:rPr>
              <w:t xml:space="preserve">LTH readiness</w:t>
            </w:r>
          </w:p>
        </w:tc>
        <w:tc>
          <w:tcPr>
            <w:tcBorders>
              <w:top w:val="none" w:color="FFFFFF" w:sz="0"/>
              <w:left w:val="none" w:color="FFFFFF" w:sz="0"/>
              <w:bottom w:val="none" w:color="FFFFFF" w:sz="0"/>
              <w:right w:val="none" w:color="FFFFFF" w:sz="0"/>
            </w:tcBorders>
            <w:tcMar>
              <w:top w:type="dxa" w:w="100"/>
              <w:left w:type="dxa" w:w="140"/>
              <w:bottom w:type="dxa" w:w="100"/>
              <w:right w:type="dxa" w:w="140"/>
            </w:tcMar>
            <w:vAlign w:val="top"/>
          </w:tcPr>
          <w:p>
            <w:pPr>
              <w:spacing w:after="80" w:before="0"/>
              <w:jc w:val="center"/>
            </w:pPr>
            <w:r>
              <w:rPr>
                <w:rFonts w:ascii="Arial" w:cs="Arial" w:eastAsia="Arial" w:hAnsi="Arial"/>
                <w:b w:val="false"/>
                <w:bCs w:val="false"/>
                <w:i w:val="false"/>
                <w:iCs w:val="false"/>
                <w:color w:val="888888"/>
                <w:sz w:val="18"/>
                <w:szCs w:val="18"/>
              </w:rPr>
              <w:t xml:space="preserve">→</w:t>
            </w:r>
          </w:p>
        </w:tc>
        <w:tc>
          <w:tcPr>
            <w:tcBorders>
              <w:top w:val="single" w:color="CCCCCC" w:sz="1"/>
              <w:left w:val="single" w:color="CCCCCC" w:sz="1"/>
              <w:bottom w:val="single" w:color="CCCCCC" w:sz="1"/>
              <w:right w:val="single" w:color="CCCCCC" w:sz="1"/>
            </w:tcBorders>
            <w:shd w:fill="EAF3DE" w:val="clear"/>
            <w:tcMar>
              <w:top w:type="dxa" w:w="100"/>
              <w:left w:type="dxa" w:w="140"/>
              <w:bottom w:type="dxa" w:w="100"/>
              <w:right w:type="dxa" w:w="140"/>
            </w:tcMar>
            <w:vAlign w:val="top"/>
          </w:tcPr>
          <w:p>
            <w:pPr>
              <w:spacing w:after="80" w:before="0"/>
              <w:jc w:val="left"/>
            </w:pPr>
            <w:r>
              <w:rPr>
                <w:rFonts w:ascii="Arial" w:cs="Arial" w:eastAsia="Arial" w:hAnsi="Arial"/>
                <w:b/>
                <w:bCs/>
                <w:i w:val="false"/>
                <w:iCs w:val="false"/>
                <w:color w:val="1A6B1A"/>
                <w:sz w:val="16"/>
                <w:szCs w:val="16"/>
              </w:rPr>
              <w:t xml:space="preserve">Step 3a ✓</w:t>
            </w:r>
          </w:p>
          <w:p>
            <w:pPr>
              <w:spacing w:after="80" w:before="0"/>
              <w:jc w:val="left"/>
            </w:pPr>
            <w:r>
              <w:rPr>
                <w:rFonts w:ascii="Arial" w:cs="Arial" w:eastAsia="Arial" w:hAnsi="Arial"/>
                <w:b/>
                <w:bCs/>
                <w:i w:val="false"/>
                <w:iCs w:val="false"/>
                <w:color w:val="1A6B1A"/>
                <w:sz w:val="18"/>
                <w:szCs w:val="18"/>
              </w:rPr>
              <w:t xml:space="preserve">Criteria + weights</w:t>
            </w:r>
          </w:p>
        </w:tc>
        <w:tc>
          <w:tcPr>
            <w:tcBorders>
              <w:top w:val="none" w:color="FFFFFF" w:sz="0"/>
              <w:left w:val="none" w:color="FFFFFF" w:sz="0"/>
              <w:bottom w:val="none" w:color="FFFFFF" w:sz="0"/>
              <w:right w:val="none" w:color="FFFFFF" w:sz="0"/>
            </w:tcBorders>
            <w:tcMar>
              <w:top w:type="dxa" w:w="100"/>
              <w:left w:type="dxa" w:w="140"/>
              <w:bottom w:type="dxa" w:w="100"/>
              <w:right w:type="dxa" w:w="140"/>
            </w:tcMar>
            <w:vAlign w:val="top"/>
          </w:tcPr>
          <w:p>
            <w:pPr>
              <w:spacing w:after="80" w:before="0"/>
              <w:jc w:val="center"/>
            </w:pPr>
            <w:r>
              <w:rPr>
                <w:rFonts w:ascii="Arial" w:cs="Arial" w:eastAsia="Arial" w:hAnsi="Arial"/>
                <w:b w:val="false"/>
                <w:bCs w:val="false"/>
                <w:i w:val="false"/>
                <w:iCs w:val="false"/>
                <w:color w:val="888888"/>
                <w:sz w:val="18"/>
                <w:szCs w:val="18"/>
              </w:rPr>
              <w:t xml:space="preserve">→</w:t>
            </w:r>
          </w:p>
        </w:tc>
        <w:tc>
          <w:tcPr>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top"/>
          </w:tcPr>
          <w:p>
            <w:pPr>
              <w:spacing w:after="80" w:before="0"/>
              <w:jc w:val="left"/>
            </w:pPr>
            <w:r>
              <w:rPr>
                <w:rFonts w:ascii="Arial" w:cs="Arial" w:eastAsia="Arial" w:hAnsi="Arial"/>
                <w:b w:val="false"/>
                <w:bCs w:val="false"/>
                <w:i w:val="false"/>
                <w:iCs w:val="false"/>
                <w:color w:val="888888"/>
                <w:sz w:val="16"/>
                <w:szCs w:val="16"/>
              </w:rPr>
              <w:t xml:space="preserve">Steps 3b–5</w:t>
            </w:r>
          </w:p>
          <w:p>
            <w:pPr>
              <w:spacing w:after="80" w:before="0"/>
              <w:jc w:val="left"/>
            </w:pPr>
            <w:r>
              <w:rPr>
                <w:rFonts w:ascii="Arial" w:cs="Arial" w:eastAsia="Arial" w:hAnsi="Arial"/>
                <w:b w:val="false"/>
                <w:bCs w:val="false"/>
                <w:i w:val="false"/>
                <w:iCs w:val="false"/>
                <w:color w:val="888888"/>
                <w:sz w:val="18"/>
                <w:szCs w:val="18"/>
              </w:rPr>
              <w:t xml:space="preserve">Alternatives + scores</w:t>
            </w:r>
          </w:p>
        </w:tc>
        <w:tc>
          <w:tcPr>
            <w:tcBorders>
              <w:top w:val="none" w:color="FFFFFF" w:sz="0"/>
              <w:left w:val="none" w:color="FFFFFF" w:sz="0"/>
              <w:bottom w:val="none" w:color="FFFFFF" w:sz="0"/>
              <w:right w:val="none" w:color="FFFFFF" w:sz="0"/>
            </w:tcBorders>
            <w:tcMar>
              <w:top w:type="dxa" w:w="100"/>
              <w:left w:type="dxa" w:w="140"/>
              <w:bottom w:type="dxa" w:w="100"/>
              <w:right w:type="dxa" w:w="140"/>
            </w:tcMar>
            <w:vAlign w:val="top"/>
          </w:tcPr>
          <w:p>
            <w:pPr>
              <w:spacing w:after="80" w:before="0"/>
              <w:jc w:val="center"/>
            </w:pPr>
            <w:r>
              <w:rPr>
                <w:rFonts w:ascii="Arial" w:cs="Arial" w:eastAsia="Arial" w:hAnsi="Arial"/>
                <w:b w:val="false"/>
                <w:bCs w:val="false"/>
                <w:i w:val="false"/>
                <w:iCs w:val="false"/>
                <w:color w:val="888888"/>
                <w:sz w:val="18"/>
                <w:szCs w:val="18"/>
              </w:rPr>
              <w:t xml:space="preserve">→</w:t>
            </w:r>
          </w:p>
        </w:tc>
        <w:tc>
          <w:tcPr>
            <w:tcBorders>
              <w:top w:val="single" w:color="CCCCCC" w:sz="1"/>
              <w:left w:val="single" w:color="CCCCCC" w:sz="1"/>
              <w:bottom w:val="single" w:color="CCCCCC" w:sz="1"/>
              <w:right w:val="single" w:color="CCCCCC" w:sz="1"/>
            </w:tcBorders>
            <w:shd w:fill="EAF3DE" w:val="clear"/>
            <w:tcMar>
              <w:top w:type="dxa" w:w="100"/>
              <w:left w:type="dxa" w:w="140"/>
              <w:bottom w:type="dxa" w:w="100"/>
              <w:right w:type="dxa" w:w="140"/>
            </w:tcMar>
            <w:vAlign w:val="top"/>
          </w:tcPr>
          <w:p>
            <w:pPr>
              <w:spacing w:after="80" w:before="0"/>
              <w:jc w:val="left"/>
            </w:pPr>
            <w:r>
              <w:rPr>
                <w:rFonts w:ascii="Arial" w:cs="Arial" w:eastAsia="Arial" w:hAnsi="Arial"/>
                <w:b/>
                <w:bCs/>
                <w:i w:val="false"/>
                <w:iCs w:val="false"/>
                <w:color w:val="1A6B1A"/>
                <w:sz w:val="16"/>
                <w:szCs w:val="16"/>
              </w:rPr>
              <w:t xml:space="preserve">Step 6 ✓</w:t>
            </w:r>
          </w:p>
          <w:p>
            <w:pPr>
              <w:spacing w:after="80" w:before="0"/>
              <w:jc w:val="left"/>
            </w:pPr>
            <w:r>
              <w:rPr>
                <w:rFonts w:ascii="Arial" w:cs="Arial" w:eastAsia="Arial" w:hAnsi="Arial"/>
                <w:b/>
                <w:bCs/>
                <w:i w:val="false"/>
                <w:iCs w:val="false"/>
                <w:color w:val="1A6B1A"/>
                <w:sz w:val="18"/>
                <w:szCs w:val="18"/>
              </w:rPr>
              <w:t xml:space="preserve">TOPSIS ranking</w:t>
            </w:r>
          </w:p>
        </w:tc>
      </w:tr>
    </w:tbl>
    <w:p>
      <w:pPr>
        <w:spacing w:after="80" w:before="0"/>
        <w:jc w:val="left"/>
      </w:pPr>
      <w:r>
        <w:rPr>
          <w:rFonts w:ascii="Arial" w:cs="Arial" w:eastAsia="Arial" w:hAnsi="Arial"/>
          <w:b w:val="false"/>
          <w:bCs w:val="false"/>
          <w:i w:val="false"/>
          <w:iCs w:val="false"/>
          <w:color w:val="1A1A1A"/>
          <w:sz w:val="20"/>
          <w:szCs w:val="20"/>
        </w:rPr>
        <w:t xml:space="preserve"/>
      </w:r>
    </w:p>
    <w:p>
      <w:pPr>
        <w:pBdr>
          <w:top w:val="single" w:color="CCCCCC" w:sz="4" w:space="8"/>
        </w:pBdr>
        <w:spacing w:after="120" w:before="320"/>
      </w:pPr>
      <w:r>
        <w:rPr>
          <w:rFonts w:ascii="Arial" w:cs="Arial" w:eastAsia="Arial" w:hAnsi="Arial"/>
          <w:b w:val="false"/>
          <w:bCs w:val="false"/>
          <w:color w:val="888888"/>
          <w:sz w:val="18"/>
          <w:szCs w:val="18"/>
        </w:rPr>
        <w:t xml:space="preserve">04 — CORE FEATURES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00"/>
        <w:gridCol w:w="4760"/>
      </w:tblGrid>
      <w:tr>
        <w:tc>
          <w:tcPr>
            <w:tcW w:type="dxa" w:w="46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top"/>
          </w:tcPr>
          <w:p>
            <w:pPr>
              <w:spacing w:after="40" w:before="0"/>
              <w:jc w:val="left"/>
            </w:pPr>
            <w:r>
              <w:rPr>
                <w:rFonts w:ascii="Arial" w:cs="Arial" w:eastAsia="Arial" w:hAnsi="Arial"/>
                <w:b/>
                <w:bCs/>
                <w:i w:val="false"/>
                <w:iCs w:val="false"/>
                <w:color w:val="1A1A1A"/>
                <w:sz w:val="20"/>
                <w:szCs w:val="20"/>
              </w:rPr>
              <w:t xml:space="preserve">Criteria management</w:t>
            </w:r>
          </w:p>
          <w:p>
            <w:pPr>
              <w:spacing w:after="80" w:before="0"/>
              <w:jc w:val="left"/>
            </w:pPr>
            <w:r>
              <w:rPr>
                <w:rFonts w:ascii="Arial" w:cs="Arial" w:eastAsia="Arial" w:hAnsi="Arial"/>
                <w:b w:val="false"/>
                <w:bCs w:val="false"/>
                <w:i w:val="false"/>
                <w:iCs w:val="false"/>
                <w:color w:val="555555"/>
                <w:sz w:val="18"/>
                <w:szCs w:val="18"/>
              </w:rPr>
              <w:t xml:space="preserve">Pre-loaded with all 13 criteria (C1–C13) from the thesis, grouped by Environmental, Economic, and Social pillars. Toggle active/inactive per project. C1 and C10 are mandatory LTH readiness gates.</w:t>
            </w:r>
          </w:p>
        </w:tc>
        <w:tc>
          <w:tcPr>
            <w:tcW w:type="dxa" w:w="476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top"/>
          </w:tcPr>
          <w:p>
            <w:pPr>
              <w:spacing w:after="40" w:before="0"/>
              <w:jc w:val="left"/>
            </w:pPr>
            <w:r>
              <w:rPr>
                <w:rFonts w:ascii="Arial" w:cs="Arial" w:eastAsia="Arial" w:hAnsi="Arial"/>
                <w:b/>
                <w:bCs/>
                <w:i w:val="false"/>
                <w:iCs w:val="false"/>
                <w:color w:val="1A1A1A"/>
                <w:sz w:val="20"/>
                <w:szCs w:val="20"/>
              </w:rPr>
              <w:t xml:space="preserve">Custom KPI support</w:t>
            </w:r>
          </w:p>
          <w:p>
            <w:pPr>
              <w:spacing w:after="80" w:before="0"/>
              <w:jc w:val="left"/>
            </w:pPr>
            <w:r>
              <w:rPr>
                <w:rFonts w:ascii="Arial" w:cs="Arial" w:eastAsia="Arial" w:hAnsi="Arial"/>
                <w:b w:val="false"/>
                <w:bCs w:val="false"/>
                <w:i w:val="false"/>
                <w:iCs w:val="false"/>
                <w:color w:val="555555"/>
                <w:sz w:val="18"/>
                <w:szCs w:val="18"/>
              </w:rPr>
              <w:t xml:space="preserve">Add project-specific criteria with name, unit, pillar, and direction (min/max). Delete any non-mandatory criterion. Criteria tree is flexible and extendable as per the thesis framework.</w:t>
            </w:r>
          </w:p>
        </w:tc>
      </w:tr>
    </w:tbl>
    <w:p>
      <w:pPr>
        <w:spacing w:after="40" w:before="0"/>
        <w:jc w:val="left"/>
      </w:pPr>
      <w:r>
        <w:rPr>
          <w:rFonts w:ascii="Arial" w:cs="Arial" w:eastAsia="Arial" w:hAnsi="Arial"/>
          <w:b w:val="false"/>
          <w:bCs w:val="false"/>
          <w:i w:val="false"/>
          <w:iCs w:val="false"/>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00"/>
        <w:gridCol w:w="4760"/>
      </w:tblGrid>
      <w:tr>
        <w:tc>
          <w:tcPr>
            <w:tcW w:type="dxa" w:w="46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top"/>
          </w:tcPr>
          <w:p>
            <w:pPr>
              <w:spacing w:after="40" w:before="0"/>
              <w:jc w:val="left"/>
            </w:pPr>
            <w:r>
              <w:rPr>
                <w:rFonts w:ascii="Arial" w:cs="Arial" w:eastAsia="Arial" w:hAnsi="Arial"/>
                <w:b/>
                <w:bCs/>
                <w:i w:val="false"/>
                <w:iCs w:val="false"/>
                <w:color w:val="1A1A1A"/>
                <w:sz w:val="20"/>
                <w:szCs w:val="20"/>
              </w:rPr>
              <w:t xml:space="preserve">Alternatives management</w:t>
            </w:r>
          </w:p>
          <w:p>
            <w:pPr>
              <w:spacing w:after="80" w:before="0"/>
              <w:jc w:val="left"/>
            </w:pPr>
            <w:r>
              <w:rPr>
                <w:rFonts w:ascii="Arial" w:cs="Arial" w:eastAsia="Arial" w:hAnsi="Arial"/>
                <w:b w:val="false"/>
                <w:bCs w:val="false"/>
                <w:i w:val="false"/>
                <w:iCs w:val="false"/>
                <w:color w:val="555555"/>
                <w:sz w:val="18"/>
                <w:szCs w:val="18"/>
              </w:rPr>
              <w:t xml:space="preserve">Define renovation alternatives at basic, moderate, or deep intervention level. Input performance scores per active criterion. Pre-loaded with case study alternatives from Wahi (2025).</w:t>
            </w:r>
          </w:p>
        </w:tc>
        <w:tc>
          <w:tcPr>
            <w:tcW w:type="dxa" w:w="476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top"/>
          </w:tcPr>
          <w:p>
            <w:pPr>
              <w:spacing w:after="40" w:before="0"/>
              <w:jc w:val="left"/>
            </w:pPr>
            <w:r>
              <w:rPr>
                <w:rFonts w:ascii="Arial" w:cs="Arial" w:eastAsia="Arial" w:hAnsi="Arial"/>
                <w:b/>
                <w:bCs/>
                <w:i w:val="false"/>
                <w:iCs w:val="false"/>
                <w:color w:val="1A1A1A"/>
                <w:sz w:val="20"/>
                <w:szCs w:val="20"/>
              </w:rPr>
              <w:t xml:space="preserve">Pairwise comparison (AHP)</w:t>
            </w:r>
          </w:p>
          <w:p>
            <w:pPr>
              <w:spacing w:after="80" w:before="0"/>
              <w:jc w:val="left"/>
            </w:pPr>
            <w:r>
              <w:rPr>
                <w:rFonts w:ascii="Arial" w:cs="Arial" w:eastAsia="Arial" w:hAnsi="Arial"/>
                <w:b w:val="false"/>
                <w:bCs w:val="false"/>
                <w:i w:val="false"/>
                <w:iCs w:val="false"/>
                <w:color w:val="555555"/>
                <w:sz w:val="18"/>
                <w:szCs w:val="18"/>
              </w:rPr>
              <w:t xml:space="preserve">Saaty 1–9 slider interface for all criterion pairs. Computes normalised weights via eigenvector method. Displays consistency ratio (CR) with pass/fail indicator at CR ≤ 0.1.</w:t>
            </w:r>
          </w:p>
        </w:tc>
      </w:tr>
    </w:tbl>
    <w:p>
      <w:pPr>
        <w:spacing w:after="40" w:before="0"/>
        <w:jc w:val="left"/>
      </w:pPr>
      <w:r>
        <w:rPr>
          <w:rFonts w:ascii="Arial" w:cs="Arial" w:eastAsia="Arial" w:hAnsi="Arial"/>
          <w:b w:val="false"/>
          <w:bCs w:val="false"/>
          <w:i w:val="false"/>
          <w:iCs w:val="false"/>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00"/>
        <w:gridCol w:w="4760"/>
      </w:tblGrid>
      <w:tr>
        <w:tc>
          <w:tcPr>
            <w:tcW w:type="dxa" w:w="46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top"/>
          </w:tcPr>
          <w:p>
            <w:pPr>
              <w:spacing w:after="40" w:before="0"/>
              <w:jc w:val="left"/>
            </w:pPr>
            <w:r>
              <w:rPr>
                <w:rFonts w:ascii="Arial" w:cs="Arial" w:eastAsia="Arial" w:hAnsi="Arial"/>
                <w:b/>
                <w:bCs/>
                <w:i w:val="false"/>
                <w:iCs w:val="false"/>
                <w:color w:val="1A1A1A"/>
                <w:sz w:val="20"/>
                <w:szCs w:val="20"/>
              </w:rPr>
              <w:t xml:space="preserve">Socratic priority elicitation</w:t>
            </w:r>
          </w:p>
          <w:p>
            <w:pPr>
              <w:spacing w:after="80" w:before="0"/>
              <w:jc w:val="left"/>
            </w:pPr>
            <w:r>
              <w:rPr>
                <w:rFonts w:ascii="Arial" w:cs="Arial" w:eastAsia="Arial" w:hAnsi="Arial"/>
                <w:b w:val="false"/>
                <w:bCs w:val="false"/>
                <w:i w:val="false"/>
                <w:iCs w:val="false"/>
                <w:color w:val="555555"/>
                <w:sz w:val="18"/>
                <w:szCs w:val="18"/>
              </w:rPr>
              <w:t xml:space="preserve">AI-powered conversational mode that asks one probing question at a time, surfaces stakeholder values and trade-offs, then synthesises the dialogue into criteria weights automatically.</w:t>
            </w:r>
          </w:p>
        </w:tc>
        <w:tc>
          <w:tcPr>
            <w:tcW w:type="dxa" w:w="476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top"/>
          </w:tcPr>
          <w:p>
            <w:pPr>
              <w:spacing w:after="40" w:before="0"/>
              <w:jc w:val="left"/>
            </w:pPr>
            <w:r>
              <w:rPr>
                <w:rFonts w:ascii="Arial" w:cs="Arial" w:eastAsia="Arial" w:hAnsi="Arial"/>
                <w:b/>
                <w:bCs/>
                <w:i w:val="false"/>
                <w:iCs w:val="false"/>
                <w:color w:val="1A1A1A"/>
                <w:sz w:val="20"/>
                <w:szCs w:val="20"/>
              </w:rPr>
              <w:t xml:space="preserve">TOPSIS ranking</w:t>
            </w:r>
          </w:p>
          <w:p>
            <w:pPr>
              <w:spacing w:after="80" w:before="0"/>
              <w:jc w:val="left"/>
            </w:pPr>
            <w:r>
              <w:rPr>
                <w:rFonts w:ascii="Arial" w:cs="Arial" w:eastAsia="Arial" w:hAnsi="Arial"/>
                <w:b w:val="false"/>
                <w:bCs w:val="false"/>
                <w:i w:val="false"/>
                <w:iCs w:val="false"/>
                <w:color w:val="555555"/>
                <w:sz w:val="18"/>
                <w:szCs w:val="18"/>
              </w:rPr>
              <w:t xml:space="preserve">Full TOPSIS implementation: decision matrix, column normalisation, weighted normalisation, positive/negative ideal solutions, Euclidean distances, closeness index, and ranked output.</w:t>
            </w:r>
          </w:p>
        </w:tc>
      </w:tr>
    </w:tbl>
    <w:p>
      <w:pPr>
        <w:spacing w:after="160" w:before="0"/>
        <w:jc w:val="left"/>
      </w:pPr>
      <w:r>
        <w:rPr>
          <w:rFonts w:ascii="Arial" w:cs="Arial" w:eastAsia="Arial" w:hAnsi="Arial"/>
          <w:b w:val="false"/>
          <w:bCs w:val="false"/>
          <w:i w:val="false"/>
          <w:iCs w:val="false"/>
          <w:color w:val="1A1A1A"/>
          <w:sz w:val="20"/>
          <w:szCs w:val="20"/>
        </w:rPr>
        <w:t xml:space="preserve"/>
      </w:r>
    </w:p>
    <w:p>
      <w:pPr>
        <w:pBdr>
          <w:top w:val="single" w:color="CCCCCC" w:sz="4" w:space="8"/>
        </w:pBdr>
        <w:spacing w:after="120" w:before="320"/>
      </w:pPr>
      <w:r>
        <w:rPr>
          <w:rFonts w:ascii="Arial" w:cs="Arial" w:eastAsia="Arial" w:hAnsi="Arial"/>
          <w:b w:val="false"/>
          <w:bCs w:val="false"/>
          <w:color w:val="888888"/>
          <w:sz w:val="18"/>
          <w:szCs w:val="18"/>
        </w:rPr>
        <w:t xml:space="preserve">05 — FEATURE PRIORITISATION</w:t>
      </w:r>
    </w:p>
    <w:p>
      <w:pPr>
        <w:pStyle w:val="ListParagraph"/>
        <w:numPr>
          <w:ilvl w:val="0"/>
          <w:numId w:val="2"/>
        </w:numPr>
        <w:spacing w:after="40" w:before="40"/>
      </w:pPr>
      <w:r>
        <w:rPr>
          <w:rFonts w:ascii="Arial" w:cs="Arial" w:eastAsia="Arial" w:hAnsi="Arial"/>
          <w:color w:val="555555"/>
          <w:sz w:val="19"/>
          <w:szCs w:val="19"/>
        </w:rPr>
        <w:t xml:space="preserve">Pre-loaded C1–C13 criteria with pillar grouping and direction</w:t>
      </w:r>
      <w:r>
        <w:t xml:space="preserve">  </w:t>
      </w:r>
      <w:r>
        <w:rPr>
          <w:rFonts w:ascii="Arial" w:cs="Arial" w:eastAsia="Arial" w:hAnsi="Arial"/>
          <w:b/>
          <w:bCs/>
          <w:color w:val="A32D2D"/>
          <w:sz w:val="17"/>
          <w:szCs w:val="17"/>
        </w:rPr>
        <w:t xml:space="preserve">P1 — MVP</w:t>
      </w:r>
    </w:p>
    <w:p>
      <w:pPr>
        <w:pStyle w:val="ListParagraph"/>
        <w:numPr>
          <w:ilvl w:val="0"/>
          <w:numId w:val="2"/>
        </w:numPr>
        <w:spacing w:after="40" w:before="40"/>
      </w:pPr>
      <w:r>
        <w:rPr>
          <w:rFonts w:ascii="Arial" w:cs="Arial" w:eastAsia="Arial" w:hAnsi="Arial"/>
          <w:color w:val="555555"/>
          <w:sz w:val="19"/>
          <w:szCs w:val="19"/>
        </w:rPr>
        <w:t xml:space="preserve">Toggle criteria active/inactive; mandatory gate enforcement for C1 and C10</w:t>
      </w:r>
      <w:r>
        <w:t xml:space="preserve">  </w:t>
      </w:r>
      <w:r>
        <w:rPr>
          <w:rFonts w:ascii="Arial" w:cs="Arial" w:eastAsia="Arial" w:hAnsi="Arial"/>
          <w:b/>
          <w:bCs/>
          <w:color w:val="A32D2D"/>
          <w:sz w:val="17"/>
          <w:szCs w:val="17"/>
        </w:rPr>
        <w:t xml:space="preserve">P1 — MVP</w:t>
      </w:r>
    </w:p>
    <w:p>
      <w:pPr>
        <w:pStyle w:val="ListParagraph"/>
        <w:numPr>
          <w:ilvl w:val="0"/>
          <w:numId w:val="2"/>
        </w:numPr>
        <w:spacing w:after="40" w:before="40"/>
      </w:pPr>
      <w:r>
        <w:rPr>
          <w:rFonts w:ascii="Arial" w:cs="Arial" w:eastAsia="Arial" w:hAnsi="Arial"/>
          <w:color w:val="555555"/>
          <w:sz w:val="19"/>
          <w:szCs w:val="19"/>
        </w:rPr>
        <w:t xml:space="preserve">Add and delete custom KPIs with full configuration</w:t>
      </w:r>
      <w:r>
        <w:t xml:space="preserve">  </w:t>
      </w:r>
      <w:r>
        <w:rPr>
          <w:rFonts w:ascii="Arial" w:cs="Arial" w:eastAsia="Arial" w:hAnsi="Arial"/>
          <w:b/>
          <w:bCs/>
          <w:color w:val="A32D2D"/>
          <w:sz w:val="17"/>
          <w:szCs w:val="17"/>
        </w:rPr>
        <w:t xml:space="preserve">P1 — MVP</w:t>
      </w:r>
    </w:p>
    <w:p>
      <w:pPr>
        <w:pStyle w:val="ListParagraph"/>
        <w:numPr>
          <w:ilvl w:val="0"/>
          <w:numId w:val="2"/>
        </w:numPr>
        <w:spacing w:after="40" w:before="40"/>
      </w:pPr>
      <w:r>
        <w:rPr>
          <w:rFonts w:ascii="Arial" w:cs="Arial" w:eastAsia="Arial" w:hAnsi="Arial"/>
          <w:color w:val="555555"/>
          <w:sz w:val="19"/>
          <w:szCs w:val="19"/>
        </w:rPr>
        <w:t xml:space="preserve">Renovation alternatives with performance score input per active criterion</w:t>
      </w:r>
      <w:r>
        <w:t xml:space="preserve">  </w:t>
      </w:r>
      <w:r>
        <w:rPr>
          <w:rFonts w:ascii="Arial" w:cs="Arial" w:eastAsia="Arial" w:hAnsi="Arial"/>
          <w:b/>
          <w:bCs/>
          <w:color w:val="A32D2D"/>
          <w:sz w:val="17"/>
          <w:szCs w:val="17"/>
        </w:rPr>
        <w:t xml:space="preserve">P1 — MVP</w:t>
      </w:r>
    </w:p>
    <w:p>
      <w:pPr>
        <w:pStyle w:val="ListParagraph"/>
        <w:numPr>
          <w:ilvl w:val="0"/>
          <w:numId w:val="2"/>
        </w:numPr>
        <w:spacing w:after="40" w:before="40"/>
      </w:pPr>
      <w:r>
        <w:rPr>
          <w:rFonts w:ascii="Arial" w:cs="Arial" w:eastAsia="Arial" w:hAnsi="Arial"/>
          <w:color w:val="555555"/>
          <w:sz w:val="19"/>
          <w:szCs w:val="19"/>
        </w:rPr>
        <w:t xml:space="preserve">Pairwise comparison (AHP) with Saaty sliders and consistency ratio</w:t>
      </w:r>
      <w:r>
        <w:t xml:space="preserve">  </w:t>
      </w:r>
      <w:r>
        <w:rPr>
          <w:rFonts w:ascii="Arial" w:cs="Arial" w:eastAsia="Arial" w:hAnsi="Arial"/>
          <w:b/>
          <w:bCs/>
          <w:color w:val="A32D2D"/>
          <w:sz w:val="17"/>
          <w:szCs w:val="17"/>
        </w:rPr>
        <w:t xml:space="preserve">P1 — MVP</w:t>
      </w:r>
    </w:p>
    <w:p>
      <w:pPr>
        <w:pStyle w:val="ListParagraph"/>
        <w:numPr>
          <w:ilvl w:val="0"/>
          <w:numId w:val="2"/>
        </w:numPr>
        <w:spacing w:after="40" w:before="40"/>
      </w:pPr>
      <w:r>
        <w:rPr>
          <w:rFonts w:ascii="Arial" w:cs="Arial" w:eastAsia="Arial" w:hAnsi="Arial"/>
          <w:color w:val="555555"/>
          <w:sz w:val="19"/>
          <w:szCs w:val="19"/>
        </w:rPr>
        <w:t xml:space="preserve">TOPSIS ranking with closeness index and D+/D- display</w:t>
      </w:r>
      <w:r>
        <w:t xml:space="preserve">  </w:t>
      </w:r>
      <w:r>
        <w:rPr>
          <w:rFonts w:ascii="Arial" w:cs="Arial" w:eastAsia="Arial" w:hAnsi="Arial"/>
          <w:b/>
          <w:bCs/>
          <w:color w:val="A32D2D"/>
          <w:sz w:val="17"/>
          <w:szCs w:val="17"/>
        </w:rPr>
        <w:t xml:space="preserve">P1 — MVP</w:t>
      </w:r>
    </w:p>
    <w:p>
      <w:pPr>
        <w:pStyle w:val="ListParagraph"/>
        <w:numPr>
          <w:ilvl w:val="0"/>
          <w:numId w:val="2"/>
        </w:numPr>
        <w:spacing w:after="40" w:before="40"/>
      </w:pPr>
      <w:r>
        <w:rPr>
          <w:rFonts w:ascii="Arial" w:cs="Arial" w:eastAsia="Arial" w:hAnsi="Arial"/>
          <w:color w:val="555555"/>
          <w:sz w:val="19"/>
          <w:szCs w:val="19"/>
        </w:rPr>
        <w:t xml:space="preserve">Socratic AI conversation for priority elicitation and weight derivation</w:t>
      </w:r>
      <w:r>
        <w:t xml:space="preserve">  </w:t>
      </w:r>
      <w:r>
        <w:rPr>
          <w:rFonts w:ascii="Arial" w:cs="Arial" w:eastAsia="Arial" w:hAnsi="Arial"/>
          <w:b/>
          <w:bCs/>
          <w:color w:val="A32D2D"/>
          <w:sz w:val="17"/>
          <w:szCs w:val="17"/>
        </w:rPr>
        <w:t xml:space="preserve">P1 — MVP</w:t>
      </w:r>
    </w:p>
    <w:p>
      <w:pPr>
        <w:pStyle w:val="ListParagraph"/>
        <w:numPr>
          <w:ilvl w:val="0"/>
          <w:numId w:val="2"/>
        </w:numPr>
        <w:spacing w:after="40" w:before="40"/>
      </w:pPr>
      <w:r>
        <w:rPr>
          <w:rFonts w:ascii="Arial" w:cs="Arial" w:eastAsia="Arial" w:hAnsi="Arial"/>
          <w:color w:val="555555"/>
          <w:sz w:val="19"/>
          <w:szCs w:val="19"/>
        </w:rPr>
        <w:t xml:space="preserve">Session export as PDF report (criteria, weights, ranking, conversation)</w:t>
      </w:r>
      <w:r>
        <w:t xml:space="preserve">  </w:t>
      </w:r>
      <w:r>
        <w:rPr>
          <w:rFonts w:ascii="Arial" w:cs="Arial" w:eastAsia="Arial" w:hAnsi="Arial"/>
          <w:b/>
          <w:bCs/>
          <w:color w:val="854F0B"/>
          <w:sz w:val="17"/>
          <w:szCs w:val="17"/>
        </w:rPr>
        <w:t xml:space="preserve">P2 — V1.5</w:t>
      </w:r>
    </w:p>
    <w:p>
      <w:pPr>
        <w:pStyle w:val="ListParagraph"/>
        <w:numPr>
          <w:ilvl w:val="0"/>
          <w:numId w:val="2"/>
        </w:numPr>
        <w:spacing w:after="40" w:before="40"/>
      </w:pPr>
      <w:r>
        <w:rPr>
          <w:rFonts w:ascii="Arial" w:cs="Arial" w:eastAsia="Arial" w:hAnsi="Arial"/>
          <w:color w:val="555555"/>
          <w:sz w:val="19"/>
          <w:szCs w:val="19"/>
        </w:rPr>
        <w:t xml:space="preserve">Multiple stakeholder profiles with individual pairwise comparisons and aggregated weights</w:t>
      </w:r>
      <w:r>
        <w:t xml:space="preserve">  </w:t>
      </w:r>
      <w:r>
        <w:rPr>
          <w:rFonts w:ascii="Arial" w:cs="Arial" w:eastAsia="Arial" w:hAnsi="Arial"/>
          <w:b/>
          <w:bCs/>
          <w:color w:val="854F0B"/>
          <w:sz w:val="17"/>
          <w:szCs w:val="17"/>
        </w:rPr>
        <w:t xml:space="preserve">P2 — V1.5</w:t>
      </w:r>
    </w:p>
    <w:p>
      <w:pPr>
        <w:pStyle w:val="ListParagraph"/>
        <w:numPr>
          <w:ilvl w:val="0"/>
          <w:numId w:val="2"/>
        </w:numPr>
        <w:spacing w:after="40" w:before="40"/>
      </w:pPr>
      <w:r>
        <w:rPr>
          <w:rFonts w:ascii="Arial" w:cs="Arial" w:eastAsia="Arial" w:hAnsi="Arial"/>
          <w:color w:val="555555"/>
          <w:sz w:val="19"/>
          <w:szCs w:val="19"/>
        </w:rPr>
        <w:t xml:space="preserve">Sensitivity analysis: vary weights and observe ranking stability</w:t>
      </w:r>
      <w:r>
        <w:t xml:space="preserve">  </w:t>
      </w:r>
      <w:r>
        <w:rPr>
          <w:rFonts w:ascii="Arial" w:cs="Arial" w:eastAsia="Arial" w:hAnsi="Arial"/>
          <w:b/>
          <w:bCs/>
          <w:color w:val="854F0B"/>
          <w:sz w:val="17"/>
          <w:szCs w:val="17"/>
        </w:rPr>
        <w:t xml:space="preserve">P2 — V1.5</w:t>
      </w:r>
    </w:p>
    <w:p>
      <w:pPr>
        <w:pStyle w:val="ListParagraph"/>
        <w:numPr>
          <w:ilvl w:val="0"/>
          <w:numId w:val="2"/>
        </w:numPr>
        <w:spacing w:after="40" w:before="40"/>
      </w:pPr>
      <w:r>
        <w:rPr>
          <w:rFonts w:ascii="Arial" w:cs="Arial" w:eastAsia="Arial" w:hAnsi="Arial"/>
          <w:color w:val="555555"/>
          <w:sz w:val="19"/>
          <w:szCs w:val="19"/>
        </w:rPr>
        <w:t xml:space="preserve">Simulation data import from DIVA / EnergyPlus exports</w:t>
      </w:r>
      <w:r>
        <w:t xml:space="preserve">  </w:t>
      </w:r>
      <w:r>
        <w:rPr>
          <w:rFonts w:ascii="Arial" w:cs="Arial" w:eastAsia="Arial" w:hAnsi="Arial"/>
          <w:b/>
          <w:bCs/>
          <w:color w:val="854F0B"/>
          <w:sz w:val="17"/>
          <w:szCs w:val="17"/>
        </w:rPr>
        <w:t xml:space="preserve">P2 — V1.5</w:t>
      </w:r>
    </w:p>
    <w:p>
      <w:pPr>
        <w:pStyle w:val="ListParagraph"/>
        <w:numPr>
          <w:ilvl w:val="0"/>
          <w:numId w:val="2"/>
        </w:numPr>
        <w:spacing w:after="40" w:before="40"/>
      </w:pPr>
      <w:r>
        <w:rPr>
          <w:rFonts w:ascii="Arial" w:cs="Arial" w:eastAsia="Arial" w:hAnsi="Arial"/>
          <w:color w:val="555555"/>
          <w:sz w:val="19"/>
          <w:szCs w:val="19"/>
        </w:rPr>
        <w:t xml:space="preserve">Project save/load with named sessions and persistent state</w:t>
      </w:r>
      <w:r>
        <w:t xml:space="preserve">  </w:t>
      </w:r>
      <w:r>
        <w:rPr>
          <w:rFonts w:ascii="Arial" w:cs="Arial" w:eastAsia="Arial" w:hAnsi="Arial"/>
          <w:b/>
          <w:bCs/>
          <w:color w:val="3B6D11"/>
          <w:sz w:val="17"/>
          <w:szCs w:val="17"/>
        </w:rPr>
        <w:t xml:space="preserve">P3 — V2</w:t>
      </w:r>
    </w:p>
    <w:p>
      <w:pPr>
        <w:pStyle w:val="ListParagraph"/>
        <w:numPr>
          <w:ilvl w:val="0"/>
          <w:numId w:val="2"/>
        </w:numPr>
        <w:spacing w:after="40" w:before="40"/>
      </w:pPr>
      <w:r>
        <w:rPr>
          <w:rFonts w:ascii="Arial" w:cs="Arial" w:eastAsia="Arial" w:hAnsi="Arial"/>
          <w:color w:val="555555"/>
          <w:sz w:val="19"/>
          <w:szCs w:val="19"/>
        </w:rPr>
        <w:t xml:space="preserve">Multi-project portfolio view for housing corporations</w:t>
      </w:r>
      <w:r>
        <w:t xml:space="preserve">  </w:t>
      </w:r>
      <w:r>
        <w:rPr>
          <w:rFonts w:ascii="Arial" w:cs="Arial" w:eastAsia="Arial" w:hAnsi="Arial"/>
          <w:b/>
          <w:bCs/>
          <w:color w:val="3B6D11"/>
          <w:sz w:val="17"/>
          <w:szCs w:val="17"/>
        </w:rPr>
        <w:t xml:space="preserve">P3 — V2</w:t>
      </w:r>
    </w:p>
    <w:p>
      <w:pPr>
        <w:pStyle w:val="ListParagraph"/>
        <w:numPr>
          <w:ilvl w:val="0"/>
          <w:numId w:val="2"/>
        </w:numPr>
        <w:spacing w:after="40" w:before="40"/>
      </w:pPr>
      <w:r>
        <w:rPr>
          <w:rFonts w:ascii="Arial" w:cs="Arial" w:eastAsia="Arial" w:hAnsi="Arial"/>
          <w:color w:val="555555"/>
          <w:sz w:val="19"/>
          <w:szCs w:val="19"/>
        </w:rPr>
        <w:t xml:space="preserve">Dutch language localisation</w:t>
      </w:r>
      <w:r>
        <w:t xml:space="preserve">  </w:t>
      </w:r>
      <w:r>
        <w:rPr>
          <w:rFonts w:ascii="Arial" w:cs="Arial" w:eastAsia="Arial" w:hAnsi="Arial"/>
          <w:b/>
          <w:bCs/>
          <w:color w:val="3B6D11"/>
          <w:sz w:val="17"/>
          <w:szCs w:val="17"/>
        </w:rPr>
        <w:t xml:space="preserve">P3 — V2</w:t>
      </w:r>
    </w:p>
    <w:p>
      <w:pPr>
        <w:pStyle w:val="ListParagraph"/>
        <w:numPr>
          <w:ilvl w:val="0"/>
          <w:numId w:val="2"/>
        </w:numPr>
        <w:spacing w:after="40" w:before="40"/>
      </w:pPr>
      <w:r>
        <w:rPr>
          <w:rFonts w:ascii="Arial" w:cs="Arial" w:eastAsia="Arial" w:hAnsi="Arial"/>
          <w:color w:val="555555"/>
          <w:sz w:val="19"/>
          <w:szCs w:val="19"/>
        </w:rPr>
        <w:t xml:space="preserve">Integration with BENG/EP-Online APIs for automatic score population</w:t>
      </w:r>
      <w:r>
        <w:t xml:space="preserve">  </w:t>
      </w:r>
      <w:r>
        <w:rPr>
          <w:rFonts w:ascii="Arial" w:cs="Arial" w:eastAsia="Arial" w:hAnsi="Arial"/>
          <w:b/>
          <w:bCs/>
          <w:color w:val="3B6D11"/>
          <w:sz w:val="17"/>
          <w:szCs w:val="17"/>
        </w:rPr>
        <w:t xml:space="preserve">P3 — V2</w:t>
      </w:r>
    </w:p>
    <w:p>
      <w:pPr>
        <w:spacing w:after="80" w:before="0"/>
        <w:jc w:val="left"/>
      </w:pPr>
      <w:r>
        <w:rPr>
          <w:rFonts w:ascii="Arial" w:cs="Arial" w:eastAsia="Arial" w:hAnsi="Arial"/>
          <w:b w:val="false"/>
          <w:bCs w:val="false"/>
          <w:i w:val="false"/>
          <w:iCs w:val="false"/>
          <w:color w:val="1A1A1A"/>
          <w:sz w:val="20"/>
          <w:szCs w:val="20"/>
        </w:rPr>
        <w:t xml:space="preserve"/>
      </w:r>
    </w:p>
    <w:p>
      <w:pPr>
        <w:pBdr>
          <w:top w:val="single" w:color="CCCCCC" w:sz="4" w:space="8"/>
        </w:pBdr>
        <w:spacing w:after="120" w:before="320"/>
      </w:pPr>
      <w:r>
        <w:rPr>
          <w:rFonts w:ascii="Arial" w:cs="Arial" w:eastAsia="Arial" w:hAnsi="Arial"/>
          <w:b w:val="false"/>
          <w:bCs w:val="false"/>
          <w:color w:val="888888"/>
          <w:sz w:val="18"/>
          <w:szCs w:val="18"/>
        </w:rPr>
        <w:t xml:space="preserve">06 — DECISION CRITERIA STRUCTURE</w:t>
      </w:r>
    </w:p>
    <w:p>
      <w:pPr>
        <w:spacing w:after="120" w:before="0"/>
        <w:jc w:val="left"/>
      </w:pPr>
      <w:r>
        <w:rPr>
          <w:rFonts w:ascii="Arial" w:cs="Arial" w:eastAsia="Arial" w:hAnsi="Arial"/>
          <w:b w:val="false"/>
          <w:bCs w:val="false"/>
          <w:i w:val="false"/>
          <w:iCs w:val="false"/>
          <w:color w:val="555555"/>
          <w:sz w:val="19"/>
          <w:szCs w:val="19"/>
        </w:rPr>
        <w:t xml:space="preserve">The tool implements the three-level decision tree from Chapter 5 of Wahi (2025). C1 and C10 are non-negotiable LTH readiness gates per Section 5.3.2 — alternatives failing these benchmarks should be filtered before the TOPSIS step.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CCCCCC" w:sz="1"/>
              <w:left w:val="single" w:color="CCCCCC" w:sz="1"/>
              <w:bottom w:val="single" w:color="CCCCCC" w:sz="1"/>
              <w:right w:val="single" w:color="CCCCCC" w:sz="1"/>
            </w:tcBorders>
            <w:shd w:fill="EAF3DE" w:val="clear"/>
            <w:tcMar>
              <w:top w:type="dxa" w:w="100"/>
              <w:left w:type="dxa" w:w="140"/>
              <w:bottom w:type="dxa" w:w="100"/>
              <w:right w:type="dxa" w:w="140"/>
            </w:tcMar>
            <w:vAlign w:val="top"/>
          </w:tcPr>
          <w:p>
            <w:pPr>
              <w:spacing w:after="80" w:before="0"/>
              <w:jc w:val="left"/>
            </w:pPr>
            <w:r>
              <w:rPr>
                <w:rFonts w:ascii="Arial" w:cs="Arial" w:eastAsia="Arial" w:hAnsi="Arial"/>
                <w:b/>
                <w:bCs/>
                <w:i w:val="false"/>
                <w:iCs w:val="false"/>
                <w:color w:val="3B6D11"/>
                <w:sz w:val="18"/>
                <w:szCs w:val="18"/>
              </w:rPr>
              <w:t xml:space="preserve">Environmental</w:t>
            </w:r>
          </w:p>
        </w:tc>
        <w:tc>
          <w:tcPr>
            <w:tcW w:type="dxa" w:w="7960"/>
            <w:tcBorders>
              <w:top w:val="single" w:color="CCCCCC" w:sz="1"/>
              <w:left w:val="single" w:color="CCCCCC" w:sz="1"/>
              <w:bottom w:val="single" w:color="CCCCCC" w:sz="1"/>
              <w:right w:val="single" w:color="CCCCCC" w:sz="1"/>
            </w:tcBorders>
            <w:shd w:fill="EAF3DE" w:val="clear"/>
            <w:tcMar>
              <w:top w:type="dxa" w:w="100"/>
              <w:left w:type="dxa" w:w="140"/>
              <w:bottom w:type="dxa" w:w="100"/>
              <w:right w:type="dxa" w:w="140"/>
            </w:tcMar>
            <w:vAlign w:val="top"/>
          </w:tcPr>
          <w:p>
            <w:pPr>
              <w:spacing w:after="80" w:before="0"/>
              <w:jc w:val="left"/>
            </w:pPr>
            <w:r>
              <w:rPr>
                <w:rFonts w:ascii="Arial" w:cs="Arial" w:eastAsia="Arial" w:hAnsi="Arial"/>
                <w:b w:val="false"/>
                <w:bCs w:val="false"/>
                <w:i w:val="false"/>
                <w:iCs w:val="false"/>
                <w:color w:val="555555"/>
                <w:sz w:val="18"/>
                <w:szCs w:val="18"/>
              </w:rPr>
              <w:t xml:space="preserve">C1 Space heating demand · C2 Energy label · C3 Energy index · C4 Renewable energy share · C5 Gas savings</w:t>
            </w:r>
          </w:p>
        </w:tc>
      </w:tr>
      <w:tr>
        <w:tc>
          <w:tcPr>
            <w:tcW w:type="dxa" w:w="1400"/>
            <w:tcBorders>
              <w:top w:val="single" w:color="CCCCCC" w:sz="1"/>
              <w:left w:val="single" w:color="CCCCCC" w:sz="1"/>
              <w:bottom w:val="single" w:color="CCCCCC" w:sz="1"/>
              <w:right w:val="single" w:color="CCCCCC" w:sz="1"/>
            </w:tcBorders>
            <w:shd w:fill="FAEEDA" w:val="clear"/>
            <w:tcMar>
              <w:top w:type="dxa" w:w="100"/>
              <w:left w:type="dxa" w:w="140"/>
              <w:bottom w:type="dxa" w:w="100"/>
              <w:right w:type="dxa" w:w="140"/>
            </w:tcMar>
            <w:vAlign w:val="top"/>
          </w:tcPr>
          <w:p>
            <w:pPr>
              <w:spacing w:after="80" w:before="0"/>
              <w:jc w:val="left"/>
            </w:pPr>
            <w:r>
              <w:rPr>
                <w:rFonts w:ascii="Arial" w:cs="Arial" w:eastAsia="Arial" w:hAnsi="Arial"/>
                <w:b/>
                <w:bCs/>
                <w:i w:val="false"/>
                <w:iCs w:val="false"/>
                <w:color w:val="854F0B"/>
                <w:sz w:val="18"/>
                <w:szCs w:val="18"/>
              </w:rPr>
              <w:t xml:space="preserve">Economic</w:t>
            </w:r>
          </w:p>
        </w:tc>
        <w:tc>
          <w:tcPr>
            <w:tcW w:type="dxa" w:w="7960"/>
            <w:tcBorders>
              <w:top w:val="single" w:color="CCCCCC" w:sz="1"/>
              <w:left w:val="single" w:color="CCCCCC" w:sz="1"/>
              <w:bottom w:val="single" w:color="CCCCCC" w:sz="1"/>
              <w:right w:val="single" w:color="CCCCCC" w:sz="1"/>
            </w:tcBorders>
            <w:shd w:fill="FAEEDA" w:val="clear"/>
            <w:tcMar>
              <w:top w:type="dxa" w:w="100"/>
              <w:left w:type="dxa" w:w="140"/>
              <w:bottom w:type="dxa" w:w="100"/>
              <w:right w:type="dxa" w:w="140"/>
            </w:tcMar>
            <w:vAlign w:val="top"/>
          </w:tcPr>
          <w:p>
            <w:pPr>
              <w:spacing w:after="80" w:before="0"/>
              <w:jc w:val="left"/>
            </w:pPr>
            <w:r>
              <w:rPr>
                <w:rFonts w:ascii="Arial" w:cs="Arial" w:eastAsia="Arial" w:hAnsi="Arial"/>
                <w:b w:val="false"/>
                <w:bCs w:val="false"/>
                <w:i w:val="false"/>
                <w:iCs w:val="false"/>
                <w:color w:val="555555"/>
                <w:sz w:val="18"/>
                <w:szCs w:val="18"/>
              </w:rPr>
              <w:t xml:space="preserve">C6 Investment costs · C7 Cost per label step · C8 Life cycle costs (30yr) · C9 Payback period</w:t>
            </w:r>
          </w:p>
        </w:tc>
      </w:tr>
      <w:tr>
        <w:tc>
          <w:tcPr>
            <w:tcW w:type="dxa" w:w="1400"/>
            <w:tcBorders>
              <w:top w:val="single" w:color="CCCCCC" w:sz="1"/>
              <w:left w:val="single" w:color="CCCCCC" w:sz="1"/>
              <w:bottom w:val="single" w:color="CCCCCC" w:sz="1"/>
              <w:right w:val="single" w:color="CCCCCC" w:sz="1"/>
            </w:tcBorders>
            <w:shd w:fill="E6F1FB" w:val="clear"/>
            <w:tcMar>
              <w:top w:type="dxa" w:w="100"/>
              <w:left w:type="dxa" w:w="140"/>
              <w:bottom w:type="dxa" w:w="100"/>
              <w:right w:type="dxa" w:w="140"/>
            </w:tcMar>
            <w:vAlign w:val="top"/>
          </w:tcPr>
          <w:p>
            <w:pPr>
              <w:spacing w:after="80" w:before="0"/>
              <w:jc w:val="left"/>
            </w:pPr>
            <w:r>
              <w:rPr>
                <w:rFonts w:ascii="Arial" w:cs="Arial" w:eastAsia="Arial" w:hAnsi="Arial"/>
                <w:b/>
                <w:bCs/>
                <w:i w:val="false"/>
                <w:iCs w:val="false"/>
                <w:color w:val="185FA5"/>
                <w:sz w:val="18"/>
                <w:szCs w:val="18"/>
              </w:rPr>
              <w:t xml:space="preserve">Social</w:t>
            </w:r>
          </w:p>
        </w:tc>
        <w:tc>
          <w:tcPr>
            <w:tcW w:type="dxa" w:w="7960"/>
            <w:tcBorders>
              <w:top w:val="single" w:color="CCCCCC" w:sz="1"/>
              <w:left w:val="single" w:color="CCCCCC" w:sz="1"/>
              <w:bottom w:val="single" w:color="CCCCCC" w:sz="1"/>
              <w:right w:val="single" w:color="CCCCCC" w:sz="1"/>
            </w:tcBorders>
            <w:shd w:fill="E6F1FB" w:val="clear"/>
            <w:tcMar>
              <w:top w:type="dxa" w:w="100"/>
              <w:left w:type="dxa" w:w="140"/>
              <w:bottom w:type="dxa" w:w="100"/>
              <w:right w:type="dxa" w:w="140"/>
            </w:tcMar>
            <w:vAlign w:val="top"/>
          </w:tcPr>
          <w:p>
            <w:pPr>
              <w:spacing w:after="80" w:before="0"/>
              <w:jc w:val="left"/>
            </w:pPr>
            <w:r>
              <w:rPr>
                <w:rFonts w:ascii="Arial" w:cs="Arial" w:eastAsia="Arial" w:hAnsi="Arial"/>
                <w:b w:val="false"/>
                <w:bCs w:val="false"/>
                <w:i w:val="false"/>
                <w:iCs w:val="false"/>
                <w:color w:val="555555"/>
                <w:sz w:val="18"/>
                <w:szCs w:val="18"/>
              </w:rPr>
              <w:t xml:space="preserve">C10 Thermal comfort · C11 Renovation nuisance · C12 Energy cost savings · C13 Rent increment</w:t>
            </w:r>
          </w:p>
        </w:tc>
      </w:tr>
    </w:tbl>
    <w:p>
      <w:pPr>
        <w:spacing w:after="80" w:before="0"/>
        <w:jc w:val="left"/>
      </w:pPr>
      <w:r>
        <w:rPr>
          <w:rFonts w:ascii="Arial" w:cs="Arial" w:eastAsia="Arial" w:hAnsi="Arial"/>
          <w:b w:val="false"/>
          <w:bCs w:val="false"/>
          <w:i w:val="false"/>
          <w:iCs w:val="false"/>
          <w:color w:val="1A1A1A"/>
          <w:sz w:val="20"/>
          <w:szCs w:val="20"/>
        </w:rPr>
        <w:t xml:space="preserve"/>
      </w:r>
    </w:p>
    <w:p>
      <w:pPr>
        <w:pBdr>
          <w:top w:val="single" w:color="CCCCCC" w:sz="4" w:space="8"/>
        </w:pBdr>
        <w:spacing w:after="120" w:before="320"/>
      </w:pPr>
      <w:r>
        <w:rPr>
          <w:rFonts w:ascii="Arial" w:cs="Arial" w:eastAsia="Arial" w:hAnsi="Arial"/>
          <w:b w:val="false"/>
          <w:bCs w:val="false"/>
          <w:color w:val="888888"/>
          <w:sz w:val="18"/>
          <w:szCs w:val="18"/>
        </w:rPr>
        <w:t xml:space="preserve">07 — TECHNICAL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top"/>
          </w:tcPr>
          <w:p>
            <w:pPr>
              <w:spacing w:after="40" w:before="0"/>
              <w:jc w:val="left"/>
            </w:pPr>
            <w:r>
              <w:rPr>
                <w:rFonts w:ascii="Arial" w:cs="Arial" w:eastAsia="Arial" w:hAnsi="Arial"/>
                <w:b/>
                <w:bCs/>
                <w:i w:val="false"/>
                <w:iCs w:val="false"/>
                <w:color w:val="1A1A1A"/>
                <w:sz w:val="20"/>
                <w:szCs w:val="20"/>
              </w:rPr>
              <w:t xml:space="preserve">Frontend</w:t>
            </w:r>
          </w:p>
          <w:p>
            <w:pPr>
              <w:spacing w:after="80" w:before="0"/>
              <w:jc w:val="left"/>
            </w:pPr>
            <w:r>
              <w:rPr>
                <w:rFonts w:ascii="Arial" w:cs="Arial" w:eastAsia="Arial" w:hAnsi="Arial"/>
                <w:b w:val="false"/>
                <w:bCs w:val="false"/>
                <w:i w:val="false"/>
                <w:iCs w:val="false"/>
                <w:color w:val="555555"/>
                <w:sz w:val="18"/>
                <w:szCs w:val="18"/>
              </w:rPr>
              <w:t xml:space="preserve">React + Vite. Single-page app. Component state for session. Deployed as a static site — no server required for MVP.</w:t>
            </w:r>
          </w:p>
        </w:tc>
        <w:tc>
          <w:tcPr>
            <w:tcW w:type="dxa" w:w="312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top"/>
          </w:tcPr>
          <w:p>
            <w:pPr>
              <w:spacing w:after="40" w:before="0"/>
              <w:jc w:val="left"/>
            </w:pPr>
            <w:r>
              <w:rPr>
                <w:rFonts w:ascii="Arial" w:cs="Arial" w:eastAsia="Arial" w:hAnsi="Arial"/>
                <w:b/>
                <w:bCs/>
                <w:i w:val="false"/>
                <w:iCs w:val="false"/>
                <w:color w:val="1A1A1A"/>
                <w:sz w:val="20"/>
                <w:szCs w:val="20"/>
              </w:rPr>
              <w:t xml:space="preserve">AHP engine</w:t>
            </w:r>
          </w:p>
          <w:p>
            <w:pPr>
              <w:spacing w:after="80" w:before="0"/>
              <w:jc w:val="left"/>
            </w:pPr>
            <w:r>
              <w:rPr>
                <w:rFonts w:ascii="Arial" w:cs="Arial" w:eastAsia="Arial" w:hAnsi="Arial"/>
                <w:b w:val="false"/>
                <w:bCs w:val="false"/>
                <w:i w:val="false"/>
                <w:iCs w:val="false"/>
                <w:color w:val="555555"/>
                <w:sz w:val="18"/>
                <w:szCs w:val="18"/>
              </w:rPr>
              <w:t xml:space="preserve">Vanilla JS. Eigenvector method for weight derivation. Consistency ratio via Saaty RI lookup table. Runs fully in-browser.</w:t>
            </w:r>
          </w:p>
        </w:tc>
        <w:tc>
          <w:tcPr>
            <w:tcW w:type="dxa" w:w="312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top"/>
          </w:tcPr>
          <w:p>
            <w:pPr>
              <w:spacing w:after="40" w:before="0"/>
              <w:jc w:val="left"/>
            </w:pPr>
            <w:r>
              <w:rPr>
                <w:rFonts w:ascii="Arial" w:cs="Arial" w:eastAsia="Arial" w:hAnsi="Arial"/>
                <w:b/>
                <w:bCs/>
                <w:i w:val="false"/>
                <w:iCs w:val="false"/>
                <w:color w:val="1A1A1A"/>
                <w:sz w:val="20"/>
                <w:szCs w:val="20"/>
              </w:rPr>
              <w:t xml:space="preserve">TOPSIS engine</w:t>
            </w:r>
          </w:p>
          <w:p>
            <w:pPr>
              <w:spacing w:after="80" w:before="0"/>
              <w:jc w:val="left"/>
            </w:pPr>
            <w:r>
              <w:rPr>
                <w:rFonts w:ascii="Arial" w:cs="Arial" w:eastAsia="Arial" w:hAnsi="Arial"/>
                <w:b w:val="false"/>
                <w:bCs w:val="false"/>
                <w:i w:val="false"/>
                <w:iCs w:val="false"/>
                <w:color w:val="555555"/>
                <w:sz w:val="18"/>
                <w:szCs w:val="18"/>
              </w:rPr>
              <w:t xml:space="preserve">Vanilla JS. Normalisation, weighted matrix, PIS/NIS, Euclidean distances, closeness index. Fully client-side.</w:t>
            </w:r>
          </w:p>
        </w:tc>
      </w:tr>
    </w:tbl>
    <w:p>
      <w:pPr>
        <w:spacing w:after="40" w:before="0"/>
        <w:jc w:val="left"/>
      </w:pPr>
      <w:r>
        <w:rPr>
          <w:rFonts w:ascii="Arial" w:cs="Arial" w:eastAsia="Arial" w:hAnsi="Arial"/>
          <w:b w:val="false"/>
          <w:bCs w:val="false"/>
          <w:i w:val="false"/>
          <w:iCs w:val="false"/>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top"/>
          </w:tcPr>
          <w:p>
            <w:pPr>
              <w:spacing w:after="40" w:before="0"/>
              <w:jc w:val="left"/>
            </w:pPr>
            <w:r>
              <w:rPr>
                <w:rFonts w:ascii="Arial" w:cs="Arial" w:eastAsia="Arial" w:hAnsi="Arial"/>
                <w:b/>
                <w:bCs/>
                <w:i w:val="false"/>
                <w:iCs w:val="false"/>
                <w:color w:val="1A1A1A"/>
                <w:sz w:val="20"/>
                <w:szCs w:val="20"/>
              </w:rPr>
              <w:t xml:space="preserve">AI conversation</w:t>
            </w:r>
          </w:p>
          <w:p>
            <w:pPr>
              <w:spacing w:after="80" w:before="0"/>
              <w:jc w:val="left"/>
            </w:pPr>
            <w:r>
              <w:rPr>
                <w:rFonts w:ascii="Arial" w:cs="Arial" w:eastAsia="Arial" w:hAnsi="Arial"/>
                <w:b w:val="false"/>
                <w:bCs w:val="false"/>
                <w:i w:val="false"/>
                <w:iCs w:val="false"/>
                <w:color w:val="555555"/>
                <w:sz w:val="18"/>
                <w:szCs w:val="18"/>
              </w:rPr>
              <w:t xml:space="preserve">Anthropic Claude Sonnet via /v1/messages. Socratic system prompt tailored to active criteria. Weights extracted via structured XML tag.</w:t>
            </w:r>
          </w:p>
        </w:tc>
        <w:tc>
          <w:tcPr>
            <w:tcW w:type="dxa" w:w="312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top"/>
          </w:tcPr>
          <w:p>
            <w:pPr>
              <w:spacing w:after="40" w:before="0"/>
              <w:jc w:val="left"/>
            </w:pPr>
            <w:r>
              <w:rPr>
                <w:rFonts w:ascii="Arial" w:cs="Arial" w:eastAsia="Arial" w:hAnsi="Arial"/>
                <w:b/>
                <w:bCs/>
                <w:i w:val="false"/>
                <w:iCs w:val="false"/>
                <w:color w:val="1A1A1A"/>
                <w:sz w:val="20"/>
                <w:szCs w:val="20"/>
              </w:rPr>
              <w:t xml:space="preserve">State / storage</w:t>
            </w:r>
          </w:p>
          <w:p>
            <w:pPr>
              <w:spacing w:after="80" w:before="0"/>
              <w:jc w:val="left"/>
            </w:pPr>
            <w:r>
              <w:rPr>
                <w:rFonts w:ascii="Arial" w:cs="Arial" w:eastAsia="Arial" w:hAnsi="Arial"/>
                <w:b w:val="false"/>
                <w:bCs w:val="false"/>
                <w:i w:val="false"/>
                <w:iCs w:val="false"/>
                <w:color w:val="555555"/>
                <w:sz w:val="18"/>
                <w:szCs w:val="18"/>
              </w:rPr>
              <w:t xml:space="preserve">Session auto-saved to localStorage. Named project support planned for V2. No backend required for MVP.</w:t>
            </w:r>
          </w:p>
        </w:tc>
        <w:tc>
          <w:tcPr>
            <w:tcW w:type="dxa" w:w="312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top"/>
          </w:tcPr>
          <w:p>
            <w:pPr>
              <w:spacing w:after="40" w:before="0"/>
              <w:jc w:val="left"/>
            </w:pPr>
            <w:r>
              <w:rPr>
                <w:rFonts w:ascii="Arial" w:cs="Arial" w:eastAsia="Arial" w:hAnsi="Arial"/>
                <w:b/>
                <w:bCs/>
                <w:i w:val="false"/>
                <w:iCs w:val="false"/>
                <w:color w:val="1A1A1A"/>
                <w:sz w:val="20"/>
                <w:szCs w:val="20"/>
              </w:rPr>
              <w:t xml:space="preserve">Export (V1.5)</w:t>
            </w:r>
          </w:p>
          <w:p>
            <w:pPr>
              <w:spacing w:after="80" w:before="0"/>
              <w:jc w:val="left"/>
            </w:pPr>
            <w:r>
              <w:rPr>
                <w:rFonts w:ascii="Arial" w:cs="Arial" w:eastAsia="Arial" w:hAnsi="Arial"/>
                <w:b w:val="false"/>
                <w:bCs w:val="false"/>
                <w:i w:val="false"/>
                <w:iCs w:val="false"/>
                <w:color w:val="555555"/>
                <w:sz w:val="18"/>
                <w:szCs w:val="18"/>
              </w:rPr>
              <w:t xml:space="preserve">Client-side PDF generation via jsPDF. Includes criteria tree, weights, TOPSIS results, and Socratic conversation transcript.</w:t>
            </w:r>
          </w:p>
        </w:tc>
      </w:tr>
    </w:tbl>
    <w:p>
      <w:pPr>
        <w:spacing w:after="160" w:before="0"/>
        <w:jc w:val="left"/>
      </w:pPr>
      <w:r>
        <w:rPr>
          <w:rFonts w:ascii="Arial" w:cs="Arial" w:eastAsia="Arial" w:hAnsi="Arial"/>
          <w:b w:val="false"/>
          <w:bCs w:val="false"/>
          <w:i w:val="false"/>
          <w:iCs w:val="false"/>
          <w:color w:val="1A1A1A"/>
          <w:sz w:val="20"/>
          <w:szCs w:val="20"/>
        </w:rPr>
        <w:t xml:space="preserve"/>
      </w:r>
    </w:p>
    <w:p>
      <w:pPr>
        <w:pBdr>
          <w:top w:val="single" w:color="CCCCCC" w:sz="4" w:space="8"/>
        </w:pBdr>
        <w:spacing w:after="120" w:before="320"/>
      </w:pPr>
      <w:r>
        <w:rPr>
          <w:rFonts w:ascii="Arial" w:cs="Arial" w:eastAsia="Arial" w:hAnsi="Arial"/>
          <w:b w:val="false"/>
          <w:bCs w:val="false"/>
          <w:color w:val="888888"/>
          <w:sz w:val="18"/>
          <w:szCs w:val="18"/>
        </w:rPr>
        <w:t xml:space="preserve">08 — DELIVERY PHASES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top"/>
          </w:tcPr>
          <w:p>
            <w:pPr>
              <w:spacing w:after="80" w:before="0"/>
              <w:jc w:val="left"/>
            </w:pPr>
            <w:r>
              <w:rPr>
                <w:rFonts w:ascii="Arial" w:cs="Arial" w:eastAsia="Arial" w:hAnsi="Arial"/>
                <w:b w:val="false"/>
                <w:bCs w:val="false"/>
                <w:i w:val="false"/>
                <w:iCs w:val="false"/>
                <w:color w:val="888888"/>
                <w:sz w:val="16"/>
                <w:szCs w:val="16"/>
              </w:rPr>
              <w:t xml:space="preserve">Phase 1 — 3 weeks</w:t>
            </w:r>
          </w:p>
          <w:p>
            <w:pPr>
              <w:spacing w:after="40" w:before="0"/>
              <w:jc w:val="left"/>
            </w:pPr>
            <w:r>
              <w:rPr>
                <w:rFonts w:ascii="Arial" w:cs="Arial" w:eastAsia="Arial" w:hAnsi="Arial"/>
                <w:b/>
                <w:bCs/>
                <w:i w:val="false"/>
                <w:iCs w:val="false"/>
                <w:color w:val="1A1A1A"/>
                <w:sz w:val="20"/>
                <w:szCs w:val="20"/>
              </w:rPr>
              <w:t xml:space="preserve">MVP</w:t>
            </w:r>
          </w:p>
          <w:p>
            <w:pPr>
              <w:spacing w:after="80" w:before="0"/>
              <w:jc w:val="left"/>
            </w:pPr>
            <w:r>
              <w:rPr>
                <w:rFonts w:ascii="Arial" w:cs="Arial" w:eastAsia="Arial" w:hAnsi="Arial"/>
                <w:b w:val="false"/>
                <w:bCs w:val="false"/>
                <w:i w:val="false"/>
                <w:iCs w:val="false"/>
                <w:color w:val="555555"/>
                <w:sz w:val="18"/>
                <w:szCs w:val="18"/>
              </w:rPr>
              <w:t xml:space="preserve">Criteria management</w:t>
            </w:r>
          </w:p>
          <w:p>
            <w:pPr>
              <w:spacing w:after="80" w:before="0"/>
              <w:jc w:val="left"/>
            </w:pPr>
            <w:r>
              <w:rPr>
                <w:rFonts w:ascii="Arial" w:cs="Arial" w:eastAsia="Arial" w:hAnsi="Arial"/>
                <w:b w:val="false"/>
                <w:bCs w:val="false"/>
                <w:i w:val="false"/>
                <w:iCs w:val="false"/>
                <w:color w:val="555555"/>
                <w:sz w:val="18"/>
                <w:szCs w:val="18"/>
              </w:rPr>
              <w:t xml:space="preserve">Alternatives + scoring</w:t>
            </w:r>
          </w:p>
          <w:p>
            <w:pPr>
              <w:spacing w:after="80" w:before="0"/>
              <w:jc w:val="left"/>
            </w:pPr>
            <w:r>
              <w:rPr>
                <w:rFonts w:ascii="Arial" w:cs="Arial" w:eastAsia="Arial" w:hAnsi="Arial"/>
                <w:b w:val="false"/>
                <w:bCs w:val="false"/>
                <w:i w:val="false"/>
                <w:iCs w:val="false"/>
                <w:color w:val="555555"/>
                <w:sz w:val="18"/>
                <w:szCs w:val="18"/>
              </w:rPr>
              <w:t xml:space="preserve">AHP pairwise comparison</w:t>
            </w:r>
          </w:p>
          <w:p>
            <w:pPr>
              <w:spacing w:after="80" w:before="0"/>
              <w:jc w:val="left"/>
            </w:pPr>
            <w:r>
              <w:rPr>
                <w:rFonts w:ascii="Arial" w:cs="Arial" w:eastAsia="Arial" w:hAnsi="Arial"/>
                <w:b w:val="false"/>
                <w:bCs w:val="false"/>
                <w:i w:val="false"/>
                <w:iCs w:val="false"/>
                <w:color w:val="555555"/>
                <w:sz w:val="18"/>
                <w:szCs w:val="18"/>
              </w:rPr>
              <w:t xml:space="preserve">Socratic AI elicitation</w:t>
            </w:r>
          </w:p>
          <w:p>
            <w:pPr>
              <w:spacing w:after="80" w:before="0"/>
              <w:jc w:val="left"/>
            </w:pPr>
            <w:r>
              <w:rPr>
                <w:rFonts w:ascii="Arial" w:cs="Arial" w:eastAsia="Arial" w:hAnsi="Arial"/>
                <w:b w:val="false"/>
                <w:bCs w:val="false"/>
                <w:i w:val="false"/>
                <w:iCs w:val="false"/>
                <w:color w:val="555555"/>
                <w:sz w:val="18"/>
                <w:szCs w:val="18"/>
              </w:rPr>
              <w:t xml:space="preserve">TOPSIS ranking output</w:t>
            </w:r>
          </w:p>
        </w:tc>
        <w:tc>
          <w:tcPr>
            <w:tcW w:type="dxa" w:w="312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top"/>
          </w:tcPr>
          <w:p>
            <w:pPr>
              <w:spacing w:after="80" w:before="0"/>
              <w:jc w:val="left"/>
            </w:pPr>
            <w:r>
              <w:rPr>
                <w:rFonts w:ascii="Arial" w:cs="Arial" w:eastAsia="Arial" w:hAnsi="Arial"/>
                <w:b w:val="false"/>
                <w:bCs w:val="false"/>
                <w:i w:val="false"/>
                <w:iCs w:val="false"/>
                <w:color w:val="888888"/>
                <w:sz w:val="16"/>
                <w:szCs w:val="16"/>
              </w:rPr>
              <w:t xml:space="preserve">Phase 2 — 3 weeks</w:t>
            </w:r>
          </w:p>
          <w:p>
            <w:pPr>
              <w:spacing w:after="40" w:before="0"/>
              <w:jc w:val="left"/>
            </w:pPr>
            <w:r>
              <w:rPr>
                <w:rFonts w:ascii="Arial" w:cs="Arial" w:eastAsia="Arial" w:hAnsi="Arial"/>
                <w:b/>
                <w:bCs/>
                <w:i w:val="false"/>
                <w:iCs w:val="false"/>
                <w:color w:val="1A1A1A"/>
                <w:sz w:val="20"/>
                <w:szCs w:val="20"/>
              </w:rPr>
              <w:t xml:space="preserve">V1.5 — Professional use</w:t>
            </w:r>
          </w:p>
          <w:p>
            <w:pPr>
              <w:spacing w:after="80" w:before="0"/>
              <w:jc w:val="left"/>
            </w:pPr>
            <w:r>
              <w:rPr>
                <w:rFonts w:ascii="Arial" w:cs="Arial" w:eastAsia="Arial" w:hAnsi="Arial"/>
                <w:b w:val="false"/>
                <w:bCs w:val="false"/>
                <w:i w:val="false"/>
                <w:iCs w:val="false"/>
                <w:color w:val="555555"/>
                <w:sz w:val="18"/>
                <w:szCs w:val="18"/>
              </w:rPr>
              <w:t xml:space="preserve">PDF report export</w:t>
            </w:r>
          </w:p>
          <w:p>
            <w:pPr>
              <w:spacing w:after="80" w:before="0"/>
              <w:jc w:val="left"/>
            </w:pPr>
            <w:r>
              <w:rPr>
                <w:rFonts w:ascii="Arial" w:cs="Arial" w:eastAsia="Arial" w:hAnsi="Arial"/>
                <w:b w:val="false"/>
                <w:bCs w:val="false"/>
                <w:i w:val="false"/>
                <w:iCs w:val="false"/>
                <w:color w:val="555555"/>
                <w:sz w:val="18"/>
                <w:szCs w:val="18"/>
              </w:rPr>
              <w:t xml:space="preserve">Multi-stakeholder weights</w:t>
            </w:r>
          </w:p>
          <w:p>
            <w:pPr>
              <w:spacing w:after="80" w:before="0"/>
              <w:jc w:val="left"/>
            </w:pPr>
            <w:r>
              <w:rPr>
                <w:rFonts w:ascii="Arial" w:cs="Arial" w:eastAsia="Arial" w:hAnsi="Arial"/>
                <w:b w:val="false"/>
                <w:bCs w:val="false"/>
                <w:i w:val="false"/>
                <w:iCs w:val="false"/>
                <w:color w:val="555555"/>
                <w:sz w:val="18"/>
                <w:szCs w:val="18"/>
              </w:rPr>
              <w:t xml:space="preserve">Sensitivity analysis</w:t>
            </w:r>
          </w:p>
          <w:p>
            <w:pPr>
              <w:spacing w:after="80" w:before="0"/>
              <w:jc w:val="left"/>
            </w:pPr>
            <w:r>
              <w:rPr>
                <w:rFonts w:ascii="Arial" w:cs="Arial" w:eastAsia="Arial" w:hAnsi="Arial"/>
                <w:b w:val="false"/>
                <w:bCs w:val="false"/>
                <w:i w:val="false"/>
                <w:iCs w:val="false"/>
                <w:color w:val="555555"/>
                <w:sz w:val="18"/>
                <w:szCs w:val="18"/>
              </w:rPr>
              <w:t xml:space="preserve">Simulation data import</w:t>
            </w:r>
          </w:p>
          <w:p>
            <w:pPr>
              <w:spacing w:after="80" w:before="0"/>
              <w:jc w:val="left"/>
            </w:pPr>
            <w:r>
              <w:rPr>
                <w:rFonts w:ascii="Arial" w:cs="Arial" w:eastAsia="Arial" w:hAnsi="Arial"/>
                <w:b w:val="false"/>
                <w:bCs w:val="false"/>
                <w:i w:val="false"/>
                <w:iCs w:val="false"/>
                <w:color w:val="555555"/>
                <w:sz w:val="18"/>
                <w:szCs w:val="18"/>
              </w:rPr>
              <w:t xml:space="preserve">Session persistence</w:t>
            </w:r>
          </w:p>
        </w:tc>
        <w:tc>
          <w:tcPr>
            <w:tcW w:type="dxa" w:w="312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top"/>
          </w:tcPr>
          <w:p>
            <w:pPr>
              <w:spacing w:after="80" w:before="0"/>
              <w:jc w:val="left"/>
            </w:pPr>
            <w:r>
              <w:rPr>
                <w:rFonts w:ascii="Arial" w:cs="Arial" w:eastAsia="Arial" w:hAnsi="Arial"/>
                <w:b w:val="false"/>
                <w:bCs w:val="false"/>
                <w:i w:val="false"/>
                <w:iCs w:val="false"/>
                <w:color w:val="888888"/>
                <w:sz w:val="16"/>
                <w:szCs w:val="16"/>
              </w:rPr>
              <w:t xml:space="preserve">Phase 3 — ongoing</w:t>
            </w:r>
          </w:p>
          <w:p>
            <w:pPr>
              <w:spacing w:after="40" w:before="0"/>
              <w:jc w:val="left"/>
            </w:pPr>
            <w:r>
              <w:rPr>
                <w:rFonts w:ascii="Arial" w:cs="Arial" w:eastAsia="Arial" w:hAnsi="Arial"/>
                <w:b/>
                <w:bCs/>
                <w:i w:val="false"/>
                <w:iCs w:val="false"/>
                <w:color w:val="1A1A1A"/>
                <w:sz w:val="20"/>
                <w:szCs w:val="20"/>
              </w:rPr>
              <w:t xml:space="preserve">V2 — Scale</w:t>
            </w:r>
          </w:p>
          <w:p>
            <w:pPr>
              <w:spacing w:after="80" w:before="0"/>
              <w:jc w:val="left"/>
            </w:pPr>
            <w:r>
              <w:rPr>
                <w:rFonts w:ascii="Arial" w:cs="Arial" w:eastAsia="Arial" w:hAnsi="Arial"/>
                <w:b w:val="false"/>
                <w:bCs w:val="false"/>
                <w:i w:val="false"/>
                <w:iCs w:val="false"/>
                <w:color w:val="555555"/>
                <w:sz w:val="18"/>
                <w:szCs w:val="18"/>
              </w:rPr>
              <w:t xml:space="preserve">Portfolio view</w:t>
            </w:r>
          </w:p>
          <w:p>
            <w:pPr>
              <w:spacing w:after="80" w:before="0"/>
              <w:jc w:val="left"/>
            </w:pPr>
            <w:r>
              <w:rPr>
                <w:rFonts w:ascii="Arial" w:cs="Arial" w:eastAsia="Arial" w:hAnsi="Arial"/>
                <w:b w:val="false"/>
                <w:bCs w:val="false"/>
                <w:i w:val="false"/>
                <w:iCs w:val="false"/>
                <w:color w:val="555555"/>
                <w:sz w:val="18"/>
                <w:szCs w:val="18"/>
              </w:rPr>
              <w:t xml:space="preserve">Dutch localisation</w:t>
            </w:r>
          </w:p>
          <w:p>
            <w:pPr>
              <w:spacing w:after="80" w:before="0"/>
              <w:jc w:val="left"/>
            </w:pPr>
            <w:r>
              <w:rPr>
                <w:rFonts w:ascii="Arial" w:cs="Arial" w:eastAsia="Arial" w:hAnsi="Arial"/>
                <w:b w:val="false"/>
                <w:bCs w:val="false"/>
                <w:i w:val="false"/>
                <w:iCs w:val="false"/>
                <w:color w:val="555555"/>
                <w:sz w:val="18"/>
                <w:szCs w:val="18"/>
              </w:rPr>
              <w:t xml:space="preserve">EP-Online API link</w:t>
            </w:r>
          </w:p>
          <w:p>
            <w:pPr>
              <w:spacing w:after="80" w:before="0"/>
              <w:jc w:val="left"/>
            </w:pPr>
            <w:r>
              <w:rPr>
                <w:rFonts w:ascii="Arial" w:cs="Arial" w:eastAsia="Arial" w:hAnsi="Arial"/>
                <w:b w:val="false"/>
                <w:bCs w:val="false"/>
                <w:i w:val="false"/>
                <w:iCs w:val="false"/>
                <w:color w:val="555555"/>
                <w:sz w:val="18"/>
                <w:szCs w:val="18"/>
              </w:rPr>
              <w:t xml:space="preserve">Team collaboration</w:t>
            </w:r>
          </w:p>
          <w:p>
            <w:pPr>
              <w:spacing w:after="80" w:before="0"/>
              <w:jc w:val="left"/>
            </w:pPr>
            <w:r>
              <w:rPr>
                <w:rFonts w:ascii="Arial" w:cs="Arial" w:eastAsia="Arial" w:hAnsi="Arial"/>
                <w:b w:val="false"/>
                <w:bCs w:val="false"/>
                <w:i w:val="false"/>
                <w:iCs w:val="false"/>
                <w:color w:val="555555"/>
                <w:sz w:val="18"/>
                <w:szCs w:val="18"/>
              </w:rPr>
              <w:t xml:space="preserve">Audit trail / versioning</w:t>
            </w:r>
          </w:p>
        </w:tc>
      </w:tr>
    </w:tbl>
    <w:p>
      <w:pPr>
        <w:spacing w:after="80" w:before="0"/>
        <w:jc w:val="left"/>
      </w:pPr>
      <w:r>
        <w:rPr>
          <w:rFonts w:ascii="Arial" w:cs="Arial" w:eastAsia="Arial" w:hAnsi="Arial"/>
          <w:b w:val="false"/>
          <w:bCs w:val="false"/>
          <w:i w:val="false"/>
          <w:iCs w:val="false"/>
          <w:color w:val="1A1A1A"/>
          <w:sz w:val="20"/>
          <w:szCs w:val="20"/>
        </w:rPr>
        <w:t xml:space="preserve"/>
      </w:r>
    </w:p>
    <w:p>
      <w:pPr>
        <w:pBdr>
          <w:top w:val="single" w:color="CCCCCC" w:sz="4" w:space="8"/>
        </w:pBdr>
        <w:spacing w:after="120" w:before="320"/>
      </w:pPr>
      <w:r>
        <w:rPr>
          <w:rFonts w:ascii="Arial" w:cs="Arial" w:eastAsia="Arial" w:hAnsi="Arial"/>
          <w:b w:val="false"/>
          <w:bCs w:val="false"/>
          <w:color w:val="888888"/>
          <w:sz w:val="18"/>
          <w:szCs w:val="18"/>
        </w:rPr>
        <w:t xml:space="preserve">09 — SUCCESS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top"/>
          </w:tcPr>
          <w:p>
            <w:pPr>
              <w:spacing w:after="20" w:before="0"/>
              <w:jc w:val="left"/>
            </w:pPr>
            <w:r>
              <w:rPr>
                <w:rFonts w:ascii="Arial" w:cs="Arial" w:eastAsia="Arial" w:hAnsi="Arial"/>
                <w:b/>
                <w:bCs/>
                <w:i w:val="false"/>
                <w:iCs w:val="false"/>
                <w:color w:val="888888"/>
                <w:sz w:val="16"/>
                <w:szCs w:val="16"/>
              </w:rPr>
              <w:t xml:space="preserve">Time saved per decision session</w:t>
            </w:r>
          </w:p>
          <w:p>
            <w:pPr>
              <w:spacing w:after="80" w:before="0"/>
              <w:jc w:val="left"/>
            </w:pPr>
            <w:r>
              <w:rPr>
                <w:rFonts w:ascii="Arial" w:cs="Arial" w:eastAsia="Arial" w:hAnsi="Arial"/>
                <w:b/>
                <w:bCs/>
                <w:i w:val="false"/>
                <w:iCs w:val="false"/>
                <w:color w:val="1A1A1A"/>
                <w:sz w:val="32"/>
                <w:szCs w:val="32"/>
              </w:rPr>
              <w:t xml:space="preserve">&gt; 2 hrs</w:t>
            </w:r>
          </w:p>
        </w:tc>
        <w:tc>
          <w:tcPr>
            <w:tcW w:type="dxa" w:w="234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top"/>
          </w:tcPr>
          <w:p>
            <w:pPr>
              <w:spacing w:after="20" w:before="0"/>
              <w:jc w:val="left"/>
            </w:pPr>
            <w:r>
              <w:rPr>
                <w:rFonts w:ascii="Arial" w:cs="Arial" w:eastAsia="Arial" w:hAnsi="Arial"/>
                <w:b/>
                <w:bCs/>
                <w:i w:val="false"/>
                <w:iCs w:val="false"/>
                <w:color w:val="888888"/>
                <w:sz w:val="16"/>
                <w:szCs w:val="16"/>
              </w:rPr>
              <w:t xml:space="preserve">Consistency ratio pass rate</w:t>
            </w:r>
          </w:p>
          <w:p>
            <w:pPr>
              <w:spacing w:after="80" w:before="0"/>
              <w:jc w:val="left"/>
            </w:pPr>
            <w:r>
              <w:rPr>
                <w:rFonts w:ascii="Arial" w:cs="Arial" w:eastAsia="Arial" w:hAnsi="Arial"/>
                <w:b/>
                <w:bCs/>
                <w:i w:val="false"/>
                <w:iCs w:val="false"/>
                <w:color w:val="1A1A1A"/>
                <w:sz w:val="32"/>
                <w:szCs w:val="32"/>
              </w:rPr>
              <w:t xml:space="preserve">&gt; 80%</w:t>
            </w:r>
          </w:p>
        </w:tc>
        <w:tc>
          <w:tcPr>
            <w:tcW w:type="dxa" w:w="234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top"/>
          </w:tcPr>
          <w:p>
            <w:pPr>
              <w:spacing w:after="20" w:before="0"/>
              <w:jc w:val="left"/>
            </w:pPr>
            <w:r>
              <w:rPr>
                <w:rFonts w:ascii="Arial" w:cs="Arial" w:eastAsia="Arial" w:hAnsi="Arial"/>
                <w:b/>
                <w:bCs/>
                <w:i w:val="false"/>
                <w:iCs w:val="false"/>
                <w:color w:val="888888"/>
                <w:sz w:val="16"/>
                <w:szCs w:val="16"/>
              </w:rPr>
              <w:t xml:space="preserve">Projects run in first 6 months</w:t>
            </w:r>
          </w:p>
          <w:p>
            <w:pPr>
              <w:spacing w:after="80" w:before="0"/>
              <w:jc w:val="left"/>
            </w:pPr>
            <w:r>
              <w:rPr>
                <w:rFonts w:ascii="Arial" w:cs="Arial" w:eastAsia="Arial" w:hAnsi="Arial"/>
                <w:b/>
                <w:bCs/>
                <w:i w:val="false"/>
                <w:iCs w:val="false"/>
                <w:color w:val="1A1A1A"/>
                <w:sz w:val="32"/>
                <w:szCs w:val="32"/>
              </w:rPr>
              <w:t xml:space="preserve">5+</w:t>
            </w:r>
          </w:p>
        </w:tc>
        <w:tc>
          <w:tcPr>
            <w:tcW w:type="dxa" w:w="234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top"/>
          </w:tcPr>
          <w:p>
            <w:pPr>
              <w:spacing w:after="20" w:before="0"/>
              <w:jc w:val="left"/>
            </w:pPr>
            <w:r>
              <w:rPr>
                <w:rFonts w:ascii="Arial" w:cs="Arial" w:eastAsia="Arial" w:hAnsi="Arial"/>
                <w:b/>
                <w:bCs/>
                <w:i w:val="false"/>
                <w:iCs w:val="false"/>
                <w:color w:val="888888"/>
                <w:sz w:val="16"/>
                <w:szCs w:val="16"/>
              </w:rPr>
              <w:t xml:space="preserve">Stakeholder usability score</w:t>
            </w:r>
          </w:p>
          <w:p>
            <w:pPr>
              <w:spacing w:after="80" w:before="0"/>
              <w:jc w:val="left"/>
            </w:pPr>
            <w:r>
              <w:rPr>
                <w:rFonts w:ascii="Arial" w:cs="Arial" w:eastAsia="Arial" w:hAnsi="Arial"/>
                <w:b/>
                <w:bCs/>
                <w:i w:val="false"/>
                <w:iCs w:val="false"/>
                <w:color w:val="1A1A1A"/>
                <w:sz w:val="32"/>
                <w:szCs w:val="32"/>
              </w:rPr>
              <w:t xml:space="preserve">≥ 4/5</w:t>
            </w:r>
          </w:p>
        </w:tc>
      </w:tr>
    </w:tbl>
    <w:p>
      <w:pPr>
        <w:spacing w:after="80" w:before="0"/>
        <w:jc w:val="left"/>
      </w:pPr>
      <w:r>
        <w:rPr>
          <w:rFonts w:ascii="Arial" w:cs="Arial" w:eastAsia="Arial" w:hAnsi="Arial"/>
          <w:b w:val="false"/>
          <w:bCs w:val="false"/>
          <w:i w:val="false"/>
          <w:iCs w:val="false"/>
          <w:color w:val="1A1A1A"/>
          <w:sz w:val="20"/>
          <w:szCs w:val="20"/>
        </w:rPr>
        <w:t xml:space="preserve"/>
      </w:r>
    </w:p>
    <w:p>
      <w:pPr>
        <w:pBdr>
          <w:top w:val="single" w:color="CCCCCC" w:sz="4" w:space="8"/>
        </w:pBdr>
        <w:spacing w:after="120" w:before="320"/>
      </w:pPr>
      <w:r>
        <w:rPr>
          <w:rFonts w:ascii="Arial" w:cs="Arial" w:eastAsia="Arial" w:hAnsi="Arial"/>
          <w:b w:val="false"/>
          <w:bCs w:val="false"/>
          <w:color w:val="888888"/>
          <w:sz w:val="18"/>
          <w:szCs w:val="18"/>
        </w:rPr>
        <w:t xml:space="preserve">10 — RISKS AND CONSTRAINTS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00"/>
        <w:gridCol w:w="4760"/>
      </w:tblGrid>
      <w:tr>
        <w:tc>
          <w:tcPr>
            <w:tcW w:type="dxa" w:w="46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top"/>
          </w:tcPr>
          <w:p>
            <w:pPr>
              <w:spacing w:after="80" w:before="0"/>
              <w:jc w:val="left"/>
            </w:pPr>
            <w:r>
              <w:rPr>
                <w:rFonts w:ascii="Arial" w:cs="Arial" w:eastAsia="Arial" w:hAnsi="Arial"/>
                <w:b/>
                <w:bCs/>
                <w:i w:val="false"/>
                <w:iCs w:val="false"/>
                <w:color w:val="854F0B"/>
                <w:sz w:val="17"/>
                <w:szCs w:val="17"/>
              </w:rPr>
              <w:t xml:space="preserve">Medium risk  </w:t>
            </w:r>
          </w:p>
          <w:p>
            <w:pPr>
              <w:spacing w:after="40" w:before="0"/>
              <w:jc w:val="left"/>
            </w:pPr>
            <w:r>
              <w:rPr>
                <w:rFonts w:ascii="Arial" w:cs="Arial" w:eastAsia="Arial" w:hAnsi="Arial"/>
                <w:b/>
                <w:bCs/>
                <w:i w:val="false"/>
                <w:iCs w:val="false"/>
                <w:color w:val="1A1A1A"/>
                <w:sz w:val="20"/>
                <w:szCs w:val="20"/>
              </w:rPr>
              <w:t xml:space="preserve">Performance data entry burden</w:t>
            </w:r>
          </w:p>
          <w:p>
            <w:pPr>
              <w:spacing w:after="80" w:before="0"/>
              <w:jc w:val="left"/>
            </w:pPr>
            <w:r>
              <w:rPr>
                <w:rFonts w:ascii="Arial" w:cs="Arial" w:eastAsia="Arial" w:hAnsi="Arial"/>
                <w:b w:val="false"/>
                <w:bCs w:val="false"/>
                <w:i w:val="false"/>
                <w:iCs w:val="false"/>
                <w:color w:val="555555"/>
                <w:sz w:val="18"/>
                <w:szCs w:val="18"/>
              </w:rPr>
              <w:t xml:space="preserve">Users must manually input simulation outputs per alternative. Without tool integration this is error-prone. Mitigation: clear field labels, unit hints, and CSV import in V1.5.</w:t>
            </w:r>
          </w:p>
        </w:tc>
        <w:tc>
          <w:tcPr>
            <w:tcW w:type="dxa" w:w="476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top"/>
          </w:tcPr>
          <w:p>
            <w:pPr>
              <w:spacing w:after="80" w:before="0"/>
              <w:jc w:val="left"/>
            </w:pPr>
            <w:r>
              <w:rPr>
                <w:rFonts w:ascii="Arial" w:cs="Arial" w:eastAsia="Arial" w:hAnsi="Arial"/>
                <w:b/>
                <w:bCs/>
                <w:i w:val="false"/>
                <w:iCs w:val="false"/>
                <w:color w:val="854F0B"/>
                <w:sz w:val="17"/>
                <w:szCs w:val="17"/>
              </w:rPr>
              <w:t xml:space="preserve">Medium risk  </w:t>
            </w:r>
          </w:p>
          <w:p>
            <w:pPr>
              <w:spacing w:after="40" w:before="0"/>
              <w:jc w:val="left"/>
            </w:pPr>
            <w:r>
              <w:rPr>
                <w:rFonts w:ascii="Arial" w:cs="Arial" w:eastAsia="Arial" w:hAnsi="Arial"/>
                <w:b/>
                <w:bCs/>
                <w:i w:val="false"/>
                <w:iCs w:val="false"/>
                <w:color w:val="1A1A1A"/>
                <w:sz w:val="20"/>
                <w:szCs w:val="20"/>
              </w:rPr>
              <w:t xml:space="preserve">Pairwise comparison fatigue</w:t>
            </w:r>
          </w:p>
          <w:p>
            <w:pPr>
              <w:spacing w:after="80" w:before="0"/>
              <w:jc w:val="left"/>
            </w:pPr>
            <w:r>
              <w:rPr>
                <w:rFonts w:ascii="Arial" w:cs="Arial" w:eastAsia="Arial" w:hAnsi="Arial"/>
                <w:b w:val="false"/>
                <w:bCs w:val="false"/>
                <w:i w:val="false"/>
                <w:iCs w:val="false"/>
                <w:color w:val="555555"/>
                <w:sz w:val="18"/>
                <w:szCs w:val="18"/>
              </w:rPr>
              <w:t xml:space="preserve">With n active criteria there are n(n-1)/2 comparisons. For n=13 that is 78 pairs — too many for a workshop. Mitigation: cap active criteria at 6–7; promote Socratic mode as primary pathway.</w:t>
            </w:r>
          </w:p>
        </w:tc>
      </w:tr>
    </w:tbl>
    <w:p>
      <w:pPr>
        <w:spacing w:after="40" w:before="0"/>
        <w:jc w:val="left"/>
      </w:pPr>
      <w:r>
        <w:rPr>
          <w:rFonts w:ascii="Arial" w:cs="Arial" w:eastAsia="Arial" w:hAnsi="Arial"/>
          <w:b w:val="false"/>
          <w:bCs w:val="false"/>
          <w:i w:val="false"/>
          <w:iCs w:val="false"/>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00"/>
        <w:gridCol w:w="4760"/>
      </w:tblGrid>
      <w:tr>
        <w:tc>
          <w:tcPr>
            <w:tcW w:type="dxa" w:w="46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top"/>
          </w:tcPr>
          <w:p>
            <w:pPr>
              <w:spacing w:after="80" w:before="0"/>
              <w:jc w:val="left"/>
            </w:pPr>
            <w:r>
              <w:rPr>
                <w:rFonts w:ascii="Arial" w:cs="Arial" w:eastAsia="Arial" w:hAnsi="Arial"/>
                <w:b/>
                <w:bCs/>
                <w:i w:val="false"/>
                <w:iCs w:val="false"/>
                <w:color w:val="3B6D11"/>
                <w:sz w:val="17"/>
                <w:szCs w:val="17"/>
              </w:rPr>
              <w:t xml:space="preserve">Low risk  </w:t>
            </w:r>
          </w:p>
          <w:p>
            <w:pPr>
              <w:spacing w:after="40" w:before="0"/>
              <w:jc w:val="left"/>
            </w:pPr>
            <w:r>
              <w:rPr>
                <w:rFonts w:ascii="Arial" w:cs="Arial" w:eastAsia="Arial" w:hAnsi="Arial"/>
                <w:b/>
                <w:bCs/>
                <w:i w:val="false"/>
                <w:iCs w:val="false"/>
                <w:color w:val="1A1A1A"/>
                <w:sz w:val="20"/>
                <w:szCs w:val="20"/>
              </w:rPr>
              <w:t xml:space="preserve">AI weight quality</w:t>
            </w:r>
          </w:p>
          <w:p>
            <w:pPr>
              <w:spacing w:after="80" w:before="0"/>
              <w:jc w:val="left"/>
            </w:pPr>
            <w:r>
              <w:rPr>
                <w:rFonts w:ascii="Arial" w:cs="Arial" w:eastAsia="Arial" w:hAnsi="Arial"/>
                <w:b w:val="false"/>
                <w:bCs w:val="false"/>
                <w:i w:val="false"/>
                <w:iCs w:val="false"/>
                <w:color w:val="555555"/>
                <w:sz w:val="18"/>
                <w:szCs w:val="18"/>
              </w:rPr>
              <w:t xml:space="preserve">Socratic-derived weights depend on conversation quality. Uninformative answers may yield flat weights. Mitigation: weight bar always shown for review; user can override via pairwise mode.</w:t>
            </w:r>
          </w:p>
        </w:tc>
        <w:tc>
          <w:tcPr>
            <w:tcW w:type="dxa" w:w="476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top"/>
          </w:tcPr>
          <w:p>
            <w:pPr>
              <w:spacing w:after="80" w:before="0"/>
              <w:jc w:val="left"/>
            </w:pPr>
            <w:r>
              <w:rPr>
                <w:rFonts w:ascii="Arial" w:cs="Arial" w:eastAsia="Arial" w:hAnsi="Arial"/>
                <w:b/>
                <w:bCs/>
                <w:i w:val="false"/>
                <w:iCs w:val="false"/>
                <w:color w:val="3B6D11"/>
                <w:sz w:val="17"/>
                <w:szCs w:val="17"/>
              </w:rPr>
              <w:t xml:space="preserve">Low risk  </w:t>
            </w:r>
          </w:p>
          <w:p>
            <w:pPr>
              <w:spacing w:after="40" w:before="0"/>
              <w:jc w:val="left"/>
            </w:pPr>
            <w:r>
              <w:rPr>
                <w:rFonts w:ascii="Arial" w:cs="Arial" w:eastAsia="Arial" w:hAnsi="Arial"/>
                <w:b/>
                <w:bCs/>
                <w:i w:val="false"/>
                <w:iCs w:val="false"/>
                <w:color w:val="1A1A1A"/>
                <w:sz w:val="20"/>
                <w:szCs w:val="20"/>
              </w:rPr>
              <w:t xml:space="preserve">Scope creep to full framework</w:t>
            </w:r>
          </w:p>
          <w:p>
            <w:pPr>
              <w:spacing w:after="80" w:before="0"/>
              <w:jc w:val="left"/>
            </w:pPr>
            <w:r>
              <w:rPr>
                <w:rFonts w:ascii="Arial" w:cs="Arial" w:eastAsia="Arial" w:hAnsi="Arial"/>
                <w:b w:val="false"/>
                <w:bCs w:val="false"/>
                <w:i w:val="false"/>
                <w:iCs w:val="false"/>
                <w:color w:val="555555"/>
                <w:sz w:val="18"/>
                <w:szCs w:val="18"/>
              </w:rPr>
              <w:t xml:space="preserve">Steps 1–2 and 3b–5 are out of scope for MVP. Risk that stakeholders expect a full diagnosis tool. Mitigation: clear onboarding that this tool covers Steps 3a and 6 only.</w:t>
            </w:r>
          </w:p>
        </w:tc>
      </w:tr>
    </w:tbl>
    <w:p>
      <w:pPr>
        <w:spacing w:after="80" w:before="0"/>
        <w:jc w:val="left"/>
      </w:pPr>
      <w:r>
        <w:rPr>
          <w:rFonts w:ascii="Arial" w:cs="Arial" w:eastAsia="Arial" w:hAnsi="Arial"/>
          <w:b w:val="false"/>
          <w:bCs w:val="false"/>
          <w:i w:val="false"/>
          <w:iCs w:val="false"/>
          <w:color w:val="1A1A1A"/>
          <w:sz w:val="20"/>
          <w:szCs w:val="20"/>
        </w:rPr>
        <w:t xml:space="preserve"/>
      </w:r>
    </w:p>
    <w:p>
      <w:pPr>
        <w:pBdr>
          <w:top w:val="single" w:color="CCCCCC" w:sz="4" w:space="8"/>
        </w:pBdr>
        <w:spacing w:after="120" w:before="320"/>
      </w:pPr>
      <w:r>
        <w:rPr>
          <w:rFonts w:ascii="Arial" w:cs="Arial" w:eastAsia="Arial" w:hAnsi="Arial"/>
          <w:b w:val="false"/>
          <w:bCs w:val="false"/>
          <w:color w:val="888888"/>
          <w:sz w:val="18"/>
          <w:szCs w:val="18"/>
        </w:rPr>
        <w:t xml:space="preserve">11 — OPEN QUESTIONS</w:t>
      </w:r>
    </w:p>
    <w:p>
      <w:pPr>
        <w:pStyle w:val="ListParagraph"/>
        <w:numPr>
          <w:ilvl w:val="0"/>
          <w:numId w:val="2"/>
        </w:numPr>
        <w:spacing w:after="40" w:before="40"/>
      </w:pPr>
      <w:r>
        <w:rPr>
          <w:rFonts w:ascii="Arial" w:cs="Arial" w:eastAsia="Arial" w:hAnsi="Arial"/>
          <w:color w:val="555555"/>
          <w:sz w:val="19"/>
          <w:szCs w:val="19"/>
        </w:rPr>
        <w:t xml:space="preserve">Should the Socratic conversation be fully open-ended, or constrained to structured questions derived from the Chapter 6 thesis workshops?</w:t>
      </w:r>
    </w:p>
    <w:p>
      <w:pPr>
        <w:pStyle w:val="ListParagraph"/>
        <w:numPr>
          <w:ilvl w:val="0"/>
          <w:numId w:val="2"/>
        </w:numPr>
        <w:spacing w:after="40" w:before="40"/>
      </w:pPr>
      <w:r>
        <w:rPr>
          <w:rFonts w:ascii="Arial" w:cs="Arial" w:eastAsia="Arial" w:hAnsi="Arial"/>
          <w:color w:val="555555"/>
          <w:sz w:val="19"/>
          <w:szCs w:val="19"/>
        </w:rPr>
        <w:t xml:space="preserve">For multi-stakeholder sessions, how should individual pairwise comparison results be aggregated — geometric mean (standard AHP) or simple average?</w:t>
      </w:r>
    </w:p>
    <w:p>
      <w:pPr>
        <w:pStyle w:val="ListParagraph"/>
        <w:numPr>
          <w:ilvl w:val="0"/>
          <w:numId w:val="2"/>
        </w:numPr>
        <w:spacing w:after="40" w:before="40"/>
      </w:pPr>
      <w:r>
        <w:rPr>
          <w:rFonts w:ascii="Arial" w:cs="Arial" w:eastAsia="Arial" w:hAnsi="Arial"/>
          <w:color w:val="555555"/>
          <w:sz w:val="19"/>
          <w:szCs w:val="19"/>
        </w:rPr>
        <w:t xml:space="preserve">Is the primary deployment context internal (your own practice) or external (client-facing)? This affects whether the API key needs a server proxy.</w:t>
      </w:r>
    </w:p>
    <w:p>
      <w:pPr>
        <w:pStyle w:val="ListParagraph"/>
        <w:numPr>
          <w:ilvl w:val="0"/>
          <w:numId w:val="2"/>
        </w:numPr>
        <w:spacing w:after="40" w:before="40"/>
      </w:pPr>
      <w:r>
        <w:rPr>
          <w:rFonts w:ascii="Arial" w:cs="Arial" w:eastAsia="Arial" w:hAnsi="Arial"/>
          <w:color w:val="555555"/>
          <w:sz w:val="19"/>
          <w:szCs w:val="19"/>
        </w:rPr>
        <w:t xml:space="preserve">Should the tool enforce LTH readiness filtering (Step 4) by blocking alternatives that fail C1/C10 benchmarks, or flag them as warnings only?</w:t>
      </w:r>
    </w:p>
    <w:p>
      <w:pPr>
        <w:pStyle w:val="ListParagraph"/>
        <w:numPr>
          <w:ilvl w:val="0"/>
          <w:numId w:val="2"/>
        </w:numPr>
        <w:spacing w:after="40" w:before="40"/>
      </w:pPr>
      <w:r>
        <w:rPr>
          <w:rFonts w:ascii="Arial" w:cs="Arial" w:eastAsia="Arial" w:hAnsi="Arial"/>
          <w:color w:val="555555"/>
          <w:sz w:val="19"/>
          <w:szCs w:val="19"/>
        </w:rPr>
        <w:t xml:space="preserve">Is Dutch language support needed for Phase 1 if housing corporation stakeholders are direct users?</w:t>
      </w:r>
    </w:p>
    <w:p>
      <w:pPr>
        <w:spacing w:after="40" w:before="0"/>
        <w:jc w:val="left"/>
      </w:pPr>
      <w:r>
        <w:rPr>
          <w:rFonts w:ascii="Arial" w:cs="Arial" w:eastAsia="Arial" w:hAnsi="Arial"/>
          <w:b w:val="false"/>
          <w:bCs w:val="false"/>
          <w:i w:val="false"/>
          <w:iCs w:val="false"/>
          <w:color w:val="1A1A1A"/>
          <w:sz w:val="20"/>
          <w:szCs w:val="20"/>
        </w:rPr>
        <w:t xml:space="preserve"/>
      </w:r>
    </w:p>
    <w:p/>
    <w:p>
      <w:r>
        <w:t>12 — FUTURE DEVELOPMENT: PARTICIPANT WEIGHTING WORKFLOW</w:t>
      </w:r>
    </w:p>
    <w:p>
      <w:r>
        <w:t>The tool should support a full multi-participant weighting workflow for stakeholder workshops. Each participant should be able to create or be assigned an individual weighting profile, complete the criteria weighting exercise independently, and submit their resulting AHP weights for group aggregation.</w:t>
      </w:r>
    </w:p>
    <w:p>
      <w:r>
        <w:t>Each participant profile should store participant name or role, active criteria set, pairwise Saaty matrix, derived criterion weights, consistency ratio, completion status, and optional notes from the elicitation process. The interface should clearly distinguish between current participant weights, manual facilitator consensus weights, and aggregated group weights.</w:t>
      </w:r>
    </w:p>
    <w:p>
      <w:r>
        <w:t>The tool should calculate a consistency ratio for each participant profile. Profiles with CR &lt;= 0.1 should be marked consistent and eligible for aggregation. Profiles above the threshold should be marked for review, with prompts to revisit conflicting pairwise comparisons before their weights are included in the group result.</w:t>
      </w:r>
    </w:p>
    <w:p>
      <w:r>
        <w:t>For group decision-making, participant weights should be aggregated using the geometric mean, which is the standard group aggregation approach in AHP. Aggregated weights should then be normalized to sum to 1.0 and used as the default weighting vector for TOPSIS ranking. The ranking view should explicitly state whether it is using individual participant weights, facilitator consensus weights, or aggregated group weights.</w:t>
      </w:r>
    </w:p>
    <w:p>
      <w:r>
        <w:t>The Socratic elicitation mode should become a participant-facing conversation workflow rather than only a single text helper. The tool should ask one question at a time, probe trade-offs between environmental, economic, and social priorities, and ask follow-up questions when answers are vague or conflicting. The output of the conversation should be converted into a proposed Saaty comparison matrix and criterion weight vector for that participant.</w:t>
      </w:r>
    </w:p>
    <w:p>
      <w:r>
        <w:t>After Socratic questioning, participants should review the proposed weights and pairwise comparisons before submission. The tool should show how the conversation influenced the weights, allow manual adjustment, recalculate the consistency ratio, and only include the participant profile in aggregation once it is complete and sufficiently consistent.</w:t>
      </w:r>
    </w:p>
    <w:p>
      <w:r>
        <w:t>Implementation requirements</w:t>
      </w:r>
    </w:p>
    <w:p>
      <w:r>
        <w:t>- Add participant management: create, rename, select, duplicate, and remove participant profiles.</w:t>
      </w:r>
    </w:p>
    <w:p>
      <w:r>
        <w:t>- Persist each participant profile locally, including pairwise comparisons, Socratic transcript, derived weights, and CR status.</w:t>
      </w:r>
    </w:p>
    <w:p>
      <w:r>
        <w:t>- Add a group aggregation panel showing valid profiles, excluded inconsistent profiles, and final normalized group weights.</w:t>
      </w:r>
    </w:p>
    <w:p>
      <w:r>
        <w:t>- Use geometric mean aggregation for AHP participant weights by default, with simple average available only as an explicit comparison option if needed.</w:t>
      </w:r>
    </w:p>
    <w:p>
      <w:r>
        <w:t>- Allow Socratic mode to generate a draft Saaty matrix per participant, not just flat keyword-derived weights.</w:t>
      </w:r>
    </w:p>
    <w:p>
      <w:r>
        <w:t>- Expose auditability: show participant-level weights, group weights, CR values, and whether TOPSIS is using individual or aggregated weights.</w:t>
      </w:r>
    </w:p>
    <w:sectPr>
      <w:footerReference w:type="default" r:id="rId7"/>
      <w:pgSz w:w="11906" w:h="16838"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b w:val="false"/>
        <w:bCs w:val="false"/>
        <w:i w:val="false"/>
        <w:iCs w:val="false"/>
        <w:color w:val="888888"/>
        <w:sz w:val="16"/>
        <w:szCs w:val="16"/>
      </w:rPr>
      <w:t xml:space="preserve">Renovation Decision Support Tool — PRD · Wahi (2025), TU Delft · 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80" w:before="0"/>
      <w:outlineLvl w:val="0"/>
    </w:pPr>
    <w:rPr>
      <w:rFonts w:ascii="Arial" w:cs="Arial" w:eastAsia="Arial" w:hAnsi="Arial"/>
      <w:b/>
      <w:bCs/>
      <w:color w:val="1A1A1A"/>
      <w:sz w:val="44"/>
      <w:szCs w:val="4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2026-04-28T09:56:56.244Z</dcterms:created>
  <dcterms:modified xsi:type="dcterms:W3CDTF">2026-04-28T09:56:56.245Z</dcterms:modified>
</cp:coreProperties>
</file>

<file path=docProps/custom.xml><?xml version="1.0" encoding="utf-8"?>
<Properties xmlns="http://schemas.openxmlformats.org/officeDocument/2006/custom-properties" xmlns:vt="http://schemas.openxmlformats.org/officeDocument/2006/docPropsVTypes"/>
</file>