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bookmarkStart w:id="0" w:name="_GoBack"/>
      <w:bookmarkEnd w:id="0"/>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2021-04-06T06:41:03Z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