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bookmarkStart w:id="0" w:name="_GoBack"/>
      <w:bookmarkEnd w:id="0"/>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F0838BD"/>
    <w:rsid w:val="0FA529FD"/>
    <w:rsid w:val="118A1E51"/>
    <w:rsid w:val="11F840CD"/>
    <w:rsid w:val="124F0AC9"/>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1D63AFF"/>
    <w:rsid w:val="42A74F39"/>
    <w:rsid w:val="42D86287"/>
    <w:rsid w:val="433C4EEC"/>
    <w:rsid w:val="43A82250"/>
    <w:rsid w:val="43B86823"/>
    <w:rsid w:val="44DA5512"/>
    <w:rsid w:val="45CC1BB9"/>
    <w:rsid w:val="46190E27"/>
    <w:rsid w:val="469126DD"/>
    <w:rsid w:val="469F18AA"/>
    <w:rsid w:val="46B067D1"/>
    <w:rsid w:val="48091C39"/>
    <w:rsid w:val="49BF4242"/>
    <w:rsid w:val="4C1D6F1E"/>
    <w:rsid w:val="4C31194B"/>
    <w:rsid w:val="4C622541"/>
    <w:rsid w:val="4C6C0A3D"/>
    <w:rsid w:val="4CBD21A6"/>
    <w:rsid w:val="4D2245D5"/>
    <w:rsid w:val="4E80773E"/>
    <w:rsid w:val="4EB4567D"/>
    <w:rsid w:val="4FD249D8"/>
    <w:rsid w:val="50086B5D"/>
    <w:rsid w:val="50743428"/>
    <w:rsid w:val="52471BF7"/>
    <w:rsid w:val="52ED2CA9"/>
    <w:rsid w:val="55600D7C"/>
    <w:rsid w:val="55F22D29"/>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860947"/>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2020-10-10T12:13:10Z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