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bookmarkStart w:id="0" w:name="_GoBack"/>
      <w:bookmarkEnd w:id="0"/>
      <w:r>
        <w:rPr>
          <w:rFonts w:hint="default" w:ascii="Segoe UI" w:hAnsi="Segoe UI" w:eastAsia="Segoe UI" w:cs="Segoe UI"/>
          <w:i w:val="0"/>
          <w:caps w:val="0"/>
          <w:color w:val="333333"/>
          <w:spacing w:val="0"/>
          <w:sz w:val="19"/>
          <w:szCs w:val="19"/>
          <w:shd w:val="clear" w:fill="FFFFFF"/>
          <w:lang w:val="en-US"/>
        </w:rPr>
        <w:t>)</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bdr w:val="none" w:color="auto" w:sz="0" w:space="0"/>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7"/>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7"/>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7"/>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7"/>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FB51945"/>
    <w:multiLevelType w:val="singleLevel"/>
    <w:tmpl w:val="6FB51945"/>
    <w:lvl w:ilvl="0" w:tentative="0">
      <w:start w:val="56"/>
      <w:numFmt w:val="decimal"/>
      <w:suff w:val="space"/>
      <w:lvlText w:val="%1."/>
      <w:lvlJc w:val="left"/>
    </w:lvl>
  </w:abstractNum>
  <w:abstractNum w:abstractNumId="16">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6"/>
  </w:num>
  <w:num w:numId="5">
    <w:abstractNumId w:val="15"/>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AC4BC4"/>
    <w:rsid w:val="14CA6C85"/>
    <w:rsid w:val="16E129C8"/>
    <w:rsid w:val="17371F86"/>
    <w:rsid w:val="174F6067"/>
    <w:rsid w:val="17BA1F7F"/>
    <w:rsid w:val="189F5461"/>
    <w:rsid w:val="1979189E"/>
    <w:rsid w:val="1AF84B07"/>
    <w:rsid w:val="1C796CEF"/>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255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2020-09-02T12:09:57Z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