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120" w:before="500"/>
        <w:jc w:val="center"/>
      </w:pPr>
      <w:r>
        <w:rPr>
          <w:rFonts w:ascii="Georgia" w:cs="Georgia" w:eastAsia="Georgia" w:hAnsi="Georgia"/>
          <w:b/>
          <w:bCs/>
          <w:color w:val="C99A3A"/>
          <w:spacing w:val="80"/>
          <w:sz w:val="22"/>
          <w:szCs w:val="22"/>
        </w:rPr>
        <w:t xml:space="preserve">DEKLARACJA PROGRAMOWA</w:t>
      </w:r>
    </w:p>
    <w:p>
      <w:pPr>
        <w:spacing w:after="160"/>
        <w:jc w:val="center"/>
      </w:pPr>
      <w:r>
        <w:rPr>
          <w:rFonts w:ascii="Georgia" w:cs="Georgia" w:eastAsia="Georgia" w:hAnsi="Georgia"/>
          <w:b/>
          <w:bCs/>
          <w:color w:val="2A2E36"/>
          <w:sz w:val="72"/>
          <w:szCs w:val="72"/>
        </w:rPr>
        <w:t xml:space="preserve">REALNA LEWICA</w:t>
      </w:r>
    </w:p>
    <w:p>
      <w:pPr>
        <w:pBdr>
          <w:bottom w:val="single" w:color="C99A3A" w:sz="8" w:space="24"/>
        </w:pBdr>
        <w:spacing w:after="400"/>
        <w:jc w:val="center"/>
      </w:pPr>
      <w:r>
        <w:rPr>
          <w:rFonts w:ascii="Calibri" w:cs="Calibri" w:eastAsia="Calibri" w:hAnsi="Calibri"/>
          <w:i/>
          <w:iCs/>
          <w:color w:val="7A1F3D"/>
          <w:sz w:val="26"/>
          <w:szCs w:val="26"/>
        </w:rPr>
        <w:t xml:space="preserve">Socjaldemokracja realistyczna</w:t>
      </w:r>
    </w:p>
    <w:p>
      <w:pPr>
        <w:spacing w:after="60" w:before="400"/>
        <w:jc w:val="center"/>
      </w:pPr>
      <w:r>
        <w:rPr>
          <w:rFonts w:ascii="Calibri" w:cs="Calibri" w:eastAsia="Calibri" w:hAnsi="Calibri"/>
          <w:color w:val="6B6F76"/>
          <w:sz w:val="21"/>
          <w:szCs w:val="21"/>
        </w:rPr>
        <w:t xml:space="preserve">Twoja pensja. Twoje ciało. Twoje mieszkanie. Twoje bezpieczeństwo.</w:t>
      </w:r>
    </w:p>
    <w:p>
      <w:pPr>
        <w:jc w:val="center"/>
      </w:pPr>
      <w:r>
        <w:rPr>
          <w:rFonts w:ascii="Calibri" w:cs="Calibri" w:eastAsia="Calibri" w:hAnsi="Calibri"/>
          <w:i/>
          <w:iCs/>
          <w:color w:val="6B6F76"/>
          <w:sz w:val="17"/>
          <w:szCs w:val="17"/>
        </w:rPr>
        <w:t xml:space="preserve">Wersja złożona: 24 września 2026</w:t>
      </w:r>
    </w:p>
    <w:p>
      <w:r>
        <w:br w:type="page"/>
      </w:r>
    </w:p>
    <w:p>
      <w:pPr>
        <w:pStyle w:val="Heading2"/>
      </w:pPr>
      <w:r>
        <w:t xml:space="preserve">Spis treści</w:t>
      </w:r>
    </w:p>
    <w:p>
      <w:pPr>
        <w:spacing w:after="80"/>
      </w:pPr>
      <w:r>
        <w:rPr>
          <w:rFonts w:ascii="Calibri" w:cs="Calibri" w:eastAsia="Calibri" w:hAnsi="Calibri"/>
          <w:color w:val="222222"/>
          <w:sz w:val="21"/>
          <w:szCs w:val="21"/>
        </w:rPr>
        <w:t xml:space="preserve">Kim jesteśmy</w:t>
      </w:r>
    </w:p>
    <w:p>
      <w:pPr>
        <w:spacing w:after="80" w:before="100"/>
      </w:pPr>
      <w:r>
        <w:rPr>
          <w:rFonts w:ascii="Calibri" w:cs="Calibri" w:eastAsia="Calibri" w:hAnsi="Calibri"/>
          <w:b/>
          <w:bCs/>
          <w:i/>
          <w:iCs/>
          <w:color w:val="C99A3A"/>
          <w:sz w:val="21"/>
          <w:szCs w:val="21"/>
        </w:rPr>
        <w:t xml:space="preserve">— Część I — polityka —</w:t>
      </w:r>
    </w:p>
    <w:p>
      <w:pPr>
        <w:spacing w:after="60"/>
        <w:ind w:left="280"/>
      </w:pPr>
      <w:r>
        <w:rPr>
          <w:rFonts w:ascii="Calibri" w:cs="Calibri" w:eastAsia="Calibri" w:hAnsi="Calibri"/>
          <w:color w:val="222222"/>
          <w:sz w:val="21"/>
          <w:szCs w:val="21"/>
        </w:rPr>
        <w:t xml:space="preserve">1. Polska z atomu, krzemu i stali</w:t>
      </w:r>
    </w:p>
    <w:p>
      <w:pPr>
        <w:spacing w:after="60"/>
        <w:ind w:left="280"/>
      </w:pPr>
      <w:r>
        <w:rPr>
          <w:rFonts w:ascii="Calibri" w:cs="Calibri" w:eastAsia="Calibri" w:hAnsi="Calibri"/>
          <w:color w:val="222222"/>
          <w:sz w:val="21"/>
          <w:szCs w:val="21"/>
        </w:rPr>
        <w:t xml:space="preserve">2. Państwo po stronie pracujących</w:t>
      </w:r>
    </w:p>
    <w:p>
      <w:pPr>
        <w:spacing w:after="60"/>
        <w:ind w:left="280"/>
      </w:pPr>
      <w:r>
        <w:rPr>
          <w:rFonts w:ascii="Calibri" w:cs="Calibri" w:eastAsia="Calibri" w:hAnsi="Calibri"/>
          <w:color w:val="222222"/>
          <w:sz w:val="21"/>
          <w:szCs w:val="21"/>
        </w:rPr>
        <w:t xml:space="preserve">3. Migracja</w:t>
      </w:r>
    </w:p>
    <w:p>
      <w:pPr>
        <w:spacing w:after="60"/>
        <w:ind w:left="280"/>
      </w:pPr>
      <w:r>
        <w:rPr>
          <w:rFonts w:ascii="Calibri" w:cs="Calibri" w:eastAsia="Calibri" w:hAnsi="Calibri"/>
          <w:color w:val="222222"/>
          <w:sz w:val="21"/>
          <w:szCs w:val="21"/>
        </w:rPr>
        <w:t xml:space="preserve">4. Gospodarka dla ludzi</w:t>
      </w:r>
    </w:p>
    <w:p>
      <w:pPr>
        <w:spacing w:after="60"/>
        <w:ind w:left="280"/>
      </w:pPr>
      <w:r>
        <w:rPr>
          <w:rFonts w:ascii="Calibri" w:cs="Calibri" w:eastAsia="Calibri" w:hAnsi="Calibri"/>
          <w:color w:val="222222"/>
          <w:sz w:val="21"/>
          <w:szCs w:val="21"/>
        </w:rPr>
        <w:t xml:space="preserve">5. Zdrowie i Twoje ciało</w:t>
      </w:r>
    </w:p>
    <w:p>
      <w:pPr>
        <w:spacing w:after="60"/>
        <w:ind w:left="280"/>
      </w:pPr>
      <w:r>
        <w:rPr>
          <w:rFonts w:ascii="Calibri" w:cs="Calibri" w:eastAsia="Calibri" w:hAnsi="Calibri"/>
          <w:color w:val="222222"/>
          <w:sz w:val="21"/>
          <w:szCs w:val="21"/>
        </w:rPr>
        <w:t xml:space="preserve">6. Uczciwa polityka</w:t>
      </w:r>
    </w:p>
    <w:p>
      <w:pPr>
        <w:spacing w:after="60"/>
        <w:ind w:left="280"/>
      </w:pPr>
      <w:r>
        <w:rPr>
          <w:rFonts w:ascii="Calibri" w:cs="Calibri" w:eastAsia="Calibri" w:hAnsi="Calibri"/>
          <w:color w:val="222222"/>
          <w:sz w:val="21"/>
          <w:szCs w:val="21"/>
        </w:rPr>
        <w:t xml:space="preserve">7. Prawo do mieszkania</w:t>
      </w:r>
    </w:p>
    <w:p>
      <w:pPr>
        <w:spacing w:after="60"/>
        <w:ind w:left="280"/>
      </w:pPr>
      <w:r>
        <w:rPr>
          <w:rFonts w:ascii="Calibri" w:cs="Calibri" w:eastAsia="Calibri" w:hAnsi="Calibri"/>
          <w:color w:val="222222"/>
          <w:sz w:val="21"/>
          <w:szCs w:val="21"/>
        </w:rPr>
        <w:t xml:space="preserve">8. Państwo, na które możesz liczyć</w:t>
      </w:r>
    </w:p>
    <w:p>
      <w:pPr>
        <w:spacing w:after="60"/>
        <w:ind w:left="280"/>
      </w:pPr>
      <w:r>
        <w:rPr>
          <w:rFonts w:ascii="Calibri" w:cs="Calibri" w:eastAsia="Calibri" w:hAnsi="Calibri"/>
          <w:color w:val="222222"/>
          <w:sz w:val="21"/>
          <w:szCs w:val="21"/>
        </w:rPr>
        <w:t xml:space="preserve">9. Nauka</w:t>
      </w:r>
    </w:p>
    <w:p>
      <w:pPr>
        <w:spacing w:after="60"/>
        <w:ind w:left="280"/>
      </w:pPr>
      <w:r>
        <w:rPr>
          <w:rFonts w:ascii="Calibri" w:cs="Calibri" w:eastAsia="Calibri" w:hAnsi="Calibri"/>
          <w:color w:val="222222"/>
          <w:sz w:val="21"/>
          <w:szCs w:val="21"/>
        </w:rPr>
        <w:t xml:space="preserve">10. Szkoła równych szans</w:t>
      </w:r>
    </w:p>
    <w:p>
      <w:pPr>
        <w:spacing w:after="60"/>
        <w:ind w:left="280"/>
      </w:pPr>
      <w:r>
        <w:rPr>
          <w:rFonts w:ascii="Calibri" w:cs="Calibri" w:eastAsia="Calibri" w:hAnsi="Calibri"/>
          <w:color w:val="222222"/>
          <w:sz w:val="21"/>
          <w:szCs w:val="21"/>
        </w:rPr>
        <w:t xml:space="preserve">11. Wolność, równość, solidarność</w:t>
      </w:r>
    </w:p>
    <w:p>
      <w:pPr>
        <w:spacing w:after="60"/>
        <w:ind w:left="280"/>
      </w:pPr>
      <w:r>
        <w:rPr>
          <w:rFonts w:ascii="Calibri" w:cs="Calibri" w:eastAsia="Calibri" w:hAnsi="Calibri"/>
          <w:color w:val="222222"/>
          <w:sz w:val="21"/>
          <w:szCs w:val="21"/>
        </w:rPr>
        <w:t xml:space="preserve">12. Przyroda</w:t>
      </w:r>
    </w:p>
    <w:p>
      <w:pPr>
        <w:spacing w:after="60"/>
        <w:ind w:left="280"/>
      </w:pPr>
      <w:r>
        <w:rPr>
          <w:rFonts w:ascii="Calibri" w:cs="Calibri" w:eastAsia="Calibri" w:hAnsi="Calibri"/>
          <w:color w:val="222222"/>
          <w:sz w:val="21"/>
          <w:szCs w:val="21"/>
        </w:rPr>
        <w:t xml:space="preserve">13. Silna Polska w Europie</w:t>
      </w:r>
    </w:p>
    <w:p>
      <w:pPr>
        <w:spacing w:after="60"/>
        <w:ind w:left="280"/>
      </w:pPr>
      <w:r>
        <w:rPr>
          <w:rFonts w:ascii="Calibri" w:cs="Calibri" w:eastAsia="Calibri" w:hAnsi="Calibri"/>
          <w:color w:val="222222"/>
          <w:sz w:val="21"/>
          <w:szCs w:val="21"/>
        </w:rPr>
        <w:t xml:space="preserve">14. Odporne społeczeństwo</w:t>
      </w:r>
    </w:p>
    <w:p>
      <w:pPr>
        <w:spacing w:after="80" w:before="100"/>
      </w:pPr>
      <w:r>
        <w:rPr>
          <w:rFonts w:ascii="Calibri" w:cs="Calibri" w:eastAsia="Calibri" w:hAnsi="Calibri"/>
          <w:b/>
          <w:bCs/>
          <w:i/>
          <w:iCs/>
          <w:color w:val="C99A3A"/>
          <w:sz w:val="21"/>
          <w:szCs w:val="21"/>
        </w:rPr>
        <w:t xml:space="preserve">— Część II — ustrój —</w:t>
      </w:r>
    </w:p>
    <w:p>
      <w:pPr>
        <w:spacing w:after="60"/>
        <w:ind w:left="280"/>
      </w:pPr>
      <w:r>
        <w:rPr>
          <w:rFonts w:ascii="Calibri" w:cs="Calibri" w:eastAsia="Calibri" w:hAnsi="Calibri"/>
          <w:color w:val="222222"/>
          <w:sz w:val="21"/>
          <w:szCs w:val="21"/>
        </w:rPr>
        <w:t xml:space="preserve">15. Ustrój państwa</w:t>
      </w:r>
    </w:p>
    <w:p>
      <w:pPr>
        <w:spacing w:after="60"/>
        <w:ind w:left="280"/>
      </w:pPr>
      <w:r>
        <w:rPr>
          <w:rFonts w:ascii="Calibri" w:cs="Calibri" w:eastAsia="Calibri" w:hAnsi="Calibri"/>
          <w:color w:val="222222"/>
          <w:sz w:val="21"/>
          <w:szCs w:val="21"/>
        </w:rPr>
        <w:t xml:space="preserve">16. Media publiczne</w:t>
      </w:r>
    </w:p>
    <w:p>
      <w:pPr>
        <w:spacing w:after="60"/>
        <w:ind w:left="280"/>
      </w:pPr>
      <w:r>
        <w:rPr>
          <w:rFonts w:ascii="Calibri" w:cs="Calibri" w:eastAsia="Calibri" w:hAnsi="Calibri"/>
          <w:color w:val="222222"/>
          <w:sz w:val="21"/>
          <w:szCs w:val="21"/>
        </w:rPr>
        <w:t xml:space="preserve">17. Nazwa i symbolika</w:t>
      </w:r>
    </w:p>
    <w:p>
      <w:pPr>
        <w:spacing w:after="80" w:before="100"/>
      </w:pPr>
      <w:r>
        <w:rPr>
          <w:rFonts w:ascii="Calibri" w:cs="Calibri" w:eastAsia="Calibri" w:hAnsi="Calibri"/>
          <w:b/>
          <w:bCs/>
          <w:i/>
          <w:iCs/>
          <w:color w:val="C99A3A"/>
          <w:sz w:val="21"/>
          <w:szCs w:val="21"/>
        </w:rPr>
        <w:t xml:space="preserve">— Część III — aneks kosztów —</w:t>
      </w:r>
    </w:p>
    <w:p>
      <w:pPr>
        <w:sectPr>
          <w:pgSz w:w="11906" w:h="16838" w:orient="portrait"/>
          <w:pgMar w:top="1300" w:right="1440" w:bottom="1200" w:left="1440" w:header="600" w:footer="600" w:gutter="0"/>
          <w:pgNumType/>
          <w:docGrid w:linePitch="360"/>
        </w:sectPr>
      </w:pPr>
    </w:p>
    <w:p>
      <w:pPr>
        <w:pStyle w:val="Heading2"/>
      </w:pPr>
      <w:r>
        <w:t xml:space="preserve">Kim jesteśmy</w:t>
      </w:r>
    </w:p>
    <w:p>
      <w:pPr>
        <w:spacing w:after="140" w:line="290"/>
      </w:pPr>
      <w:r>
        <w:rPr>
          <w:rFonts w:ascii="Calibri" w:cs="Calibri" w:eastAsia="Calibri" w:hAnsi="Calibri"/>
          <w:color w:val="222222"/>
          <w:sz w:val="21"/>
          <w:szCs w:val="21"/>
        </w:rPr>
        <w:t xml:space="preserve">Jesteś zmęczony czekaniem — na mieszkanie, na lekarza, na pensję, która starczy na coś więcej niż rachunki. Zmęczony tym, że o Twoim ciele decyduje ktoś inny, i że jeden człowiek na Zamku może zatrzymać ustawę, na którą zagłosowały miliony.</w:t>
      </w:r>
    </w:p>
    <w:p>
      <w:pPr>
        <w:spacing w:after="140" w:line="290"/>
      </w:pPr>
      <w:r>
        <w:rPr>
          <w:rFonts w:ascii="Calibri" w:cs="Calibri" w:eastAsia="Calibri" w:hAnsi="Calibri"/>
          <w:color w:val="222222"/>
          <w:sz w:val="21"/>
          <w:szCs w:val="21"/>
        </w:rPr>
        <w:t xml:space="preserve">Realna Lewica to socjaldemokracja realistyczna: silne państwo przy pensji, zdrowiu, mieszkaniu i prawie do własnego ciała; sprawne między władzą centralną a samorządem; twarde tam, gdzie chaos niszczy zaufanie — w granicy i w kasie. Nie obiecujemy daty euro ani sześciu procent PKB na armię w tej kadencji — przy 4-dniowym tygodniu i dojściu do 7% PKB na zdrowie to by się finansowo nie spięło. Mówimy to na pierwszej stronie, nie w przypisie na końcu.</w:t>
      </w:r>
    </w:p>
    <w:p>
      <w:pPr>
        <w:pageBreakBefore/>
        <w:spacing w:after="60" w:before="0"/>
      </w:pPr>
      <w:r>
        <w:rPr>
          <w:rFonts w:ascii="Georgia" w:cs="Georgia" w:eastAsia="Georgia" w:hAnsi="Georgia"/>
          <w:b/>
          <w:bCs/>
          <w:color w:val="C99A3A"/>
          <w:spacing w:val="60"/>
          <w:sz w:val="16"/>
          <w:szCs w:val="16"/>
        </w:rPr>
        <w:t xml:space="preserve">CZĘŚĆ</w:t>
      </w:r>
    </w:p>
    <w:p>
      <w:pPr>
        <w:pStyle w:val="Heading1"/>
      </w:pPr>
      <w:r>
        <w:t xml:space="preserve">Część I</w:t>
      </w:r>
    </w:p>
    <w:p>
      <w:pPr>
        <w:pStyle w:val="Heading2"/>
      </w:pPr>
      <w:r>
        <w:t xml:space="preserve">1. Polska z atomu, krzemu i stali</w:t>
      </w:r>
    </w:p>
    <w:p>
      <w:pPr>
        <w:spacing w:after="200" w:line="300"/>
      </w:pPr>
      <w:r>
        <w:rPr>
          <w:rFonts w:ascii="Calibri" w:cs="Calibri" w:eastAsia="Calibri" w:hAnsi="Calibri"/>
          <w:color w:val="222222"/>
          <w:sz w:val="21"/>
          <w:szCs w:val="21"/>
        </w:rPr>
        <w:t xml:space="preserve">Dekady niedoinwestowania energetyki i przemysłu odbijają się czkawką. Bez suwerennego planu zostaniemy z infrastrukturą z poprzedniej epoki, kupując u innych to, co powinniśmy umieć zrobić sami.</w:t>
      </w:r>
    </w:p>
    <w:p>
      <w:pPr>
        <w:pStyle w:val="ListParagraph"/>
        <w:numPr>
          <w:ilvl w:val="0"/>
          <w:numId w:val="2"/>
        </w:numPr>
        <w:spacing w:after="120" w:line="290"/>
      </w:pPr>
      <w:r>
        <w:rPr>
          <w:rFonts w:ascii="Calibri" w:cs="Calibri" w:eastAsia="Calibri" w:hAnsi="Calibri"/>
          <w:color w:val="222222"/>
          <w:sz w:val="21"/>
          <w:szCs w:val="21"/>
        </w:rPr>
        <w:t xml:space="preserve">Program „Atomowa Polska” zakłada docelowo około 12 GW mocy jądrowej, ale w realistycznym horyzoncie 20–25 lat, nie 15 — bo tak jest po prostu uczciwiej wobec ludzi, którym się to obiecuje. Nie zaczynamy od zera: przyspieszamy projekty, które już są w budowie (Lubiatowo-Kopalino, Pątnów), a postęp sprawdzamy co 3–4 lata, żeby wiedzieć, kiedy harmonogram trzeba skorygować, zamiast udawać, że wszystko idzie zgodnie z planem.</w:t>
      </w:r>
    </w:p>
    <w:p>
      <w:pPr>
        <w:pStyle w:val="ListParagraph"/>
        <w:numPr>
          <w:ilvl w:val="0"/>
          <w:numId w:val="2"/>
        </w:numPr>
        <w:spacing w:after="120" w:line="290"/>
      </w:pPr>
      <w:r>
        <w:rPr>
          <w:rFonts w:ascii="Calibri" w:cs="Calibri" w:eastAsia="Calibri" w:hAnsi="Calibri"/>
          <w:color w:val="222222"/>
          <w:sz w:val="21"/>
          <w:szCs w:val="21"/>
        </w:rPr>
        <w:t xml:space="preserve">Równolegle z atomem stawiamy na energetykę wiatrową i słoneczną, bo te dają dodatkową moc w sieci szybciej niż elektrownie jądrowe, które budują się latami — nie czekamy z rękami złożonymi na atom, żeby zacząć produkować czystą energię.</w:t>
      </w:r>
    </w:p>
    <w:p>
      <w:pPr>
        <w:pStyle w:val="ListParagraph"/>
        <w:numPr>
          <w:ilvl w:val="0"/>
          <w:numId w:val="2"/>
        </w:numPr>
        <w:spacing w:after="120" w:line="290"/>
      </w:pPr>
      <w:r>
        <w:rPr>
          <w:rFonts w:ascii="Calibri" w:cs="Calibri" w:eastAsia="Calibri" w:hAnsi="Calibri"/>
          <w:color w:val="222222"/>
          <w:sz w:val="21"/>
          <w:szCs w:val="21"/>
        </w:rPr>
        <w:t xml:space="preserve">Dla regionów górniczych: górnicy pracujący dziś w spółkach Skarbu Państwa mają zagwarantowaną pracę do emerytury, nie zwolnienie z dnia na dzień pod pretekstem transformacji. Każde zlikwidowane stanowisko w energetyce konwencjonalnej ma mieć swój odpowiednik — nowe miejsce pracy w tym samym regionie, nie gdzieś odległym, do którego trzeba się przeprowadzić.</w:t>
      </w:r>
    </w:p>
    <w:p>
      <w:pPr>
        <w:pStyle w:val="ListParagraph"/>
        <w:numPr>
          <w:ilvl w:val="0"/>
          <w:numId w:val="2"/>
        </w:numPr>
        <w:spacing w:after="120" w:line="290"/>
      </w:pPr>
      <w:r>
        <w:rPr>
          <w:rFonts w:ascii="Calibri" w:cs="Calibri" w:eastAsia="Calibri" w:hAnsi="Calibri"/>
          <w:color w:val="222222"/>
          <w:sz w:val="21"/>
          <w:szCs w:val="21"/>
        </w:rPr>
        <w:t xml:space="preserve">Budujemy krajowe kompetencje przemysłowe w trzech kluczowych obszarach: energetyce jądrowej, produkcji półprzewodników i budowie maszyn — żeby nie być zależni wyłącznie od zagranicznych wykonawców i cudzych technologii, kiedy przyjdzie kolejny kryzys dostaw.</w:t>
      </w:r>
    </w:p>
    <w:p>
      <w:pPr>
        <w:pStyle w:val="ListParagraph"/>
        <w:numPr>
          <w:ilvl w:val="0"/>
          <w:numId w:val="2"/>
        </w:numPr>
        <w:spacing w:after="120" w:line="290"/>
      </w:pPr>
      <w:r>
        <w:rPr>
          <w:rFonts w:ascii="Calibri" w:cs="Calibri" w:eastAsia="Calibri" w:hAnsi="Calibri"/>
          <w:color w:val="222222"/>
          <w:sz w:val="21"/>
          <w:szCs w:val="21"/>
        </w:rPr>
        <w:t xml:space="preserve">Znosimy konstytucyjny limit, który dziś zakazuje zadłużania państwa powyżej 60% PKB. Dług zaciągnięty na budowę elektrowni atomowej czy modernizację sprzętu dla wojska jest ekonomicznie czymś innym niż dług na codzienne wydatki budżetu — inwestycja, która będzie służyć dekadami, nie powinna być traktowana tak samo jak dziura w budżecie na bieżące pensje. To zmiana konstytucji, więc — zgodnie z rozdziałem 15.2 — rozstrzygną ją obywatele w referendum.</w:t>
      </w:r>
    </w:p>
    <w:p>
      <w:pPr>
        <w:pStyle w:val="ListParagraph"/>
        <w:numPr>
          <w:ilvl w:val="0"/>
          <w:numId w:val="2"/>
        </w:numPr>
        <w:spacing w:after="120" w:line="290"/>
      </w:pPr>
      <w:r>
        <w:rPr>
          <w:rFonts w:ascii="Calibri" w:cs="Calibri" w:eastAsia="Calibri" w:hAnsi="Calibri"/>
          <w:color w:val="222222"/>
          <w:sz w:val="21"/>
          <w:szCs w:val="21"/>
        </w:rPr>
        <w:t xml:space="preserve">Powołujemy Fundusz Inwestycji Strategicznych, który finansuje z długu program atomowy i modernizację wojska. Mieszkania nie są finansowane z tego funduszu — ich finansowanie opisujemy w rozdziale 7, bo to inny, celowy mechanizm oparty na daninie, nie na długu.</w:t>
      </w:r>
    </w:p>
    <w:p>
      <w:pPr>
        <w:pStyle w:val="ListParagraph"/>
        <w:numPr>
          <w:ilvl w:val="0"/>
          <w:numId w:val="2"/>
        </w:numPr>
        <w:spacing w:after="120" w:line="290"/>
      </w:pPr>
      <w:r>
        <w:rPr>
          <w:rFonts w:ascii="Calibri" w:cs="Calibri" w:eastAsia="Calibri" w:hAnsi="Calibri"/>
          <w:color w:val="222222"/>
          <w:sz w:val="21"/>
          <w:szCs w:val="21"/>
        </w:rPr>
        <w:t xml:space="preserve">Inwestujemy w kolej: połączenia dużych prędkości, kolej regionalną łączącą mniejsze miasta, połączenia nocne i nowe centra przesiadkowe budowane z wykorzystaniem polskich technologii, nie tylko importowanych rozwiązań.</w:t>
      </w:r>
    </w:p>
    <w:p>
      <w:pPr>
        <w:pStyle w:val="ListParagraph"/>
        <w:numPr>
          <w:ilvl w:val="0"/>
          <w:numId w:val="2"/>
        </w:numPr>
        <w:spacing w:after="120" w:line="290"/>
      </w:pPr>
      <w:r>
        <w:rPr>
          <w:rFonts w:ascii="Calibri" w:cs="Calibri" w:eastAsia="Calibri" w:hAnsi="Calibri"/>
          <w:color w:val="222222"/>
          <w:sz w:val="21"/>
          <w:szCs w:val="21"/>
        </w:rPr>
        <w:t xml:space="preserve">Autostrady dostają jeden, elektroniczny system poboru opłat w miejsce dzisiejszego rozdrobnienia między różne firmy i systemy. Dzisiejsze koncesje na autostrady nie są wykupywane przed czasem kosztem podatnika — po prostu wygasają naturalnie, kiedy się skończą.</w:t>
      </w:r>
    </w:p>
    <w:p>
      <w:pPr>
        <w:pStyle w:val="ListParagraph"/>
        <w:numPr>
          <w:ilvl w:val="0"/>
          <w:numId w:val="2"/>
        </w:numPr>
        <w:spacing w:after="120" w:line="290"/>
      </w:pPr>
      <w:r>
        <w:rPr>
          <w:rFonts w:ascii="Calibri" w:cs="Calibri" w:eastAsia="Calibri" w:hAnsi="Calibri"/>
          <w:color w:val="222222"/>
          <w:sz w:val="21"/>
          <w:szCs w:val="21"/>
        </w:rPr>
        <w:t xml:space="preserve">Rozbudowujemy zdolności przeładunkowe portów i terminali oraz bocznice kolejowe, żeby towar mógł jeździć koleją, nie tylko zapychać autostrady ciężarówkami.</w:t>
      </w:r>
    </w:p>
    <w:p>
      <w:pPr>
        <w:pStyle w:val="ListParagraph"/>
        <w:numPr>
          <w:ilvl w:val="0"/>
          <w:numId w:val="2"/>
        </w:numPr>
        <w:spacing w:after="120" w:line="290"/>
      </w:pPr>
      <w:r>
        <w:rPr>
          <w:rFonts w:ascii="Calibri" w:cs="Calibri" w:eastAsia="Calibri" w:hAnsi="Calibri"/>
          <w:color w:val="222222"/>
          <w:sz w:val="21"/>
          <w:szCs w:val="21"/>
        </w:rPr>
        <w:t xml:space="preserve">Publiczne autobusy wracają do każdej gminy: kursy w dni robocze, plus przynajmniej trzy kursy w weekend, z pojazdami dostępnymi dla osób z niepełnosprawnościami — koniec z gminami, do których po prostu nie da się dojechać bez samochodu.</w:t>
      </w:r>
    </w:p>
    <w:p>
      <w:pPr>
        <w:pStyle w:val="ListParagraph"/>
        <w:numPr>
          <w:ilvl w:val="0"/>
          <w:numId w:val="2"/>
        </w:numPr>
        <w:spacing w:after="120" w:line="290"/>
      </w:pPr>
      <w:r>
        <w:rPr>
          <w:rFonts w:ascii="Calibri" w:cs="Calibri" w:eastAsia="Calibri" w:hAnsi="Calibri"/>
          <w:color w:val="222222"/>
          <w:sz w:val="21"/>
          <w:szCs w:val="21"/>
        </w:rPr>
        <w:t xml:space="preserve">Wprowadzamy jeden bilet działający u wszystkich przewoźników, z przewidywalnym rozkładem jazdy, który nie zmienia się co chwilę bez ostrzeżenia.</w:t>
      </w:r>
    </w:p>
    <w:p>
      <w:pPr>
        <w:pStyle w:val="ListParagraph"/>
        <w:numPr>
          <w:ilvl w:val="0"/>
          <w:numId w:val="2"/>
        </w:numPr>
        <w:spacing w:after="120" w:line="290"/>
      </w:pPr>
      <w:r>
        <w:rPr>
          <w:rFonts w:ascii="Calibri" w:cs="Calibri" w:eastAsia="Calibri" w:hAnsi="Calibri"/>
          <w:color w:val="222222"/>
          <w:sz w:val="21"/>
          <w:szCs w:val="21"/>
        </w:rPr>
        <w:t xml:space="preserve">Budujemy cyfrową niezależność państwa: własną infrastrukturę do przechowywania danych i przechodzenie z oprogramowania Microsoftu na system Linux i otwarte oprogramowanie biurowe (w pierwszym roku 50 tysięcy stanowisk pracy w administracji, w piątym roku co najmniej 80% całej administracji publicznej). Kod napisany za pieniądze podatnika ma być publicznie dostępny, nie zamknięty w prywatnej licencji. Jeden login wystarczy do załatwienia sprawy w urzędzie i w systemie zdrowia — koniec z dziesiątkami odrębnych kont i haseł. Cyfryzujemy też Państwową Inspekcję Pracy i ZUS, żeby sprawy szły szybciej. Uruchamiamy program „Polskie AI” — modele językowe trenowane na polskich tekstach, na krajowej infrastrukturze, z pierwszym modelem do obsługi administracji gotowym w ciągu 36 miesięcy. I zakazujemy trenowania sztucznej inteligencji na Twoich danych osobowych bez Twojej zgody.</w:t>
      </w:r>
    </w:p>
    <w:p>
      <w:pPr>
        <w:pStyle w:val="ListParagraph"/>
        <w:numPr>
          <w:ilvl w:val="0"/>
          <w:numId w:val="2"/>
        </w:numPr>
        <w:spacing w:after="120" w:line="290"/>
      </w:pPr>
      <w:r>
        <w:rPr>
          <w:rFonts w:ascii="Calibri" w:cs="Calibri" w:eastAsia="Calibri" w:hAnsi="Calibri"/>
          <w:color w:val="222222"/>
          <w:sz w:val="21"/>
          <w:szCs w:val="21"/>
        </w:rPr>
        <w:t xml:space="preserve">Nie podnosimy cen energii tylko po to, żeby na papierze „spełnić unijną dyrektywę” klimatyczną. Koszty transformacji energetycznej nie mogą spadać na osoby najmniej zarabiające, które i tak już z trudem płacą rachunki. Od wejścia unijnego systemu ETS2 (opłata za emisje z ogrzewania i paliw) gospodarstwa o niskich dochodach dostają dopłaty ze Społecznego Funduszu Klimatycznego i wpływów z ETS — bez dodatkowego obciążenia budżetu.</w:t>
      </w:r>
    </w:p>
    <w:p>
      <w:pPr>
        <w:pStyle w:val="ListParagraph"/>
        <w:numPr>
          <w:ilvl w:val="0"/>
          <w:numId w:val="2"/>
        </w:numPr>
        <w:spacing w:after="120" w:line="290"/>
      </w:pPr>
      <w:r>
        <w:rPr>
          <w:rFonts w:ascii="Calibri" w:cs="Calibri" w:eastAsia="Calibri" w:hAnsi="Calibri"/>
          <w:color w:val="222222"/>
          <w:sz w:val="21"/>
          <w:szCs w:val="21"/>
        </w:rPr>
        <w:t xml:space="preserve">Od 2035 roku zakazujemy ogrzewania węglem w domach w miastach. Publiczne sieci ciepłownicze nie mogą zostać sprzedane prywatnym inwestorom, a gdy sprzedawana jest sieć prywatna, gmina ma prawo pierwokupu.</w:t>
      </w:r>
    </w:p>
    <w:p>
      <w:pPr>
        <w:pStyle w:val="ListParagraph"/>
        <w:numPr>
          <w:ilvl w:val="0"/>
          <w:numId w:val="2"/>
        </w:numPr>
        <w:spacing w:after="120" w:line="290"/>
      </w:pPr>
      <w:r>
        <w:rPr>
          <w:rFonts w:ascii="Calibri" w:cs="Calibri" w:eastAsia="Calibri" w:hAnsi="Calibri"/>
          <w:color w:val="222222"/>
          <w:sz w:val="21"/>
          <w:szCs w:val="21"/>
        </w:rPr>
        <w:t xml:space="preserve">Budujemy rezerwy strategiczne surowców energetycznych: gaz na 90 dni, ropa na 60 dni, węgiel energetyczny na 30 dni — żeby żaden kryzys dostaw z zagranicy nie zaskoczył kraju z pustymi magazynami.</w:t>
      </w:r>
    </w:p>
    <w:p>
      <w:pPr>
        <w:pStyle w:val="ListParagraph"/>
        <w:numPr>
          <w:ilvl w:val="0"/>
          <w:numId w:val="2"/>
        </w:numPr>
        <w:spacing w:after="120" w:line="290"/>
      </w:pPr>
      <w:r>
        <w:rPr>
          <w:rFonts w:ascii="Calibri" w:cs="Calibri" w:eastAsia="Calibri" w:hAnsi="Calibri"/>
          <w:color w:val="222222"/>
          <w:sz w:val="21"/>
          <w:szCs w:val="21"/>
        </w:rPr>
        <w:t xml:space="preserve">Tworzymy państwowy holding budowlany specjalizujący się w kolei i energetyce — duże, strategiczne inwestycje infrastrukturalne państwo realizuje częściowo własnymi rękami, nie tylko zamawia u prywatnych firm, które mogą podnieść cenę w każdej chwili. Ten holding nie zajmuje się budową mieszkań — to odrębny mechanizm opisany w rozdziale 7.</w:t>
      </w:r>
    </w:p>
    <w:p>
      <w:pPr>
        <w:pStyle w:val="Heading2"/>
      </w:pPr>
      <w:r>
        <w:t xml:space="preserve">2. Państwo po stronie pracujących</w:t>
      </w:r>
    </w:p>
    <w:p>
      <w:pPr>
        <w:spacing w:after="200" w:line="300"/>
      </w:pPr>
      <w:r>
        <w:rPr>
          <w:rFonts w:ascii="Calibri" w:cs="Calibri" w:eastAsia="Calibri" w:hAnsi="Calibri"/>
          <w:color w:val="222222"/>
          <w:sz w:val="21"/>
          <w:szCs w:val="21"/>
        </w:rPr>
        <w:t xml:space="preserve">Miliony ludzi pracujących codziennie utrzymują ten kraj, a przez lata państwo patrzyło z boku, jak są pozbawiani stabilnej pracy, głosu w firmie i zwykłej ludzkiej ochrony przed wyzyskiem. To się zmienia — realny wpływ na to, co dzieje się w Twoim miejscu pracy, ochrona, kiedy jesteś chory, i pensja, która rośnie razem z gospodarką, nie zostaje w tyle.</w:t>
      </w:r>
    </w:p>
    <w:p>
      <w:pPr>
        <w:pStyle w:val="ListParagraph"/>
        <w:numPr>
          <w:ilvl w:val="0"/>
          <w:numId w:val="3"/>
        </w:numPr>
        <w:spacing w:after="120" w:line="290"/>
      </w:pPr>
      <w:r>
        <w:rPr>
          <w:rFonts w:ascii="Calibri" w:cs="Calibri" w:eastAsia="Calibri" w:hAnsi="Calibri"/>
          <w:color w:val="222222"/>
          <w:sz w:val="21"/>
          <w:szCs w:val="21"/>
        </w:rPr>
        <w:t xml:space="preserve">Ułatwiamy wchodzenie w spór zbiorowy i organizowanie strajków solidarnościowych z innymi zakładami, a pracodawcom utrudniającym działanie związków zawodowych grożą wyższe kary. W firmach zatrudniających od 500 do 1999 osób pracownicy wybierają jedną trzecią miejsc w radzie nadzorczej; w firmach od 2000 osób — formalnie połowę miejsc, choć w razie remisu głos rozstrzygający ma strona kapitałowa. Każda firma zatrudniająca od 50 osób musi mieć radę zakładową.</w:t>
      </w:r>
    </w:p>
    <w:p>
      <w:pPr>
        <w:pStyle w:val="ListParagraph"/>
        <w:numPr>
          <w:ilvl w:val="0"/>
          <w:numId w:val="3"/>
        </w:numPr>
        <w:spacing w:after="120" w:line="290"/>
      </w:pPr>
      <w:r>
        <w:rPr>
          <w:rFonts w:ascii="Calibri" w:cs="Calibri" w:eastAsia="Calibri" w:hAnsi="Calibri"/>
          <w:color w:val="222222"/>
          <w:sz w:val="21"/>
          <w:szCs w:val="21"/>
        </w:rPr>
        <w:t xml:space="preserve">Bronimy prawa Państwowej Inspekcji Pracy do samodzielnego przekwalifikowania umowy cywilnoprawnej lub B2B na umowę o pracę, bez czekania na wyrok sądu — obowiązującego od lipca 2026 roku i zaskarżonego przez prezydenta do Trybunału Konstytucyjnego. Żeby to prawo działało w praktyce, w ciągu kadencji podwajamy liczbę inspektorów pracy.</w:t>
      </w:r>
    </w:p>
    <w:p>
      <w:pPr>
        <w:pStyle w:val="ListParagraph"/>
        <w:numPr>
          <w:ilvl w:val="0"/>
          <w:numId w:val="3"/>
        </w:numPr>
        <w:spacing w:after="120" w:line="290"/>
      </w:pPr>
      <w:r>
        <w:rPr>
          <w:rFonts w:ascii="Calibri" w:cs="Calibri" w:eastAsia="Calibri" w:hAnsi="Calibri"/>
          <w:color w:val="222222"/>
          <w:sz w:val="21"/>
          <w:szCs w:val="21"/>
        </w:rPr>
        <w:t xml:space="preserve">Osoba, która stała się ofiarą mobbingu w pracy, jest traktowana tak jak ofiara wypadku przy pracy — dostaje pełny zasiłek, ochronę przed zwolnieniem na czas trwania sprawy i prawo do odszkodowania od pracodawcy.</w:t>
      </w:r>
    </w:p>
    <w:p>
      <w:pPr>
        <w:pStyle w:val="ListParagraph"/>
        <w:numPr>
          <w:ilvl w:val="0"/>
          <w:numId w:val="3"/>
        </w:numPr>
        <w:spacing w:after="120" w:line="290"/>
      </w:pPr>
      <w:r>
        <w:rPr>
          <w:rFonts w:ascii="Calibri" w:cs="Calibri" w:eastAsia="Calibri" w:hAnsi="Calibri"/>
          <w:color w:val="222222"/>
          <w:sz w:val="21"/>
          <w:szCs w:val="21"/>
        </w:rPr>
        <w:t xml:space="preserve">Kończymy z praktyką bezpłatnych staży i wolontariatu, które w rzeczywistości są normalną pracą bez wynagrodzenia i żadnych praw pracowniczych. Sprawy pracownicze trafiają do osobnego pionu sądów pracy, z większą liczbą etatów sędziowskich i asystenckich — wyrok w pierwszej instancji zapada w ciągu 6 miesięcy od wniesienia pozwu.</w:t>
      </w:r>
    </w:p>
    <w:p>
      <w:pPr>
        <w:pStyle w:val="ListParagraph"/>
        <w:numPr>
          <w:ilvl w:val="0"/>
          <w:numId w:val="3"/>
        </w:numPr>
        <w:spacing w:after="120" w:line="290"/>
      </w:pPr>
      <w:r>
        <w:rPr>
          <w:rFonts w:ascii="Calibri" w:cs="Calibri" w:eastAsia="Calibri" w:hAnsi="Calibri"/>
          <w:color w:val="222222"/>
          <w:sz w:val="21"/>
          <w:szCs w:val="21"/>
        </w:rPr>
        <w:t xml:space="preserve">Wprowadzamy 4-dniowy tydzień pracy bez utraty wynagrodzenia, ale etapowo: w pierwszych dwóch latach obejmuje sektor publiczny i firmy zatrudniające powyżej 250 osób, z oceną efektów po 18 miesiącach, żeby sprawdzić, co realnie działa. W latach 3–5 dołącza reszta gospodarki, z dłuższym czasem na przystosowanie dla małych firm do 50 pracowników. Prawo do „odłączenia się” po godzinach pracy, bez konsekwencji za nieodbieranie telefonu czy maila od szefa, działa od pierwszego roku. Znosimy ustawowy zakaz handlu w niedzielę — to ma być decyzja pracownika i pracodawcy, nie ustawodawcy — ale za pracę w niedzielę należy się 250% zwykłej stawki. Sprzedaż alkoholu w niedzielę to osobny zakaz, uzasadniony zdrowotnie, nie religijnie — opisany w rozdziale 5.</w:t>
      </w:r>
    </w:p>
    <w:p>
      <w:pPr>
        <w:pStyle w:val="ListParagraph"/>
        <w:numPr>
          <w:ilvl w:val="0"/>
          <w:numId w:val="3"/>
        </w:numPr>
        <w:spacing w:after="120" w:line="290"/>
      </w:pPr>
      <w:r>
        <w:rPr>
          <w:rFonts w:ascii="Calibri" w:cs="Calibri" w:eastAsia="Calibri" w:hAnsi="Calibri"/>
          <w:color w:val="222222"/>
          <w:sz w:val="21"/>
          <w:szCs w:val="21"/>
        </w:rPr>
        <w:t xml:space="preserve">Płaca minimalna dochodzi do 75% mediany krajowego wynagrodzenia stopniowo, w ciągu kadencji — co roku o około 3 punkty procentowe (dziś to około 63%). Potem rośnie razem z pensjami w całej gospodarce, nie zostaje jednorazową, polityczną decyzją zamrożoną na lata.</w:t>
      </w:r>
    </w:p>
    <w:p>
      <w:pPr>
        <w:pStyle w:val="ListParagraph"/>
        <w:numPr>
          <w:ilvl w:val="0"/>
          <w:numId w:val="3"/>
        </w:numPr>
        <w:spacing w:after="120" w:line="290"/>
      </w:pPr>
      <w:r>
        <w:rPr>
          <w:rFonts w:ascii="Calibri" w:cs="Calibri" w:eastAsia="Calibri" w:hAnsi="Calibri"/>
          <w:color w:val="222222"/>
          <w:sz w:val="21"/>
          <w:szCs w:val="21"/>
        </w:rPr>
        <w:t xml:space="preserve">Każde ogłoszenie o pracę musi podawać widełki wynagrodzenia w samej treści ogłoszenia, nie dopiero przed rozmową — koniec z „wynagrodzeniem do uzgodnienia” jako sposobem na zaniżanie pensji na rozmowie. Wprowadzamy też mechanizmy korygujące różnice w wynagrodzeniach kobiet i mężczyzn za tę samą pracę.</w:t>
      </w:r>
    </w:p>
    <w:p>
      <w:pPr>
        <w:pStyle w:val="ListParagraph"/>
        <w:numPr>
          <w:ilvl w:val="0"/>
          <w:numId w:val="3"/>
        </w:numPr>
        <w:spacing w:after="120" w:line="290"/>
      </w:pPr>
      <w:r>
        <w:rPr>
          <w:rFonts w:ascii="Calibri" w:cs="Calibri" w:eastAsia="Calibri" w:hAnsi="Calibri"/>
          <w:color w:val="222222"/>
          <w:sz w:val="21"/>
          <w:szCs w:val="21"/>
        </w:rPr>
        <w:t xml:space="preserve">Kończymy z premiami frekwencyjnymi, które w praktyce finansowo karzą pracownika za to, że poszedł na chorobowe.</w:t>
      </w:r>
    </w:p>
    <w:p>
      <w:pPr>
        <w:pStyle w:val="ListParagraph"/>
        <w:numPr>
          <w:ilvl w:val="0"/>
          <w:numId w:val="3"/>
        </w:numPr>
        <w:spacing w:after="120" w:line="290"/>
      </w:pPr>
      <w:r>
        <w:rPr>
          <w:rFonts w:ascii="Calibri" w:cs="Calibri" w:eastAsia="Calibri" w:hAnsi="Calibri"/>
          <w:color w:val="222222"/>
          <w:sz w:val="21"/>
          <w:szCs w:val="21"/>
        </w:rPr>
        <w:t xml:space="preserve">Pensje w sektorze publicznym są powiązane ze średnim wynagrodzeniem w całej gospodarce i waloryzowane co roku co najmniej o wskaźnik inflacji. Kończymy z outsourcingiem stałych zadań administracji do firm zewnętrznych jako sposobem na obejście przepisów o zatrudnieniu.</w:t>
      </w:r>
    </w:p>
    <w:p>
      <w:pPr>
        <w:pStyle w:val="ListParagraph"/>
        <w:numPr>
          <w:ilvl w:val="0"/>
          <w:numId w:val="3"/>
        </w:numPr>
        <w:spacing w:after="120" w:line="290"/>
      </w:pPr>
      <w:r>
        <w:rPr>
          <w:rFonts w:ascii="Calibri" w:cs="Calibri" w:eastAsia="Calibri" w:hAnsi="Calibri"/>
          <w:color w:val="222222"/>
          <w:sz w:val="21"/>
          <w:szCs w:val="21"/>
        </w:rPr>
        <w:t xml:space="preserve">Firmy, które redukują etaty w wyniku automatyzacji i robotyzacji, płacą dodatkową część podatku CIT do Funduszu Automatyzacji, z którego finansujemy przekwalifikowanie zwalnianych pracowników na nowe zawody.</w:t>
      </w:r>
    </w:p>
    <w:p>
      <w:pPr>
        <w:pStyle w:val="ListParagraph"/>
        <w:numPr>
          <w:ilvl w:val="0"/>
          <w:numId w:val="3"/>
        </w:numPr>
        <w:spacing w:after="120" w:line="290"/>
      </w:pPr>
      <w:r>
        <w:rPr>
          <w:rFonts w:ascii="Calibri" w:cs="Calibri" w:eastAsia="Calibri" w:hAnsi="Calibri"/>
          <w:color w:val="222222"/>
          <w:sz w:val="21"/>
          <w:szCs w:val="21"/>
        </w:rPr>
        <w:t xml:space="preserve">Samorządy w regionach z wysokim bezrobociem dostają środki na tworzenie miejsc pracy przy zadaniach użytecznych społecznie — nie fikcyjnych etatów, tylko realnej pracy, która inaczej by nie powstała.</w:t>
      </w:r>
    </w:p>
    <w:p>
      <w:pPr>
        <w:pStyle w:val="ListParagraph"/>
        <w:numPr>
          <w:ilvl w:val="0"/>
          <w:numId w:val="3"/>
        </w:numPr>
        <w:spacing w:after="120" w:line="290"/>
      </w:pPr>
      <w:r>
        <w:rPr>
          <w:rFonts w:ascii="Calibri" w:cs="Calibri" w:eastAsia="Calibri" w:hAnsi="Calibri"/>
          <w:color w:val="222222"/>
          <w:sz w:val="21"/>
          <w:szCs w:val="21"/>
        </w:rPr>
        <w:t xml:space="preserve">Osoby zawodowo zajmujące się twórczością artystyczną — pisarze, muzycy, artyści wizualni — płacą tylko połowę standardowej składki na ubezpieczenie zdrowotne, emerytalne i opiekuńcze, tak jak pracownik na etacie płaci swoją część, a pracodawca drugą. Drugą połowę pokrywa nowy Fundusz Ubezpieczeń Twórców, finansowany z opłaty w wysokości 2% wartości honorarium, płaconej przez wydawnictwa, teatry, galerie, organizatorów koncertów i inne podmioty zamawiające pracę twórczą, uzupełnionej dotacją z budżetu państwa. Warunek: praca artystyczna musi być głównym, nie dodatkowym źródłem dochodu.</w:t>
      </w:r>
    </w:p>
    <w:p>
      <w:pPr>
        <w:pStyle w:val="ListParagraph"/>
        <w:numPr>
          <w:ilvl w:val="0"/>
          <w:numId w:val="3"/>
        </w:numPr>
        <w:spacing w:after="120" w:line="290"/>
      </w:pPr>
      <w:r>
        <w:rPr>
          <w:rFonts w:ascii="Calibri" w:cs="Calibri" w:eastAsia="Calibri" w:hAnsi="Calibri"/>
          <w:color w:val="222222"/>
          <w:sz w:val="21"/>
          <w:szCs w:val="21"/>
        </w:rPr>
        <w:t xml:space="preserve">W instytucjach kultury finansowanych z pieniędzy publicznych — teatrach, filharmoniach, muzeach, domach kultury i bibliotekach — stała praca odbywa się na umowie o pracę, nie na umowie o dzieło czy zleceniu. Umowa o dzieło zostaje tylko dla dzieł faktycznie jednorazowych: gościnnego spektaklu, kompozycji, projektu wystawy.</w:t>
      </w:r>
    </w:p>
    <w:p>
      <w:pPr>
        <w:pStyle w:val="ListParagraph"/>
        <w:numPr>
          <w:ilvl w:val="0"/>
          <w:numId w:val="3"/>
        </w:numPr>
        <w:spacing w:after="120" w:line="290"/>
      </w:pPr>
      <w:r>
        <w:rPr>
          <w:rFonts w:ascii="Calibri" w:cs="Calibri" w:eastAsia="Calibri" w:hAnsi="Calibri"/>
          <w:color w:val="222222"/>
          <w:sz w:val="21"/>
          <w:szCs w:val="21"/>
        </w:rPr>
        <w:t xml:space="preserve">Dzisiejszy, symboliczny zasiłek dla bezrobotnych zastępujemy prawdziwym ubezpieczeniem od utraty pracy: pierwsze 6 miesięcy bez pracy to 80% ostatniej pensji, kolejne 6 miesięcy — 50%, z górnym limitem świadczenia takim samym jak przy zasiłku chorobowym.</w:t>
      </w:r>
    </w:p>
    <w:p>
      <w:pPr>
        <w:pStyle w:val="Heading2"/>
      </w:pPr>
      <w:r>
        <w:t xml:space="preserve">3. Migracja</w:t>
      </w:r>
    </w:p>
    <w:p>
      <w:pPr>
        <w:spacing w:after="200" w:line="300"/>
      </w:pPr>
      <w:r>
        <w:rPr>
          <w:rFonts w:ascii="Calibri" w:cs="Calibri" w:eastAsia="Calibri" w:hAnsi="Calibri"/>
          <w:color w:val="222222"/>
          <w:sz w:val="21"/>
          <w:szCs w:val="21"/>
        </w:rPr>
        <w:t xml:space="preserve">Granicą i azylem rządzi prawo, nie przypadek. Kto przyjeżdża do Polski pracować, ma zarabiać tyle co Polak na tym samym stanowisku — bo tani pracownik z zagranicy to broń przeciwko pensjom nas wszystkich. Kto łamie prawo, traci prawo pobytu. Kto je szanuje, może tu zbudować życie.</w:t>
      </w:r>
    </w:p>
    <w:p>
      <w:pPr>
        <w:pStyle w:val="Heading3"/>
      </w:pPr>
      <w:r>
        <w:t xml:space="preserve">Praca</w:t>
      </w:r>
    </w:p>
    <w:p>
      <w:pPr>
        <w:pStyle w:val="ListParagraph"/>
        <w:numPr>
          <w:ilvl w:val="0"/>
          <w:numId w:val="4"/>
        </w:numPr>
        <w:spacing w:after="120" w:line="290"/>
      </w:pPr>
      <w:r>
        <w:rPr>
          <w:rFonts w:ascii="Calibri" w:cs="Calibri" w:eastAsia="Calibri" w:hAnsi="Calibri"/>
          <w:color w:val="222222"/>
          <w:sz w:val="21"/>
          <w:szCs w:val="21"/>
        </w:rPr>
        <w:t xml:space="preserve">Pozwolenie na pracę dostaje osoba z ofertą, w której pensja wynosi co najmniej 90% krajowej mediany wynagrodzeń. W zawodach deficytowych, z listy aktualizowanej co roku, próg wynosi 75% mediany — tyle, ile docelowa płaca minimalna (rozdział 2, punkt 6). Warunki zatrudnienia nie mogą być gorsze niż typowe w danym zawodzie i regionie. Ofertę trzeba najpierw wystawić na 14 dni w publicznym serwisie pracy.</w:t>
      </w:r>
    </w:p>
    <w:p>
      <w:pPr>
        <w:pStyle w:val="ListParagraph"/>
        <w:numPr>
          <w:ilvl w:val="0"/>
          <w:numId w:val="4"/>
        </w:numPr>
        <w:spacing w:after="120" w:line="290"/>
      </w:pPr>
      <w:r>
        <w:rPr>
          <w:rFonts w:ascii="Calibri" w:cs="Calibri" w:eastAsia="Calibri" w:hAnsi="Calibri"/>
          <w:color w:val="222222"/>
          <w:sz w:val="21"/>
          <w:szCs w:val="21"/>
        </w:rPr>
        <w:t xml:space="preserve">Urząd porównuje obiecaną pensję z danymi ZUS. Jeśli się nie zgadzają, karę płaci pracodawca, a pracownik ma 6 miesięcy na znalezienie nowej pracy bez utraty prawa pobytu.</w:t>
      </w:r>
    </w:p>
    <w:p>
      <w:pPr>
        <w:pStyle w:val="ListParagraph"/>
        <w:numPr>
          <w:ilvl w:val="0"/>
          <w:numId w:val="4"/>
        </w:numPr>
        <w:spacing w:after="120" w:line="290"/>
      </w:pPr>
      <w:r>
        <w:rPr>
          <w:rFonts w:ascii="Calibri" w:cs="Calibri" w:eastAsia="Calibri" w:hAnsi="Calibri"/>
          <w:color w:val="222222"/>
          <w:sz w:val="21"/>
          <w:szCs w:val="21"/>
        </w:rPr>
        <w:t xml:space="preserve">Rząd może rozporządzeniem wyłączyć z zezwoleń zawody, w których wykryto masowe nadużycia.</w:t>
      </w:r>
    </w:p>
    <w:p>
      <w:pPr>
        <w:pStyle w:val="ListParagraph"/>
        <w:numPr>
          <w:ilvl w:val="0"/>
          <w:numId w:val="4"/>
        </w:numPr>
        <w:spacing w:after="120" w:line="290"/>
      </w:pPr>
      <w:r>
        <w:rPr>
          <w:rFonts w:ascii="Calibri" w:cs="Calibri" w:eastAsia="Calibri" w:hAnsi="Calibri"/>
          <w:color w:val="222222"/>
          <w:sz w:val="21"/>
          <w:szCs w:val="21"/>
        </w:rPr>
        <w:t xml:space="preserve">Wprowadzamy dwa nowe przestępstwa: wyzysk pracy cudzoziemca oraz handel zezwoleniami na pracę — zagrożone karą do 4 lat więzienia. Pracodawca podejrzany lub skazany za wyzysk, handel ludźmi albo oszustwa podatkowe nie dostaje zezwoleń dla cudzoziemców. Kara za zatrudnienie osoby bez prawa do pracy rośnie dwukrotnie i obejmuje cały łańcuch podwykonawców. Pośrednik nie może pobrać od pracownika żadnej opłaty za pracę, wizę ani zakwaterowanie. Pobyt do roku wymaga pełnego ubezpieczenia zdrowotnego, łącznie z kosztem powrotu.</w:t>
      </w:r>
    </w:p>
    <w:p>
      <w:pPr>
        <w:pStyle w:val="ListParagraph"/>
        <w:numPr>
          <w:ilvl w:val="0"/>
          <w:numId w:val="4"/>
        </w:numPr>
        <w:spacing w:after="120" w:line="290"/>
      </w:pPr>
      <w:r>
        <w:rPr>
          <w:rFonts w:ascii="Calibri" w:cs="Calibri" w:eastAsia="Calibri" w:hAnsi="Calibri"/>
          <w:color w:val="222222"/>
          <w:sz w:val="21"/>
          <w:szCs w:val="21"/>
        </w:rPr>
        <w:t xml:space="preserve">Ochrona prawa pracy przysługuje każdemu pracującemu w Polsce na tych samych zasadach, niezależnie od tego, jaki paszport posiada.</w:t>
      </w:r>
    </w:p>
    <w:p>
      <w:pPr>
        <w:pStyle w:val="Heading3"/>
      </w:pPr>
      <w:r>
        <w:t xml:space="preserve">Azyl i ochrona</w:t>
      </w:r>
    </w:p>
    <w:p>
      <w:pPr>
        <w:pStyle w:val="ListParagraph"/>
        <w:numPr>
          <w:ilvl w:val="0"/>
          <w:numId w:val="4"/>
        </w:numPr>
        <w:spacing w:after="120" w:line="290"/>
      </w:pPr>
      <w:r>
        <w:rPr>
          <w:rFonts w:ascii="Calibri" w:cs="Calibri" w:eastAsia="Calibri" w:hAnsi="Calibri"/>
          <w:color w:val="222222"/>
          <w:sz w:val="21"/>
          <w:szCs w:val="21"/>
        </w:rPr>
        <w:t xml:space="preserve">Procedurę azylową prowadzi jedna, cywilna Krajowa Agencja Migracyjna, z 16 punktami przyjęć (po jednym na województwo). Odwołania rozstrzyga Sąd Migracyjny, a fizyczne wykonanie decyzji o wydaleniu należy do Straży Granicznej.</w:t>
      </w:r>
    </w:p>
    <w:p>
      <w:pPr>
        <w:pStyle w:val="ListParagraph"/>
        <w:numPr>
          <w:ilvl w:val="0"/>
          <w:numId w:val="4"/>
        </w:numPr>
        <w:spacing w:after="120" w:line="290"/>
      </w:pPr>
      <w:r>
        <w:rPr>
          <w:rFonts w:ascii="Calibri" w:cs="Calibri" w:eastAsia="Calibri" w:hAnsi="Calibri"/>
          <w:color w:val="222222"/>
          <w:sz w:val="21"/>
          <w:szCs w:val="21"/>
        </w:rPr>
        <w:t xml:space="preserve">Na czas trwania procedury azylowej osoba mieszka w państwowym ośrodku, nie pod dowolnie wybranym adresem — to ułatwia kontrolę i ewentualną deportację.</w:t>
      </w:r>
    </w:p>
    <w:p>
      <w:pPr>
        <w:pStyle w:val="ListParagraph"/>
        <w:numPr>
          <w:ilvl w:val="0"/>
          <w:numId w:val="4"/>
        </w:numPr>
        <w:spacing w:after="120" w:line="290"/>
      </w:pPr>
      <w:r>
        <w:rPr>
          <w:rFonts w:ascii="Calibri" w:cs="Calibri" w:eastAsia="Calibri" w:hAnsi="Calibri"/>
          <w:color w:val="222222"/>
          <w:sz w:val="21"/>
          <w:szCs w:val="21"/>
        </w:rPr>
        <w:t xml:space="preserve">Odmowa azylu oznacza obowiązek wyjazdu. Nie można przejść z procedury azylowej na zezwolenie na pracę bez opuszczenia Polski — kto chce tu pracować, składa wniosek z zagranicy.</w:t>
      </w:r>
    </w:p>
    <w:p>
      <w:pPr>
        <w:pStyle w:val="ListParagraph"/>
        <w:numPr>
          <w:ilvl w:val="0"/>
          <w:numId w:val="4"/>
        </w:numPr>
        <w:spacing w:after="120" w:line="290"/>
      </w:pPr>
      <w:r>
        <w:rPr>
          <w:rFonts w:ascii="Calibri" w:cs="Calibri" w:eastAsia="Calibri" w:hAnsi="Calibri"/>
          <w:color w:val="222222"/>
          <w:sz w:val="21"/>
          <w:szCs w:val="21"/>
        </w:rPr>
        <w:t xml:space="preserve">Zezwolenie na pobyt zachowuje tylko osoba, która przestrzega prawa i płaci podatki. Naruszenie tego warunku oznacza utratę zezwolenia i obowiązek powrotu.</w:t>
      </w:r>
    </w:p>
    <w:p>
      <w:pPr>
        <w:pStyle w:val="ListParagraph"/>
        <w:numPr>
          <w:ilvl w:val="0"/>
          <w:numId w:val="4"/>
        </w:numPr>
        <w:spacing w:after="120" w:line="290"/>
      </w:pPr>
      <w:r>
        <w:rPr>
          <w:rFonts w:ascii="Calibri" w:cs="Calibri" w:eastAsia="Calibri" w:hAnsi="Calibri"/>
          <w:color w:val="222222"/>
          <w:sz w:val="21"/>
          <w:szCs w:val="21"/>
        </w:rPr>
        <w:t xml:space="preserve">Liczbę uchodźców przyjmowanych z programów ONZ uchwala co roku Sejm w ustawie budżetowej. Wyznacza ją liczba miejsc, które państwo realnie zapewni w mieszkaniach, na kursach i w szkołach — na start około 3200 osób rocznie. Pierwszeństwo mają kobiety, dzieci, osoby z niepełnosprawnościami i osoby prześladowane za orientację lub tożsamość.</w:t>
      </w:r>
    </w:p>
    <w:p>
      <w:pPr>
        <w:pStyle w:val="ListParagraph"/>
        <w:numPr>
          <w:ilvl w:val="0"/>
          <w:numId w:val="4"/>
        </w:numPr>
        <w:spacing w:after="120" w:line="290"/>
      </w:pPr>
      <w:r>
        <w:rPr>
          <w:rFonts w:ascii="Calibri" w:cs="Calibri" w:eastAsia="Calibri" w:hAnsi="Calibri"/>
          <w:color w:val="222222"/>
          <w:sz w:val="21"/>
          <w:szCs w:val="21"/>
        </w:rPr>
        <w:t xml:space="preserve">Osoby uciekające przed wojną u naszych granic (jak Ukraińcy w 2022 roku) dostają szybką, odrębną ochronę czasową, która nie wlicza się do żadnego limitu — to solidarność sąsiedzka, nie standardowa migracja.</w:t>
      </w:r>
    </w:p>
    <w:p>
      <w:pPr>
        <w:pStyle w:val="ListParagraph"/>
        <w:numPr>
          <w:ilvl w:val="0"/>
          <w:numId w:val="4"/>
        </w:numPr>
        <w:spacing w:after="120" w:line="290"/>
      </w:pPr>
      <w:r>
        <w:rPr>
          <w:rFonts w:ascii="Calibri" w:cs="Calibri" w:eastAsia="Calibri" w:hAnsi="Calibri"/>
          <w:color w:val="222222"/>
          <w:sz w:val="21"/>
          <w:szCs w:val="21"/>
        </w:rPr>
        <w:t xml:space="preserve">Dzieci przybywające bez opieki dorosłych dostają kuratora w ciągu 3 dni i trafiają do rodziny zastępczej lub specjalistycznego ośrodka dla dzieci — nigdy do warunków przeznaczonych dla dorosłych.</w:t>
      </w:r>
    </w:p>
    <w:p>
      <w:pPr>
        <w:pStyle w:val="ListParagraph"/>
        <w:numPr>
          <w:ilvl w:val="0"/>
          <w:numId w:val="4"/>
        </w:numPr>
        <w:spacing w:after="120" w:line="290"/>
      </w:pPr>
      <w:r>
        <w:rPr>
          <w:rFonts w:ascii="Calibri" w:cs="Calibri" w:eastAsia="Calibri" w:hAnsi="Calibri"/>
          <w:color w:val="222222"/>
          <w:sz w:val="21"/>
          <w:szCs w:val="21"/>
        </w:rPr>
        <w:t xml:space="preserve">Jeśli granica Polski jest wykorzystywana instrumentalnie do wywołania kryzysu migracyjnego (jak np. przez Białoruś), procedura azylowa może zostać czasowo zawieszona — łącznie maksymalnie na 6 miesięcy w roku, a każde zawieszenie i przedłużenie kontroluje Sąd Najwyższy. Dziś przedłuża je Sejm, bez górnego limitu — to zmieniamy, żeby narzędzie nie było używane bez ograniczeń.</w:t>
      </w:r>
    </w:p>
    <w:p>
      <w:pPr>
        <w:pStyle w:val="Heading3"/>
      </w:pPr>
      <w:r>
        <w:t xml:space="preserve">Rodzina, język, obywatelstwo</w:t>
      </w:r>
    </w:p>
    <w:p>
      <w:pPr>
        <w:pStyle w:val="ListParagraph"/>
        <w:numPr>
          <w:ilvl w:val="0"/>
          <w:numId w:val="4"/>
        </w:numPr>
        <w:spacing w:after="120" w:line="290"/>
      </w:pPr>
      <w:r>
        <w:rPr>
          <w:rFonts w:ascii="Calibri" w:cs="Calibri" w:eastAsia="Calibri" w:hAnsi="Calibri"/>
          <w:color w:val="222222"/>
          <w:sz w:val="21"/>
          <w:szCs w:val="21"/>
        </w:rPr>
        <w:t xml:space="preserve">Cudzoziemiec mieszkający legalnie w Polsce może sprowadzić małżonka lub partnera oraz dzieci do 18. roku życia. Warunki: mieszkanie odpowiedniej wielkości zapewnione co najmniej na rok oraz dochód, z którego po zapłaceniu podatku i czynszu zostaje miesięcznie co najmniej 1300 zł na osobę samotną albo 2150 zł na parę, a do tego 700 zł na dziecko do 6 lat, 830 zł na dziecko w wieku 7–10 lat, 970 zł w wieku 11–14 lat i 1110 zł od 15 lat. Kwoty są waloryzowane co roku jak inne progi dochodowe (rozdział 8, punkt 1). Osoba z pobytem czasowym musi mieszkać w Polsce co najmniej 2 lata, zanim sprowadzi rodzinę. Ten sam warunek dochodowy obowiązuje przy przedłużaniu zezwolenia. Wyjątki: dzieci, które przybyły bez opieki, oraz uchodźcy składający wniosek w ciągu 3 miesięcy od przyznania ochrony.</w:t>
      </w:r>
    </w:p>
    <w:p>
      <w:pPr>
        <w:pStyle w:val="ListParagraph"/>
        <w:numPr>
          <w:ilvl w:val="0"/>
          <w:numId w:val="4"/>
        </w:numPr>
        <w:spacing w:after="120" w:line="290"/>
      </w:pPr>
      <w:r>
        <w:rPr>
          <w:rFonts w:ascii="Calibri" w:cs="Calibri" w:eastAsia="Calibri" w:hAnsi="Calibri"/>
          <w:color w:val="222222"/>
          <w:sz w:val="21"/>
          <w:szCs w:val="21"/>
        </w:rPr>
        <w:t xml:space="preserve">Każdy cudzoziemiec z prawem pobytu ma prawo do bezpłatnego kursu języka polskiego i wiedzy o Polsce przez 3 lata od zapisu.</w:t>
      </w:r>
    </w:p>
    <w:p>
      <w:pPr>
        <w:pStyle w:val="ListParagraph"/>
        <w:numPr>
          <w:ilvl w:val="0"/>
          <w:numId w:val="4"/>
        </w:numPr>
        <w:spacing w:after="120" w:line="290"/>
      </w:pPr>
      <w:r>
        <w:rPr>
          <w:rFonts w:ascii="Calibri" w:cs="Calibri" w:eastAsia="Calibri" w:hAnsi="Calibri"/>
          <w:color w:val="222222"/>
          <w:sz w:val="21"/>
          <w:szCs w:val="21"/>
        </w:rPr>
        <w:t xml:space="preserve">Obywatelstwo polskie można uzyskać po 9 latach legalnego pobytu, ze znajomością języka polskiego na poziomie B1, zdanym testem wiedzy o społeczeństwie i bez istotnej karalności.</w:t>
      </w:r>
    </w:p>
    <w:p>
      <w:pPr>
        <w:pStyle w:val="ListParagraph"/>
        <w:numPr>
          <w:ilvl w:val="0"/>
          <w:numId w:val="4"/>
        </w:numPr>
        <w:spacing w:after="120" w:line="290"/>
      </w:pPr>
      <w:r>
        <w:rPr>
          <w:rFonts w:ascii="Calibri" w:cs="Calibri" w:eastAsia="Calibri" w:hAnsi="Calibri"/>
          <w:color w:val="222222"/>
          <w:sz w:val="21"/>
          <w:szCs w:val="21"/>
        </w:rPr>
        <w:t xml:space="preserve">Osoba decydująca się na dobrowolny powrót do kraju pochodzenia dostaje wsparcie finansowe w wysokości 10 tysięcy złotych — to taniej i sprawiedliwiej niż lata utrzymywania kogoś bez perspektyw na pozostanie.</w:t>
      </w:r>
    </w:p>
    <w:p>
      <w:pPr>
        <w:pStyle w:val="ListParagraph"/>
        <w:numPr>
          <w:ilvl w:val="0"/>
          <w:numId w:val="4"/>
        </w:numPr>
        <w:spacing w:after="120" w:line="290"/>
      </w:pPr>
      <w:r>
        <w:rPr>
          <w:rFonts w:ascii="Calibri" w:cs="Calibri" w:eastAsia="Calibri" w:hAnsi="Calibri"/>
          <w:color w:val="222222"/>
          <w:sz w:val="21"/>
          <w:szCs w:val="21"/>
        </w:rPr>
        <w:t xml:space="preserve">Zagraniczni naukowcy i specjaliści przez pierwsze 7 lat pracy w Polsce płacą podatek od 75% dochodu — ale tylko w części dochodu mieszczącej się w drugim progu PIT (rozdział 4, punkt 1). Nie dotyczy to obywateli polskich ani osób, które mieszkały w Polsce w ciągu ostatnich 5 lat. Specjalne ulgi dla powracających z emigracji znikają: Polak wracający do kraju korzysta z tych samych usług publicznych co każdy — i to one mają być powodem powrotu.</w:t>
      </w:r>
    </w:p>
    <w:p>
      <w:pPr>
        <w:pStyle w:val="Heading2"/>
      </w:pPr>
      <w:r>
        <w:t xml:space="preserve">4. Gospodarka dla ludzi</w:t>
      </w:r>
    </w:p>
    <w:p>
      <w:pPr>
        <w:spacing w:after="200" w:line="300"/>
      </w:pPr>
      <w:r>
        <w:rPr>
          <w:rFonts w:ascii="Calibri" w:cs="Calibri" w:eastAsia="Calibri" w:hAnsi="Calibri"/>
          <w:color w:val="222222"/>
          <w:sz w:val="21"/>
          <w:szCs w:val="21"/>
        </w:rPr>
        <w:t xml:space="preserve">Dziś zwykły pracujący człowiek płaci wyższy realny podatek niż wielu milionerów korzystających z ulg wylobbowanych przez lata. Odwracamy tę logikę — prosto i nisko dla większości, wyraźnie więcej od tych, którzy naprawdę mogą sobie na to pozwolić, bez świętych krów i wyjątków dla wybranych grup zawodowych.</w:t>
      </w:r>
    </w:p>
    <w:p>
      <w:pPr>
        <w:pStyle w:val="ListParagraph"/>
        <w:numPr>
          <w:ilvl w:val="0"/>
          <w:numId w:val="5"/>
        </w:numPr>
        <w:spacing w:after="120" w:line="290"/>
      </w:pPr>
      <w:r>
        <w:rPr>
          <w:rFonts w:ascii="Calibri" w:cs="Calibri" w:eastAsia="Calibri" w:hAnsi="Calibri"/>
          <w:color w:val="222222"/>
          <w:sz w:val="21"/>
          <w:szCs w:val="21"/>
        </w:rPr>
        <w:t xml:space="preserve">Podatek PIT ma pięć progów: 12% do 120 tysięcy złotych rocznego dochodu i 32% od 120 do 300 tysięcy (oba bez zmian wobec dziś), 48% od 300 do 800 tysięcy, 56% od 800 tysięcy do 2 milionów i 71% powyżej 2 milionów złotych rocznie — przy czym każda wyższa stawka dotyczy tylko nadwyżki dochodu nad danym progiem, nie całości zarobków. Zostaje 4-procentowa danina solidarnościowa od dochodów powyżej 1 miliona, więc realnie najwyższe stawki wynoszą 60% (od 1 do 2 milionów) i 75% (powyżej 2 milionów).</w:t>
      </w:r>
    </w:p>
    <w:p>
      <w:pPr>
        <w:pStyle w:val="ListParagraph"/>
        <w:numPr>
          <w:ilvl w:val="0"/>
          <w:numId w:val="5"/>
        </w:numPr>
        <w:spacing w:after="120" w:line="290"/>
      </w:pPr>
      <w:r>
        <w:rPr>
          <w:rFonts w:ascii="Calibri" w:cs="Calibri" w:eastAsia="Calibri" w:hAnsi="Calibri"/>
          <w:color w:val="222222"/>
          <w:sz w:val="21"/>
          <w:szCs w:val="21"/>
        </w:rPr>
        <w:t xml:space="preserve">Majątek netto (po odjęciu długów) powyżej 7 milionów złotych obejmujemy podatkiem majątkowym ze stawką rosnącą od 1% do 8% w zależności od wielkości fortuny. Żeby dało się to w praktyce naliczać, tworzymy krajowy rejestr majątkowy.</w:t>
      </w:r>
    </w:p>
    <w:p>
      <w:pPr>
        <w:pStyle w:val="ListParagraph"/>
        <w:numPr>
          <w:ilvl w:val="0"/>
          <w:numId w:val="5"/>
        </w:numPr>
        <w:spacing w:after="120" w:line="290"/>
      </w:pPr>
      <w:r>
        <w:rPr>
          <w:rFonts w:ascii="Calibri" w:cs="Calibri" w:eastAsia="Calibri" w:hAnsi="Calibri"/>
          <w:color w:val="222222"/>
          <w:sz w:val="21"/>
          <w:szCs w:val="21"/>
        </w:rPr>
        <w:t xml:space="preserve">Spadki i darowizny powyżej 2 milionów złotych na jednego spadkobiercę są opodatkowane: 10% do 5 milionów, 20% do 20 milionów, 25% powyżej. Mieszkanie, w którym spadkobierca faktycznie mieszkał, oraz rodzinne oszczędności do 2 milionów złotych są całkowicie wolne od tego podatku — to nie jest podatek na zwykłą rodzinę dziedziczącą mieszkanie po rodzicach.</w:t>
      </w:r>
    </w:p>
    <w:p>
      <w:pPr>
        <w:pStyle w:val="ListParagraph"/>
        <w:numPr>
          <w:ilvl w:val="0"/>
          <w:numId w:val="5"/>
        </w:numPr>
        <w:spacing w:after="120" w:line="290"/>
      </w:pPr>
      <w:r>
        <w:rPr>
          <w:rFonts w:ascii="Calibri" w:cs="Calibri" w:eastAsia="Calibri" w:hAnsi="Calibri"/>
          <w:color w:val="222222"/>
          <w:sz w:val="21"/>
          <w:szCs w:val="21"/>
        </w:rPr>
        <w:t xml:space="preserve">Rozliczanie ryczałtem zostaje tylko dla małych działalności usługowych z przychodem do 200 tysięcy złotych rocznie. Przychody z wynajmu są zawsze rozliczane na skali PIT, nie ryczałtem. Podatek liniowy dla firm znika — przedsiębiorcy płacą podatki na takich samych zasadach jak osoba na etacie. Duchowni przechodzą na ogólne zasady opodatkowania, bez specjalnych przywilejów.</w:t>
      </w:r>
    </w:p>
    <w:p>
      <w:pPr>
        <w:pStyle w:val="ListParagraph"/>
        <w:numPr>
          <w:ilvl w:val="0"/>
          <w:numId w:val="5"/>
        </w:numPr>
        <w:spacing w:after="120" w:line="290"/>
      </w:pPr>
      <w:r>
        <w:rPr>
          <w:rFonts w:ascii="Calibri" w:cs="Calibri" w:eastAsia="Calibri" w:hAnsi="Calibri"/>
          <w:color w:val="222222"/>
          <w:sz w:val="21"/>
          <w:szCs w:val="21"/>
        </w:rPr>
        <w:t xml:space="preserve">Znosimy limit 30-krotności przeciętnego wynagrodzenia, powyżej którego dziś nie płaci się składek emerytalnych i rentowych — najlepiej zarabiający płacą składki od całego dochodu, jak wszyscy. Żeby nie tworzyło to w przyszłości bardzo wysokich emerytur, wprowadzamy górny limit świadczenia.</w:t>
      </w:r>
    </w:p>
    <w:p>
      <w:pPr>
        <w:pStyle w:val="ListParagraph"/>
        <w:numPr>
          <w:ilvl w:val="0"/>
          <w:numId w:val="5"/>
        </w:numPr>
        <w:spacing w:after="120" w:line="290"/>
      </w:pPr>
      <w:r>
        <w:rPr>
          <w:rFonts w:ascii="Calibri" w:cs="Calibri" w:eastAsia="Calibri" w:hAnsi="Calibri"/>
          <w:color w:val="222222"/>
          <w:sz w:val="21"/>
          <w:szCs w:val="21"/>
        </w:rPr>
        <w:t xml:space="preserve">Duże firmy, z przychodem powyżej 50 milionów złotych rocznie, płacą CIT 22% zamiast 19%. Małe firmy zostają przy stawce 9%.</w:t>
      </w:r>
    </w:p>
    <w:p>
      <w:pPr>
        <w:pStyle w:val="ListParagraph"/>
        <w:numPr>
          <w:ilvl w:val="0"/>
          <w:numId w:val="5"/>
        </w:numPr>
        <w:spacing w:after="120" w:line="290"/>
      </w:pPr>
      <w:r>
        <w:rPr>
          <w:rFonts w:ascii="Calibri" w:cs="Calibri" w:eastAsia="Calibri" w:hAnsi="Calibri"/>
          <w:color w:val="222222"/>
          <w:sz w:val="21"/>
          <w:szCs w:val="21"/>
        </w:rPr>
        <w:t xml:space="preserve">Likwidujemy zerowy PIT dla młodych do 26. roku życia, dla pracujących seniorów i dla osób wracających z emigracji (rozdział 3, punkt 18), a ulgę na dzieci obejmujemy progiem dochodowym dla wszystkich rodzin, nie tylko tych z jednym dzieckiem. Ulgi niezależne od dochodu najbardziej opłacają się tym, którzy zarabiają najwięcej.</w:t>
      </w:r>
    </w:p>
    <w:p>
      <w:pPr>
        <w:pStyle w:val="ListParagraph"/>
        <w:numPr>
          <w:ilvl w:val="0"/>
          <w:numId w:val="5"/>
        </w:numPr>
        <w:spacing w:after="120" w:line="290"/>
      </w:pPr>
      <w:r>
        <w:rPr>
          <w:rFonts w:ascii="Calibri" w:cs="Calibri" w:eastAsia="Calibri" w:hAnsi="Calibri"/>
          <w:color w:val="222222"/>
          <w:sz w:val="21"/>
          <w:szCs w:val="21"/>
        </w:rPr>
        <w:t xml:space="preserve">Przychody celowo ukryte przed fiskusem, gdy to zostanie wykryte, podlegają przepadkowi. Fundacje rodzinne wykorzystywane wyłącznie do unikania podatków zostają zlikwidowane jako instrument. Krajowa Administracja Skarbowa ma być dla podatnika pomocą, nie organem urządzającym „łapanki” — a za błąd samego urzędu odpowiada urząd, nie obywatel. Wzmacniamy KAS w walce z karuzelami VAT i szarą strefą — ale wpływów z uszczelnienia nie wliczamy do rachunku tego programu.</w:t>
      </w:r>
    </w:p>
    <w:p>
      <w:pPr>
        <w:pStyle w:val="ListParagraph"/>
        <w:numPr>
          <w:ilvl w:val="0"/>
          <w:numId w:val="5"/>
        </w:numPr>
        <w:spacing w:after="120" w:line="290"/>
      </w:pPr>
      <w:r>
        <w:rPr>
          <w:rFonts w:ascii="Calibri" w:cs="Calibri" w:eastAsia="Calibri" w:hAnsi="Calibri"/>
          <w:color w:val="222222"/>
          <w:sz w:val="21"/>
          <w:szCs w:val="21"/>
        </w:rPr>
        <w:t xml:space="preserve">W okresach kryzysowych nadzwyczajne, ponadprzeciętne zyski firm w sektorach strategicznych (energetyka, banki) obejmujemy specjalnym podatkiem od nadmiarowych zysków.</w:t>
      </w:r>
    </w:p>
    <w:p>
      <w:pPr>
        <w:pStyle w:val="ListParagraph"/>
        <w:numPr>
          <w:ilvl w:val="0"/>
          <w:numId w:val="5"/>
        </w:numPr>
        <w:spacing w:after="120" w:line="290"/>
      </w:pPr>
      <w:r>
        <w:rPr>
          <w:rFonts w:ascii="Calibri" w:cs="Calibri" w:eastAsia="Calibri" w:hAnsi="Calibri"/>
          <w:color w:val="222222"/>
          <w:sz w:val="21"/>
          <w:szCs w:val="21"/>
        </w:rPr>
        <w:t xml:space="preserve">Wielkie platformy cyfrowe płacą podatek w wysokości 5% obrotu z reklamy internetowej i pośrednictwa handlowego osiąganego na terenie Polski — niezależnie od tego, gdzie formalnie mają siedzibę.</w:t>
      </w:r>
    </w:p>
    <w:p>
      <w:pPr>
        <w:pStyle w:val="ListParagraph"/>
        <w:numPr>
          <w:ilvl w:val="0"/>
          <w:numId w:val="5"/>
        </w:numPr>
        <w:spacing w:after="120" w:line="290"/>
      </w:pPr>
      <w:r>
        <w:rPr>
          <w:rFonts w:ascii="Calibri" w:cs="Calibri" w:eastAsia="Calibri" w:hAnsi="Calibri"/>
          <w:color w:val="222222"/>
          <w:sz w:val="21"/>
          <w:szCs w:val="21"/>
        </w:rPr>
        <w:t xml:space="preserve">Na poziomie europejskim popieramy wprowadzenie podatku od transakcji kapitałowych i podatku od wielkich majątków. Dzisiejszy podatek od instytucji finansowych (bankowy) zostaje — dokładną stawkę ustali odrębna ustawa.</w:t>
      </w:r>
    </w:p>
    <w:p>
      <w:pPr>
        <w:pStyle w:val="ListParagraph"/>
        <w:numPr>
          <w:ilvl w:val="0"/>
          <w:numId w:val="5"/>
        </w:numPr>
        <w:spacing w:after="120" w:line="290"/>
      </w:pPr>
      <w:r>
        <w:rPr>
          <w:rFonts w:ascii="Calibri" w:cs="Calibri" w:eastAsia="Calibri" w:hAnsi="Calibri"/>
          <w:color w:val="222222"/>
          <w:sz w:val="21"/>
          <w:szCs w:val="21"/>
        </w:rPr>
        <w:t xml:space="preserve">VAT 5% obejmuje całą żywność, także tę, która dziś ma stawkę 8%, oraz podstawowe produkty higieniczne, które dziś często mają 23% — to bezpośrednio niższe ceny na zakupy, z których korzysta każdy, niezależnie od zarobków.</w:t>
      </w:r>
    </w:p>
    <w:p>
      <w:pPr>
        <w:pStyle w:val="ListParagraph"/>
        <w:numPr>
          <w:ilvl w:val="0"/>
          <w:numId w:val="5"/>
        </w:numPr>
        <w:spacing w:after="120" w:line="290"/>
      </w:pPr>
      <w:r>
        <w:rPr>
          <w:rFonts w:ascii="Calibri" w:cs="Calibri" w:eastAsia="Calibri" w:hAnsi="Calibri"/>
          <w:color w:val="222222"/>
          <w:sz w:val="21"/>
          <w:szCs w:val="21"/>
        </w:rPr>
        <w:t xml:space="preserve">Akcyza na paliwa jest co roku automatycznie waloryzowana o wskaźnik inflacji — koniec z zamrażaniem jej przed wyborami i skokowymi podwyżkami po nich.</w:t>
      </w:r>
    </w:p>
    <w:p>
      <w:pPr>
        <w:pStyle w:val="ListParagraph"/>
        <w:numPr>
          <w:ilvl w:val="0"/>
          <w:numId w:val="5"/>
        </w:numPr>
        <w:spacing w:after="120" w:line="290"/>
      </w:pPr>
      <w:r>
        <w:rPr>
          <w:rFonts w:ascii="Calibri" w:cs="Calibri" w:eastAsia="Calibri" w:hAnsi="Calibri"/>
          <w:color w:val="222222"/>
          <w:sz w:val="21"/>
          <w:szCs w:val="21"/>
        </w:rPr>
        <w:t xml:space="preserve">Przyjęcie euro traktujemy jako długofalowy kierunek, nie zobowiązanie na tę kadencję — w tym czasie Polska zostaje przy złotym. Prowadzimy przygotowania prawne: gotowość NBP, plan dualnego obiegu złotego i euro, pełnomocnik rządu do spraw euro, raport o postępach co roku. Wejście do mechanizmu ERM II i konkretna data przyjęcia euro następują po tym, jak spełnimy ścieżkę fiskalną opisaną w tym programie — nie odwrotnie, nie na siłę przed terminem.</w:t>
      </w:r>
    </w:p>
    <w:p>
      <w:pPr>
        <w:pStyle w:val="ListParagraph"/>
        <w:numPr>
          <w:ilvl w:val="0"/>
          <w:numId w:val="5"/>
        </w:numPr>
        <w:spacing w:after="120" w:line="290"/>
      </w:pPr>
      <w:r>
        <w:rPr>
          <w:rFonts w:ascii="Calibri" w:cs="Calibri" w:eastAsia="Calibri" w:hAnsi="Calibri"/>
          <w:color w:val="222222"/>
          <w:sz w:val="21"/>
          <w:szCs w:val="21"/>
        </w:rPr>
        <w:t xml:space="preserve">Pewne sektory zostają w rękach państwa na zawsze, jako rdzeń strategiczny: przesył i dystrybucja energii, elektrownie atomowe, węgiel na czas transformacji, publiczne odnawialne źródła energii, infrastruktura kolejowa, przemysł zbrojeniowy, zasób mieszkań publicznych, oraz Bank Gospodarstwa Krajowego i banki rozrachunkowe. Cała energetyka, łącznie z obrotem energią i wytwarzaniem konwencjonalnym, zostaje państwowa. Sprzedajemy jedynie pakiety mniejszościowe w komercyjnych bankach Skarbu Państwa — zachowując tak zwaną „złotą akcję”, która daje państwu prawo weta w kluczowych sprawach: przenoszenia siedziby, infrastruktury krytycznej, wrogiego przejęcia czy masowych zwolnień powyżej określonego progu. Cały przychód ze sprzedaży tych pakietów trafia do Funduszu Inwestycji Strategicznych (atom i modernizacja wojska).</w:t>
      </w:r>
    </w:p>
    <w:p>
      <w:pPr>
        <w:pStyle w:val="ListParagraph"/>
        <w:numPr>
          <w:ilvl w:val="0"/>
          <w:numId w:val="5"/>
        </w:numPr>
        <w:spacing w:after="120" w:line="290"/>
      </w:pPr>
      <w:r>
        <w:rPr>
          <w:rFonts w:ascii="Calibri" w:cs="Calibri" w:eastAsia="Calibri" w:hAnsi="Calibri"/>
          <w:color w:val="222222"/>
          <w:sz w:val="21"/>
          <w:szCs w:val="21"/>
        </w:rPr>
        <w:t xml:space="preserve">Zamiast bezzwrotnych dotacji dla wielkich korporacji, państwo inwestuje przez publiczne fundusze zalążkowe w zamian za udział w przyszłych zyskach. Założenie spółdzielni wymaga już tylko trzech osób, nie więcej.</w:t>
      </w:r>
    </w:p>
    <w:p>
      <w:pPr>
        <w:pStyle w:val="ListParagraph"/>
        <w:numPr>
          <w:ilvl w:val="0"/>
          <w:numId w:val="5"/>
        </w:numPr>
        <w:spacing w:after="120" w:line="290"/>
      </w:pPr>
      <w:r>
        <w:rPr>
          <w:rFonts w:ascii="Calibri" w:cs="Calibri" w:eastAsia="Calibri" w:hAnsi="Calibri"/>
          <w:color w:val="222222"/>
          <w:sz w:val="21"/>
          <w:szCs w:val="21"/>
        </w:rPr>
        <w:t xml:space="preserve">Deregulujemy zbędne procedury administracyjne — bez dotykania praw pracowniczych. Tam, gdzie dziś trzeba trzech osobnych koncesji, wystarczy jedna. W sprawach niskiego ryzyka wprowadzamy zasadę milczącej zgody: jeśli urząd nie odpowie w terminie, sprawa jest automatycznie zatwierdzona.</w:t>
      </w:r>
    </w:p>
    <w:p>
      <w:pPr>
        <w:pStyle w:val="ListParagraph"/>
        <w:numPr>
          <w:ilvl w:val="0"/>
          <w:numId w:val="5"/>
        </w:numPr>
        <w:spacing w:after="120" w:line="290"/>
      </w:pPr>
      <w:r>
        <w:rPr>
          <w:rFonts w:ascii="Calibri" w:cs="Calibri" w:eastAsia="Calibri" w:hAnsi="Calibri"/>
          <w:color w:val="222222"/>
          <w:sz w:val="21"/>
          <w:szCs w:val="21"/>
        </w:rPr>
        <w:t xml:space="preserve">Każdą subskrypcję i usługę zawartą przez internet można wypowiedzieć tą samą drogą i tak samo łatwo, jak się ją zawarło — jednym kliknięciem, bez dzwonienia na infolinię. Cena w reklamie i na pierwszym ekranie jest ceną końcową, ze wszystkimi obowiązkowymi opłatami. Darmowy okres próbny nie przechodzi w płatny bez wyraźnej zgody klienta tuż przed pierwszym obciążeniem.</w:t>
      </w:r>
    </w:p>
    <w:p>
      <w:pPr>
        <w:pStyle w:val="ListParagraph"/>
        <w:numPr>
          <w:ilvl w:val="0"/>
          <w:numId w:val="5"/>
        </w:numPr>
        <w:spacing w:after="120" w:line="290"/>
      </w:pPr>
      <w:r>
        <w:rPr>
          <w:rFonts w:ascii="Calibri" w:cs="Calibri" w:eastAsia="Calibri" w:hAnsi="Calibri"/>
          <w:color w:val="222222"/>
          <w:sz w:val="21"/>
          <w:szCs w:val="21"/>
        </w:rPr>
        <w:t xml:space="preserve">Pozew zbiorowy mogą złożyć już dwie osoby, w każdej sprawie konsumenckiej. Organizacja konsumencka może pozwać w imieniu wszystkich poszkodowanych, którzy nie zgłosili sprzeciwu — bez zbierania od każdego pisemnej zgody. Pieniądze, których nikt nie odebrał, trafiają na edukację konsumencką, nie wracają do firmy. UOKiK może nakazać natychmiastowe wstrzymanie praktyki, bez czekania na koniec postępowania, a jego ostateczna decyzja wiąże sąd w sprawach o odszkodowanie — klient nie musi drugi raz udowadniać, że firma oszukiwała.</w:t>
      </w:r>
    </w:p>
    <w:p>
      <w:pPr>
        <w:pStyle w:val="Heading2"/>
      </w:pPr>
      <w:r>
        <w:t xml:space="preserve">5. Zdrowie i Twoje ciało</w:t>
      </w:r>
    </w:p>
    <w:p>
      <w:pPr>
        <w:spacing w:after="200" w:line="300"/>
      </w:pPr>
      <w:r>
        <w:rPr>
          <w:rFonts w:ascii="Calibri" w:cs="Calibri" w:eastAsia="Calibri" w:hAnsi="Calibri"/>
          <w:color w:val="222222"/>
          <w:sz w:val="21"/>
          <w:szCs w:val="21"/>
        </w:rPr>
        <w:t xml:space="preserve">Publiczna ochrona zdrowia nie może być poczekalnią do prywatnej. O Twoim ciele nie decyduje poseł ani biskup.</w:t>
      </w:r>
    </w:p>
    <w:p>
      <w:pPr>
        <w:pStyle w:val="ListParagraph"/>
        <w:numPr>
          <w:ilvl w:val="0"/>
          <w:numId w:val="6"/>
        </w:numPr>
        <w:spacing w:after="120" w:line="290"/>
      </w:pPr>
      <w:r>
        <w:rPr>
          <w:rFonts w:ascii="Calibri" w:cs="Calibri" w:eastAsia="Calibri" w:hAnsi="Calibri"/>
          <w:color w:val="222222"/>
          <w:sz w:val="21"/>
          <w:szCs w:val="21"/>
        </w:rPr>
        <w:t xml:space="preserve">Publiczne wydatki na zdrowie dochodzą do 7% PKB — liczonego od bieżącego roku, nie sprzed dwóch lat — w ciągu dwóch kadencji, rosnąc równo co roku. Od pierwszego roku wprowadzamy centralne zakupy leków, żeby państwo negocjowało ceny w skali całego kraju, nie szpital po szpitalu. Co 24 miesiące renegocjujemy listy leków refundowanych. Od drugiego roku znosimy limity punktowe w ambulatoryjnej opiece specjalistycznej (AOS) — koniec z sytuacją, gdy przychodnia „wyczerpała limit” i nie przyjmie pacjenta do końca miesiąca — a szpitale i przychodnie dostają ryczałtowe finansowanie personelu i utrzymania, nie płatność za każdą pojedynczą procedurę.</w:t>
      </w:r>
    </w:p>
    <w:p>
      <w:pPr>
        <w:pStyle w:val="ListParagraph"/>
        <w:numPr>
          <w:ilvl w:val="0"/>
          <w:numId w:val="6"/>
        </w:numPr>
        <w:spacing w:after="120" w:line="290"/>
      </w:pPr>
      <w:r>
        <w:rPr>
          <w:rFonts w:ascii="Calibri" w:cs="Calibri" w:eastAsia="Calibri" w:hAnsi="Calibri"/>
          <w:color w:val="222222"/>
          <w:sz w:val="21"/>
          <w:szCs w:val="21"/>
        </w:rPr>
        <w:t xml:space="preserve">Narodowy Fundusz Zdrowia jako osobna kasa przestaje istnieć — świadczenia zdrowotne finansujemy prosto z budżetu państwa, a pracownicy dzisiejszego NFZ przechodzą do ministerstwa zdrowia i jego oddziałów regionalnych.</w:t>
      </w:r>
    </w:p>
    <w:p>
      <w:pPr>
        <w:pStyle w:val="ListParagraph"/>
        <w:numPr>
          <w:ilvl w:val="0"/>
          <w:numId w:val="6"/>
        </w:numPr>
        <w:spacing w:after="120" w:line="290"/>
      </w:pPr>
      <w:r>
        <w:rPr>
          <w:rFonts w:ascii="Calibri" w:cs="Calibri" w:eastAsia="Calibri" w:hAnsi="Calibri"/>
          <w:color w:val="222222"/>
          <w:sz w:val="21"/>
          <w:szCs w:val="21"/>
        </w:rPr>
        <w:t xml:space="preserve">Rzecznik Praw Pacjenta dostaje realne uprawnienia kontrolne i wykonawcze, nie tylko funkcję doradczą bez żadnej mocy.</w:t>
      </w:r>
    </w:p>
    <w:p>
      <w:pPr>
        <w:pStyle w:val="ListParagraph"/>
        <w:numPr>
          <w:ilvl w:val="0"/>
          <w:numId w:val="6"/>
        </w:numPr>
        <w:spacing w:after="120" w:line="290"/>
      </w:pPr>
      <w:r>
        <w:rPr>
          <w:rFonts w:ascii="Calibri" w:cs="Calibri" w:eastAsia="Calibri" w:hAnsi="Calibri"/>
          <w:color w:val="222222"/>
          <w:sz w:val="21"/>
          <w:szCs w:val="21"/>
        </w:rPr>
        <w:t xml:space="preserve">Zakazujemy kierowania własnego pacjenta z kolejki publicznej do swojego prywatnego gabinetu, żeby przyspieszyć wizytę za opłatą.</w:t>
      </w:r>
    </w:p>
    <w:p>
      <w:pPr>
        <w:pStyle w:val="ListParagraph"/>
        <w:numPr>
          <w:ilvl w:val="0"/>
          <w:numId w:val="6"/>
        </w:numPr>
        <w:spacing w:after="120" w:line="290"/>
      </w:pPr>
      <w:r>
        <w:rPr>
          <w:rFonts w:ascii="Calibri" w:cs="Calibri" w:eastAsia="Calibri" w:hAnsi="Calibri"/>
          <w:color w:val="222222"/>
          <w:sz w:val="21"/>
          <w:szCs w:val="21"/>
        </w:rPr>
        <w:t xml:space="preserve">Umowa o pracę na etat staje się podstawową formą zatrudnienia w ochronie zdrowia, nie kontrakty i umowy cywilnoprawne. Poszerzamy kompetencje pielęgniarek, ratowników medycznych, diagnostów laboratoryjnych i farmaceutów, żeby mogli samodzielnie robić więcej. Zawód psychoterapeuty dostaje odrębną ustawę, tak jak w 2026 roku dostał ją zawód psychologa. Zwiększamy liczbę miejsc na studiach medycznych.</w:t>
      </w:r>
    </w:p>
    <w:p>
      <w:pPr>
        <w:pStyle w:val="ListParagraph"/>
        <w:numPr>
          <w:ilvl w:val="0"/>
          <w:numId w:val="6"/>
        </w:numPr>
        <w:spacing w:after="120" w:line="290"/>
      </w:pPr>
      <w:r>
        <w:rPr>
          <w:rFonts w:ascii="Calibri" w:cs="Calibri" w:eastAsia="Calibri" w:hAnsi="Calibri"/>
          <w:color w:val="222222"/>
          <w:sz w:val="21"/>
          <w:szCs w:val="21"/>
        </w:rPr>
        <w:t xml:space="preserve">Wprowadzamy jeden, ogólnokrajowy system rejestracji wizyt lekarskich. Opieka okołoporodowa jest dostępna w każdym województwie, stomatologia i opieka pielęgniarska — w każdej gminie. W każdej szkole działa gabinet pielęgniarki i dentysty.</w:t>
      </w:r>
    </w:p>
    <w:p>
      <w:pPr>
        <w:pStyle w:val="ListParagraph"/>
        <w:numPr>
          <w:ilvl w:val="0"/>
          <w:numId w:val="6"/>
        </w:numPr>
        <w:spacing w:after="120" w:line="290"/>
      </w:pPr>
      <w:r>
        <w:rPr>
          <w:rFonts w:ascii="Calibri" w:cs="Calibri" w:eastAsia="Calibri" w:hAnsi="Calibri"/>
          <w:color w:val="222222"/>
          <w:sz w:val="21"/>
          <w:szCs w:val="21"/>
        </w:rPr>
        <w:t xml:space="preserve">Przerwanie ciąży na żądanie jest dostępne do 12. tygodnia ciąży; po tym terminie — na podstawie przesłanek medycznych. W placówce publicznej finansowanej z pieniędzy podatnika nie można odmówić wykonania zabiegu, powołując się na klauzulę sumienia — placówka jako instytucja ma obowiązek zapewnić dostęp, niezależnie od przekonań konkretnego lekarza.</w:t>
      </w:r>
    </w:p>
    <w:p>
      <w:pPr>
        <w:pStyle w:val="ListParagraph"/>
        <w:numPr>
          <w:ilvl w:val="0"/>
          <w:numId w:val="6"/>
        </w:numPr>
        <w:spacing w:after="120" w:line="290"/>
      </w:pPr>
      <w:r>
        <w:rPr>
          <w:rFonts w:ascii="Calibri" w:cs="Calibri" w:eastAsia="Calibri" w:hAnsi="Calibri"/>
          <w:color w:val="222222"/>
          <w:sz w:val="21"/>
          <w:szCs w:val="21"/>
        </w:rPr>
        <w:t xml:space="preserve">Dzisiejsza składka zdrowotna staje się celową daniną zdrowotną: 9% od dochodu, zawsze, także dla osób rozliczających się ryczałtem od działalności usługowej — koniec z sytuacją, w której forma rozliczenia podatkowego decyduje o tym, ile płaci się na zdrowie. Cała danina jest wydawana wyłącznie na ochronę zdrowia.</w:t>
      </w:r>
    </w:p>
    <w:p>
      <w:pPr>
        <w:pStyle w:val="ListParagraph"/>
        <w:numPr>
          <w:ilvl w:val="0"/>
          <w:numId w:val="6"/>
        </w:numPr>
        <w:spacing w:after="120" w:line="290"/>
      </w:pPr>
      <w:r>
        <w:rPr>
          <w:rFonts w:ascii="Calibri" w:cs="Calibri" w:eastAsia="Calibri" w:hAnsi="Calibri"/>
          <w:color w:val="222222"/>
          <w:sz w:val="21"/>
          <w:szCs w:val="21"/>
        </w:rPr>
        <w:t xml:space="preserve">Rozszerzamy istniejącą refundację in vitro (do 6 cykli) na osoby samotne i na osoby do 45. roku życia.</w:t>
      </w:r>
    </w:p>
    <w:p>
      <w:pPr>
        <w:pStyle w:val="ListParagraph"/>
        <w:numPr>
          <w:ilvl w:val="0"/>
          <w:numId w:val="6"/>
        </w:numPr>
        <w:spacing w:after="120" w:line="290"/>
      </w:pPr>
      <w:r>
        <w:rPr>
          <w:rFonts w:ascii="Calibri" w:cs="Calibri" w:eastAsia="Calibri" w:hAnsi="Calibri"/>
          <w:color w:val="222222"/>
          <w:sz w:val="21"/>
          <w:szCs w:val="21"/>
        </w:rPr>
        <w:t xml:space="preserve">Na pierwszą wizytę u psychiatry czeka się maksymalnie 14 dni, a w sytuacji kryzysowej pomoc jest dostępna w ciągu 72 godzin, bez potrzeby skierowania od innego lekarza. Rozwijamy sieć centrów zdrowia psychicznego działających w środowisku lokalnym. Dodatkowe pieniądze na ten rozwój pochodzą z podwyższonej akcyzy na alkohol i konopie (patrz punkt 14 niżej), nie z ogólnego budżetu.</w:t>
      </w:r>
    </w:p>
    <w:p>
      <w:pPr>
        <w:pStyle w:val="ListParagraph"/>
        <w:numPr>
          <w:ilvl w:val="0"/>
          <w:numId w:val="6"/>
        </w:numPr>
        <w:spacing w:after="120" w:line="290"/>
      </w:pPr>
      <w:r>
        <w:rPr>
          <w:rFonts w:ascii="Calibri" w:cs="Calibri" w:eastAsia="Calibri" w:hAnsi="Calibri"/>
          <w:color w:val="222222"/>
          <w:sz w:val="21"/>
          <w:szCs w:val="21"/>
        </w:rPr>
        <w:t xml:space="preserve">Leczenie chorób rzadkich jest finansowane w pełni, bez limitów kwotowych, które dziś zmuszają rodziny do zbiórek publicznych na leczenie własnych dzieci.</w:t>
      </w:r>
    </w:p>
    <w:p>
      <w:pPr>
        <w:pStyle w:val="ListParagraph"/>
        <w:numPr>
          <w:ilvl w:val="0"/>
          <w:numId w:val="6"/>
        </w:numPr>
        <w:spacing w:after="120" w:line="290"/>
      </w:pPr>
      <w:r>
        <w:rPr>
          <w:rFonts w:ascii="Calibri" w:cs="Calibri" w:eastAsia="Calibri" w:hAnsi="Calibri"/>
          <w:color w:val="222222"/>
          <w:sz w:val="21"/>
          <w:szCs w:val="21"/>
        </w:rPr>
        <w:t xml:space="preserve">Rynek suplementów diety i preparatów udających leki obejmujemy ściślejszą kontrolą jakości i bezpieczeństwa, z całkowitym zakazem ich reklamy.</w:t>
      </w:r>
    </w:p>
    <w:p>
      <w:pPr>
        <w:pStyle w:val="ListParagraph"/>
        <w:numPr>
          <w:ilvl w:val="0"/>
          <w:numId w:val="6"/>
        </w:numPr>
        <w:spacing w:after="120" w:line="290"/>
      </w:pPr>
      <w:r>
        <w:rPr>
          <w:rFonts w:ascii="Calibri" w:cs="Calibri" w:eastAsia="Calibri" w:hAnsi="Calibri"/>
          <w:color w:val="222222"/>
          <w:sz w:val="21"/>
          <w:szCs w:val="21"/>
        </w:rPr>
        <w:t xml:space="preserve">Osoba nieuleczalnie chora i cierpiąca ma prawo złożyć wielokrotnie potwierdzony wniosek o wspomagane zakończenie życia, weryfikowany przez niezależną komisję lekarską — to godność decydowania o własnym końcu życia, nie obowiązek cierpienia do ostatniej chwili.</w:t>
      </w:r>
    </w:p>
    <w:p>
      <w:pPr>
        <w:pStyle w:val="ListParagraph"/>
        <w:numPr>
          <w:ilvl w:val="0"/>
          <w:numId w:val="6"/>
        </w:numPr>
        <w:spacing w:after="120" w:before="120"/>
      </w:pPr>
      <w:r>
        <w:rPr>
          <w:rFonts w:ascii="Calibri" w:cs="Calibri" w:eastAsia="Calibri" w:hAnsi="Calibri"/>
          <w:b/>
          <w:bCs/>
          <w:color w:val="7A1F3D"/>
          <w:sz w:val="21"/>
          <w:szCs w:val="21"/>
        </w:rPr>
        <w:t xml:space="preserve">Zdrowie publiczne zamiast represji — alkohol i konopie</w:t>
      </w:r>
    </w:p>
    <w:p>
      <w:pPr>
        <w:spacing w:after="140" w:line="290"/>
      </w:pPr>
      <w:r>
        <w:rPr>
          <w:rFonts w:ascii="Calibri" w:cs="Calibri" w:eastAsia="Calibri" w:hAnsi="Calibri"/>
          <w:color w:val="222222"/>
          <w:sz w:val="21"/>
          <w:szCs w:val="21"/>
        </w:rPr>
        <w:t xml:space="preserve">Obecna polityka to hipokryzja: kartel alkoholowy bez kary, obywatel z suszem — z paragrafem. Odrzucamy podział na „legalny alkohol” i „nielegalne narkotyki”. Państwo leczy i edukuje, nie tylko karze.</w:t>
      </w:r>
    </w:p>
    <w:p>
      <w:pPr>
        <w:spacing w:after="140" w:line="290"/>
      </w:pPr>
      <w:r>
        <w:rPr>
          <w:rFonts w:ascii="Calibri" w:cs="Calibri" w:eastAsia="Calibri" w:hAnsi="Calibri"/>
          <w:color w:val="222222"/>
          <w:sz w:val="21"/>
          <w:szCs w:val="21"/>
        </w:rPr>
        <w:t xml:space="preserve">Alkohol jest neurotoksyną, kancerogenem i substancją silnie uzależniającą. Nie ma bezpiecznej dawki etanolu, mimo że przez dekady mówiono nam inaczej.</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Całkowity zakaz marketingu i sponsoringu, w tym sportu przez browary i promocji piw 0% jako oswajania nawyku picia.</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Wycofanie alkoholu ze stacji benzynowych i sklepów spożywczych w ciągu 24 miesięcy. Zostają tylko punkty koncesjonowane, otwarte 10:00–20:00, z suchą niedzielą.</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Zakaz sprzedaży „małpek” (butelek do 200 ml) — najbardziej szkodliwej, impulsywnej formy sprzedaży alkoholu.</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Ostrzeżenia zdrowotne na opakowaniach, tak jak dziś na papierosach.</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Akcyza na alkohol rośnie o 30% ponad stawki już uchwalone na 2027 rok (łącznie około 65% wobec 2025). Cały przyrost wpływów ponad poziom z 2027 roku z akcyzy na alkohol i konopie idzie ustawowo na psychiatrię, nie do budżetu ogólnego. Nie przewidujemy odszkodowań dla sklepów tracących ten przychód.</w:t>
      </w:r>
    </w:p>
    <w:p>
      <w:pPr>
        <w:spacing w:after="140" w:line="290"/>
      </w:pPr>
      <w:r>
        <w:rPr>
          <w:rFonts w:ascii="Calibri" w:cs="Calibri" w:eastAsia="Calibri" w:hAnsi="Calibri"/>
          <w:color w:val="222222"/>
          <w:sz w:val="21"/>
          <w:szCs w:val="21"/>
        </w:rPr>
        <w:t xml:space="preserve">W sprawie konopi:</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Posiadanie do 15 gramów przy sobie i do 30 gramów w domu nie jest przestępstwem. Powyżej tych limitów — wykroczenie i konfiskata, nie więzienie za samą ilość na własny użytek.</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Obrót jest wyłącznie koncesjonowany i państwowy. Uprawa prywatna zostaje zakazana. Limit zawartości THC i wymagana obecność CBD zostaną określone w rozporządzeniu, nie w tej deklaracji.</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Sprzedaż dostępna od 21. roku życia.</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Prowadzimy edukację o realnych ryzykach — uzależnieniu psychicznym, spłaszczeniu emocji, zespole amotywacyjnym, psychozie — bez mitu „świętego zioła” bez żadnych skutków ubocznych.</w:t>
      </w:r>
    </w:p>
    <w:p>
      <w:pPr>
        <w:tabs>
          <w:tab w:val="left" w:pos="794"/>
        </w:tabs>
        <w:spacing w:after="100" w:line="290"/>
        <w:ind w:left="794" w:hanging="340"/>
      </w:pPr>
      <w:r>
        <w:rPr>
          <w:rFonts w:ascii="Calibri" w:cs="Calibri" w:eastAsia="Calibri" w:hAnsi="Calibri"/>
          <w:b/>
          <w:bCs/>
          <w:color w:val="7A1F3D"/>
          <w:sz w:val="21"/>
          <w:szCs w:val="21"/>
        </w:rPr>
        <w:t xml:space="preserve">—	</w:t>
      </w:r>
      <w:r>
        <w:rPr>
          <w:rFonts w:ascii="Calibri" w:cs="Calibri" w:eastAsia="Calibri" w:hAnsi="Calibri"/>
          <w:color w:val="222222"/>
          <w:sz w:val="21"/>
          <w:szCs w:val="21"/>
        </w:rPr>
        <w:t xml:space="preserve">W szkołach, od klasy 4, uczymy higieny psychicznej, radzenia sobie ze stresem, budowania więzi i myślenia krytycznego — najlepszej profilaktyki, jaka istnieje.</w:t>
      </w:r>
    </w:p>
    <w:p>
      <w:pPr>
        <w:pStyle w:val="Heading2"/>
      </w:pPr>
      <w:r>
        <w:t xml:space="preserve">6. Uczciwa polityka</w:t>
      </w:r>
    </w:p>
    <w:p>
      <w:pPr>
        <w:spacing w:after="200" w:line="300"/>
      </w:pPr>
      <w:r>
        <w:rPr>
          <w:rFonts w:ascii="Calibri" w:cs="Calibri" w:eastAsia="Calibri" w:hAnsi="Calibri"/>
          <w:color w:val="222222"/>
          <w:sz w:val="21"/>
          <w:szCs w:val="21"/>
        </w:rPr>
        <w:t xml:space="preserve">Polityka w Polsce zbyt długo była grą, w której wielkie pieniądze sponsorów i znajomości decydowały więcej niż Twój głos. Kończymy z tym — jawne finanse kampanii, koniec z przechodzeniem z fotela ministra prosto do rady nadzorczej spółki, którą się wcześniej nadzorowało.</w:t>
      </w:r>
    </w:p>
    <w:p>
      <w:pPr>
        <w:pStyle w:val="ListParagraph"/>
        <w:numPr>
          <w:ilvl w:val="0"/>
          <w:numId w:val="7"/>
        </w:numPr>
        <w:spacing w:after="120" w:line="290"/>
      </w:pPr>
      <w:r>
        <w:rPr>
          <w:rFonts w:ascii="Calibri" w:cs="Calibri" w:eastAsia="Calibri" w:hAnsi="Calibri"/>
          <w:color w:val="222222"/>
          <w:sz w:val="21"/>
          <w:szCs w:val="21"/>
        </w:rPr>
        <w:t xml:space="preserve">Jedna osoba może wpłacić na kampanię lub partię maksymalnie 5000 złotych rocznie. Zakazujemy płatnych billboardów wyborczych i komercyjnej reklamy politycznej w przestrzeni publicznej.</w:t>
      </w:r>
    </w:p>
    <w:p>
      <w:pPr>
        <w:pStyle w:val="ListParagraph"/>
        <w:numPr>
          <w:ilvl w:val="0"/>
          <w:numId w:val="7"/>
        </w:numPr>
        <w:spacing w:after="120" w:line="290"/>
      </w:pPr>
      <w:r>
        <w:rPr>
          <w:rFonts w:ascii="Calibri" w:cs="Calibri" w:eastAsia="Calibri" w:hAnsi="Calibri"/>
          <w:color w:val="222222"/>
          <w:sz w:val="21"/>
          <w:szCs w:val="21"/>
        </w:rPr>
        <w:t xml:space="preserve">Polityk, który zakończył sprawowanie funkcji publicznej, przez 2 lata nie może zasiadać w radzie nadzorczej spółki Skarbu Państwa ani podjąć pracy u firmy, która była wykonawcą zamówień publicznych w obszarze, którym się zajmował.</w:t>
      </w:r>
    </w:p>
    <w:p>
      <w:pPr>
        <w:pStyle w:val="ListParagraph"/>
        <w:numPr>
          <w:ilvl w:val="0"/>
          <w:numId w:val="7"/>
        </w:numPr>
        <w:spacing w:after="120" w:line="290"/>
      </w:pPr>
      <w:r>
        <w:rPr>
          <w:rFonts w:ascii="Calibri" w:cs="Calibri" w:eastAsia="Calibri" w:hAnsi="Calibri"/>
          <w:color w:val="222222"/>
          <w:sz w:val="21"/>
          <w:szCs w:val="21"/>
        </w:rPr>
        <w:t xml:space="preserve">W Sejmie wprowadzamy limit trzech kadencji z rzędu, po których wymagana jest jedna kadencja przerwy — po przerwie można znów startować, maksymalnie na kolejne trzy kadencje.</w:t>
      </w:r>
    </w:p>
    <w:p>
      <w:pPr>
        <w:pStyle w:val="ListParagraph"/>
        <w:numPr>
          <w:ilvl w:val="0"/>
          <w:numId w:val="7"/>
        </w:numPr>
        <w:spacing w:after="120" w:line="290"/>
      </w:pPr>
      <w:r>
        <w:rPr>
          <w:rFonts w:ascii="Calibri" w:cs="Calibri" w:eastAsia="Calibri" w:hAnsi="Calibri"/>
          <w:color w:val="222222"/>
          <w:sz w:val="21"/>
          <w:szCs w:val="21"/>
        </w:rPr>
        <w:t xml:space="preserve">Stanowiska od dyrektora departamentu w administracji publicznej wzwyż w hierarchii urzędniczej, ale poniżej rangi politycznej, obsadza się wyłącznie w drodze konkursu, nie z nadania. Ministrowie i wiceministrowie zostają stanowiskami politycznymi, obsadzanymi przez rząd, jak dziś.</w:t>
      </w:r>
    </w:p>
    <w:p>
      <w:pPr>
        <w:pStyle w:val="ListParagraph"/>
        <w:numPr>
          <w:ilvl w:val="0"/>
          <w:numId w:val="7"/>
        </w:numPr>
        <w:spacing w:after="120" w:line="290"/>
      </w:pPr>
      <w:r>
        <w:rPr>
          <w:rFonts w:ascii="Calibri" w:cs="Calibri" w:eastAsia="Calibri" w:hAnsi="Calibri"/>
          <w:color w:val="222222"/>
          <w:sz w:val="21"/>
          <w:szCs w:val="21"/>
        </w:rPr>
        <w:t xml:space="preserve">Tworzymy publicznie dostępny rejestr powiązań rodzinnych osób zatrudnionych w administracji publicznej i spółkach Skarbu Państwa, żeby jawnie było widać przypadki nepotyzmu.</w:t>
      </w:r>
    </w:p>
    <w:p>
      <w:pPr>
        <w:pStyle w:val="ListParagraph"/>
        <w:numPr>
          <w:ilvl w:val="0"/>
          <w:numId w:val="7"/>
        </w:numPr>
        <w:spacing w:after="120" w:line="290"/>
      </w:pPr>
      <w:r>
        <w:rPr>
          <w:rFonts w:ascii="Calibri" w:cs="Calibri" w:eastAsia="Calibri" w:hAnsi="Calibri"/>
          <w:color w:val="222222"/>
          <w:sz w:val="21"/>
          <w:szCs w:val="21"/>
        </w:rPr>
        <w:t xml:space="preserve">Państwo prowadzi bezpłatną bazę prawną z tekstami ujednoliconymi wszystkich aktów i pełnym orzecznictwem wszystkich sądów — na poziomie dzisiejszych płatnych systemów komercyjnych. Podnosimy pensje pracowników sądów i prokuratur, żeby ograniczyć odejścia do sektora prywatnego.</w:t>
      </w:r>
    </w:p>
    <w:p>
      <w:pPr>
        <w:pStyle w:val="Heading2"/>
      </w:pPr>
      <w:r>
        <w:t xml:space="preserve">7. Prawo do mieszkania</w:t>
      </w:r>
    </w:p>
    <w:p>
      <w:pPr>
        <w:spacing w:after="200" w:line="300"/>
      </w:pPr>
      <w:r>
        <w:rPr>
          <w:rFonts w:ascii="Calibri" w:cs="Calibri" w:eastAsia="Calibri" w:hAnsi="Calibri"/>
          <w:color w:val="222222"/>
          <w:sz w:val="21"/>
          <w:szCs w:val="21"/>
        </w:rPr>
        <w:t xml:space="preserve">Mieszkanie jest prawem, nie walorem inwestycyjnym do obrotu na rynku.</w:t>
      </w:r>
    </w:p>
    <w:p>
      <w:pPr>
        <w:pStyle w:val="ListParagraph"/>
        <w:numPr>
          <w:ilvl w:val="0"/>
          <w:numId w:val="8"/>
        </w:numPr>
        <w:spacing w:after="120" w:line="290"/>
      </w:pPr>
      <w:r>
        <w:rPr>
          <w:rFonts w:ascii="Calibri" w:cs="Calibri" w:eastAsia="Calibri" w:hAnsi="Calibri"/>
          <w:color w:val="222222"/>
          <w:sz w:val="21"/>
          <w:szCs w:val="21"/>
        </w:rPr>
        <w:t xml:space="preserve">Państwo buduje od 25 do 40 tysięcy mieszkań komunalnych i mieszkań o ograniczonym zysku (budowanych przez podmioty, które z zasady nie mogą maksymalizować zysku z czynszu) rocznie — tyle, ile realnie pozwala sfinansować danina opisana w punkcie 2, nie liczba wzięta z powietrza. Ziemia publiczna przeznaczona pod ten program nie jest sprzedawana. Zasada jest prosta: co raz zbudowane za publiczne pieniądze, zostaje publiczne na zawsze — nie będzie już wyprzedawane z bonifikatami, jak działo się to od lat 90.</w:t>
      </w:r>
    </w:p>
    <w:p>
      <w:pPr>
        <w:pStyle w:val="ListParagraph"/>
        <w:numPr>
          <w:ilvl w:val="0"/>
          <w:numId w:val="8"/>
        </w:numPr>
        <w:spacing w:after="120" w:line="290"/>
      </w:pPr>
      <w:r>
        <w:rPr>
          <w:rFonts w:ascii="Calibri" w:cs="Calibri" w:eastAsia="Calibri" w:hAnsi="Calibri"/>
          <w:color w:val="222222"/>
          <w:sz w:val="21"/>
          <w:szCs w:val="21"/>
        </w:rPr>
        <w:t xml:space="preserve">Cały program finansujemy z daniny mieszkaniowej w wysokości 1% funduszu płac — po połowie płaci pracownik i pracodawca (0,5% każdy). To nie jest dodatkowa linia wydatku równa 1% PKB wyjęta z budżetu centralnego — to osobna, celowa danina, widoczna na każdym odcinku wypłaty, nie skryta w ogólnych podatkach.</w:t>
      </w:r>
    </w:p>
    <w:p>
      <w:pPr>
        <w:pStyle w:val="ListParagraph"/>
        <w:numPr>
          <w:ilvl w:val="0"/>
          <w:numId w:val="8"/>
        </w:numPr>
        <w:spacing w:after="120" w:line="290"/>
      </w:pPr>
      <w:r>
        <w:rPr>
          <w:rFonts w:ascii="Calibri" w:cs="Calibri" w:eastAsia="Calibri" w:hAnsi="Calibri"/>
          <w:color w:val="222222"/>
          <w:sz w:val="21"/>
          <w:szCs w:val="21"/>
        </w:rPr>
        <w:t xml:space="preserve">Osoba fizyczna posiadająca trzecie i czwarte mieszkanie płaci od nich 1% wartości rocznie, a od piątego mieszkania wzwyż — 2%. Pierwsze dwa mieszkania są całkowicie wolne od tego podatku — to nie dotyka zwykłej rodziny z mieszkaniem i domkiem letniskowym. Mieszkanie stojące puste jako inwestycja dłużej niż 12 miesięcy jest opodatkowane tak, jak trzecie mieszkanie, niezależnie od tego, które w kolejności faktycznie jest.</w:t>
      </w:r>
    </w:p>
    <w:p>
      <w:pPr>
        <w:pStyle w:val="ListParagraph"/>
        <w:numPr>
          <w:ilvl w:val="0"/>
          <w:numId w:val="8"/>
        </w:numPr>
        <w:spacing w:after="120" w:line="290"/>
      </w:pPr>
      <w:r>
        <w:rPr>
          <w:rFonts w:ascii="Calibri" w:cs="Calibri" w:eastAsia="Calibri" w:hAnsi="Calibri"/>
          <w:color w:val="222222"/>
          <w:sz w:val="21"/>
          <w:szCs w:val="21"/>
        </w:rPr>
        <w:t xml:space="preserve">Wynajem krótkoterminowy wymaga licencji i podlega nadzorowi gminy. Całe lokale, w których wynajmujący nie mieszka, można tak wynajmować maksymalnie 90 dni w roku; wynajem pokoju we własnym mieszkaniu nie ma limitu.</w:t>
      </w:r>
    </w:p>
    <w:p>
      <w:pPr>
        <w:pStyle w:val="ListParagraph"/>
        <w:numPr>
          <w:ilvl w:val="0"/>
          <w:numId w:val="8"/>
        </w:numPr>
        <w:spacing w:after="120" w:line="290"/>
      </w:pPr>
      <w:r>
        <w:rPr>
          <w:rFonts w:ascii="Calibri" w:cs="Calibri" w:eastAsia="Calibri" w:hAnsi="Calibri"/>
          <w:color w:val="222222"/>
          <w:sz w:val="21"/>
          <w:szCs w:val="21"/>
        </w:rPr>
        <w:t xml:space="preserve">Wprowadzamy wzorcową umowę najmu chroniącą obie strony, z kaucją nie wyższą niż jednomiesięczny czynsz, i niezależny urząd rozstrzygający spory między najemcą a wynajmującym. W gminach, które formalnie uchwalą u siebie „strefę deficytu mieszkaniowego”, podwyżka czynszu jest ograniczona do wskaźnika inflacji plus 1 punkt procentowy rocznie.</w:t>
      </w:r>
    </w:p>
    <w:p>
      <w:pPr>
        <w:pStyle w:val="ListParagraph"/>
        <w:numPr>
          <w:ilvl w:val="0"/>
          <w:numId w:val="8"/>
        </w:numPr>
        <w:spacing w:after="120" w:line="290"/>
      </w:pPr>
      <w:r>
        <w:rPr>
          <w:rFonts w:ascii="Calibri" w:cs="Calibri" w:eastAsia="Calibri" w:hAnsi="Calibri"/>
          <w:color w:val="222222"/>
          <w:sz w:val="21"/>
          <w:szCs w:val="21"/>
        </w:rPr>
        <w:t xml:space="preserve">W każdym województwie działa publiczne biuro pośrednictwa w obrocie i wynajmie mieszkań, które nie pobiera prowizji. Publicznie dostępny rejestr cen transakcyjnych sprzedaży i najmu pozwala każdemu sprawdzić, ile mieszkanie naprawdę jest warte, zamiast wierzyć cenie z ogłoszenia.</w:t>
      </w:r>
    </w:p>
    <w:p>
      <w:pPr>
        <w:pStyle w:val="ListParagraph"/>
        <w:numPr>
          <w:ilvl w:val="0"/>
          <w:numId w:val="8"/>
        </w:numPr>
        <w:spacing w:after="120" w:line="290"/>
      </w:pPr>
      <w:r>
        <w:rPr>
          <w:rFonts w:ascii="Calibri" w:cs="Calibri" w:eastAsia="Calibri" w:hAnsi="Calibri"/>
          <w:color w:val="222222"/>
          <w:sz w:val="21"/>
          <w:szCs w:val="21"/>
        </w:rPr>
        <w:t xml:space="preserve">Nowe osiedla muszą spełniać obowiązkowe standardy urbanistyczne (dostęp do zieleni, szkół, komunikacji), a nowe plany miejscowe przeznaczają co najmniej 20% nowych mieszkań na mieszkania społeczne — koniec z chaotyczną zabudową bez żadnej infrastruktury wokół.</w:t>
      </w:r>
    </w:p>
    <w:p>
      <w:pPr>
        <w:pStyle w:val="Heading2"/>
      </w:pPr>
      <w:r>
        <w:t xml:space="preserve">8. Państwo, na które możesz liczyć</w:t>
      </w:r>
    </w:p>
    <w:p>
      <w:pPr>
        <w:spacing w:after="200" w:line="300"/>
      </w:pPr>
      <w:r>
        <w:rPr>
          <w:rFonts w:ascii="Calibri" w:cs="Calibri" w:eastAsia="Calibri" w:hAnsi="Calibri"/>
          <w:color w:val="222222"/>
          <w:sz w:val="21"/>
          <w:szCs w:val="21"/>
        </w:rPr>
        <w:t xml:space="preserve">Miarą państwa jest to, jak traktuje ludzi w najtrudniejszych momentach życia — starość, choroba, samotne wychowywanie dziecka. Dziś ten ciężar zbyt często spada na rodzinę, a najczęściej na kobiety. Bierzemy go na siebie.</w:t>
      </w:r>
    </w:p>
    <w:p>
      <w:pPr>
        <w:pStyle w:val="ListParagraph"/>
        <w:numPr>
          <w:ilvl w:val="0"/>
          <w:numId w:val="9"/>
        </w:numPr>
        <w:spacing w:after="120" w:line="290"/>
      </w:pPr>
      <w:r>
        <w:rPr>
          <w:rFonts w:ascii="Calibri" w:cs="Calibri" w:eastAsia="Calibri" w:hAnsi="Calibri"/>
          <w:color w:val="222222"/>
          <w:sz w:val="21"/>
          <w:szCs w:val="21"/>
        </w:rPr>
        <w:t xml:space="preserve">Wszystkie świadczenia społeczne (poza emeryturami i rentami) oraz progi dochodowe są waloryzowane automatycznie każdego 1 stycznia, o wskaźnik inflacji albo wzrost płac w gospodarce — w zależności od tego, który jest wyższy. Nie czekamy na jednorazową, polityczną decyzję przed wyborami.</w:t>
      </w:r>
    </w:p>
    <w:p>
      <w:pPr>
        <w:pStyle w:val="ListParagraph"/>
        <w:numPr>
          <w:ilvl w:val="0"/>
          <w:numId w:val="9"/>
        </w:numPr>
        <w:spacing w:after="120" w:line="290"/>
      </w:pPr>
      <w:r>
        <w:rPr>
          <w:rFonts w:ascii="Calibri" w:cs="Calibri" w:eastAsia="Calibri" w:hAnsi="Calibri"/>
          <w:color w:val="222222"/>
          <w:sz w:val="21"/>
          <w:szCs w:val="21"/>
        </w:rPr>
        <w:t xml:space="preserve">Wprowadzamy jeden, wspólny system emerytalny z jednym wiekiem emerytalnym — 65 lat dla wszystkich; wiek emerytalny kobiet podnosimy stopniowo. Osobny system emerytalny dla rolników (KRUS) przestaje istnieć — rolnicy wchodzą do systemu ogólnego.</w:t>
      </w:r>
    </w:p>
    <w:p>
      <w:pPr>
        <w:pStyle w:val="ListParagraph"/>
        <w:numPr>
          <w:ilvl w:val="0"/>
          <w:numId w:val="9"/>
        </w:numPr>
        <w:spacing w:after="120" w:line="290"/>
      </w:pPr>
      <w:r>
        <w:rPr>
          <w:rFonts w:ascii="Calibri" w:cs="Calibri" w:eastAsia="Calibri" w:hAnsi="Calibri"/>
          <w:color w:val="222222"/>
          <w:sz w:val="21"/>
          <w:szCs w:val="21"/>
        </w:rPr>
        <w:t xml:space="preserve">Osoby z niepełnosprawnościami dostają prawo do bezpłatnej asystencji osobistej i opieki wytchnieniowej dla opiekunów rodzinnych: od 30 do 240 godzin asystencji miesięcznie, zależnie od potrzeb, dla wszystkich grup wiekowych od pierwszego roku programu, bez odraczania. Polski Język Migowy zyskuje status języka mniejszości.</w:t>
      </w:r>
    </w:p>
    <w:p>
      <w:pPr>
        <w:pStyle w:val="ListParagraph"/>
        <w:numPr>
          <w:ilvl w:val="0"/>
          <w:numId w:val="9"/>
        </w:numPr>
        <w:spacing w:after="120" w:line="290"/>
      </w:pPr>
      <w:r>
        <w:rPr>
          <w:rFonts w:ascii="Calibri" w:cs="Calibri" w:eastAsia="Calibri" w:hAnsi="Calibri"/>
          <w:color w:val="222222"/>
          <w:sz w:val="21"/>
          <w:szCs w:val="21"/>
        </w:rPr>
        <w:t xml:space="preserve">Dorobienie sobie do renty socjalnej nie powoduje utraty całego świadczenia z dnia na dzień — świadczenie zmniejsza się stopniowo, proporcjonalnie do dodatkowego dochodu.</w:t>
      </w:r>
    </w:p>
    <w:p>
      <w:pPr>
        <w:pStyle w:val="ListParagraph"/>
        <w:numPr>
          <w:ilvl w:val="0"/>
          <w:numId w:val="9"/>
        </w:numPr>
        <w:spacing w:after="120" w:line="290"/>
      </w:pPr>
      <w:r>
        <w:rPr>
          <w:rFonts w:ascii="Calibri" w:cs="Calibri" w:eastAsia="Calibri" w:hAnsi="Calibri"/>
          <w:color w:val="222222"/>
          <w:sz w:val="21"/>
          <w:szCs w:val="21"/>
        </w:rPr>
        <w:t xml:space="preserve">Rodzice dostają łącznie 480 płatnych dni urlopu związanego z dzieckiem, do wykorzystania do jego 12. roku życia — z czego 90 dni jest zarezerwowanych dla każdego rodzica osobno i nie można ich przekazać drugiemu. Pierwsze 390 dni płacone jest na poziomie około 80% pensji, z takim samym górnym limitem jak przy zwolnieniu chorobowym; ostatnie 90 dni — stawką ryczałtową, corocznie waloryzowaną. Rodzic samotnie wychowujący dziecko ma prawo do całej puli dni, nie tylko swojej połowy.</w:t>
      </w:r>
    </w:p>
    <w:p>
      <w:pPr>
        <w:pStyle w:val="ListParagraph"/>
        <w:numPr>
          <w:ilvl w:val="0"/>
          <w:numId w:val="9"/>
        </w:numPr>
        <w:spacing w:after="120" w:line="290"/>
      </w:pPr>
      <w:r>
        <w:rPr>
          <w:rFonts w:ascii="Calibri" w:cs="Calibri" w:eastAsia="Calibri" w:hAnsi="Calibri"/>
          <w:color w:val="222222"/>
          <w:sz w:val="21"/>
          <w:szCs w:val="21"/>
        </w:rPr>
        <w:t xml:space="preserve">Dzieci pozostające bez opieki rodziców (sieroty, w tym sieroty społeczne) mają zagwarantowane pełne utrzymanie do 26. roku życia, jeśli w tym czasie się uczą.</w:t>
      </w:r>
    </w:p>
    <w:p>
      <w:pPr>
        <w:pStyle w:val="ListParagraph"/>
        <w:numPr>
          <w:ilvl w:val="0"/>
          <w:numId w:val="9"/>
        </w:numPr>
        <w:spacing w:after="120" w:line="290"/>
      </w:pPr>
      <w:r>
        <w:rPr>
          <w:rFonts w:ascii="Calibri" w:cs="Calibri" w:eastAsia="Calibri" w:hAnsi="Calibri"/>
          <w:color w:val="222222"/>
          <w:sz w:val="21"/>
          <w:szCs w:val="21"/>
        </w:rPr>
        <w:t xml:space="preserve">Fundusz Alimentacyjny zostaje (do 1000 złotych miesięcznie na dziecko), a państwo dodatkowo aktywnie ściga dłużników alimentacyjnych. Osoba dochodząca alimentów dostaje darmową pomoc prawną.</w:t>
      </w:r>
    </w:p>
    <w:p>
      <w:pPr>
        <w:pStyle w:val="ListParagraph"/>
        <w:numPr>
          <w:ilvl w:val="0"/>
          <w:numId w:val="9"/>
        </w:numPr>
        <w:spacing w:after="120" w:line="290"/>
      </w:pPr>
      <w:r>
        <w:rPr>
          <w:rFonts w:ascii="Calibri" w:cs="Calibri" w:eastAsia="Calibri" w:hAnsi="Calibri"/>
          <w:color w:val="222222"/>
          <w:sz w:val="21"/>
          <w:szCs w:val="21"/>
        </w:rPr>
        <w:t xml:space="preserve">Odpowiedzialność za reagowanie na przemoc domową, dziś rozproszoną między różne instytucje, skupiamy w jednym miejscu, z rozbudowaną siecią ośrodków interwencji kryzysowej dostępnych całodobowo.</w:t>
      </w:r>
    </w:p>
    <w:p>
      <w:pPr>
        <w:pStyle w:val="ListParagraph"/>
        <w:numPr>
          <w:ilvl w:val="0"/>
          <w:numId w:val="9"/>
        </w:numPr>
        <w:spacing w:after="120" w:line="290"/>
      </w:pPr>
      <w:r>
        <w:rPr>
          <w:rFonts w:ascii="Calibri" w:cs="Calibri" w:eastAsia="Calibri" w:hAnsi="Calibri"/>
          <w:color w:val="222222"/>
          <w:sz w:val="21"/>
          <w:szCs w:val="21"/>
        </w:rPr>
        <w:t xml:space="preserve">Budujemy mieszkania senioralne i chronione dla osób starszych i wymagających wsparcia. Walkę z bezdomnością prowadzimy według zasady „najpierw mieszkanie” — najpierw dajemy człowiekowi dach nad głową, potem pomagamy z resztą — pod nadzorem pełnomocnika rządu odpowiedzialnego za wygaszenie bezdomności.</w:t>
      </w:r>
    </w:p>
    <w:p>
      <w:pPr>
        <w:pStyle w:val="Heading2"/>
      </w:pPr>
      <w:r>
        <w:t xml:space="preserve">9. Nauka</w:t>
      </w:r>
    </w:p>
    <w:p>
      <w:pPr>
        <w:spacing w:after="200" w:line="300"/>
      </w:pPr>
      <w:r>
        <w:rPr>
          <w:rFonts w:ascii="Calibri" w:cs="Calibri" w:eastAsia="Calibri" w:hAnsi="Calibri"/>
          <w:color w:val="222222"/>
          <w:sz w:val="21"/>
          <w:szCs w:val="21"/>
        </w:rPr>
        <w:t xml:space="preserve">Najlepsi polscy naukowcy wyjeżdżają, bo w kraju nie mają ani stabilności zatrudnienia, ani pieniędzy na życie z pracy badawczej. Bez inwestycji w naukę nie zbudujemy niczego z rozdziału 1 — ani atomu, ani polskiego AI, ani nowych leków.</w:t>
      </w:r>
    </w:p>
    <w:p>
      <w:pPr>
        <w:pStyle w:val="ListParagraph"/>
        <w:numPr>
          <w:ilvl w:val="0"/>
          <w:numId w:val="10"/>
        </w:numPr>
        <w:spacing w:after="120" w:line="290"/>
      </w:pPr>
      <w:r>
        <w:rPr>
          <w:rFonts w:ascii="Calibri" w:cs="Calibri" w:eastAsia="Calibri" w:hAnsi="Calibri"/>
          <w:color w:val="222222"/>
          <w:sz w:val="21"/>
          <w:szCs w:val="21"/>
        </w:rPr>
        <w:t xml:space="preserve">Subwencje dla uczelni są waloryzowane co roku co najmniej o wskaźnik inflacji.</w:t>
      </w:r>
    </w:p>
    <w:p>
      <w:pPr>
        <w:pStyle w:val="ListParagraph"/>
        <w:numPr>
          <w:ilvl w:val="0"/>
          <w:numId w:val="10"/>
        </w:numPr>
        <w:spacing w:after="120" w:line="290"/>
      </w:pPr>
      <w:r>
        <w:rPr>
          <w:rFonts w:ascii="Calibri" w:cs="Calibri" w:eastAsia="Calibri" w:hAnsi="Calibri"/>
          <w:color w:val="222222"/>
          <w:sz w:val="21"/>
          <w:szCs w:val="21"/>
        </w:rPr>
        <w:t xml:space="preserve">Doktoranci dostają umowę o pracę zamiast stypendium — w tej samej kwocie co dziś, ale ze składkami emerytalnymi, stażem pracy i prawem do L4. Konkursy na stanowiska akademickie są w pełni jawne, z publicznie dostępnymi kryteriami oceny.</w:t>
      </w:r>
    </w:p>
    <w:p>
      <w:pPr>
        <w:pStyle w:val="ListParagraph"/>
        <w:numPr>
          <w:ilvl w:val="0"/>
          <w:numId w:val="10"/>
        </w:numPr>
        <w:spacing w:after="120" w:line="290"/>
      </w:pPr>
      <w:r>
        <w:rPr>
          <w:rFonts w:ascii="Calibri" w:cs="Calibri" w:eastAsia="Calibri" w:hAnsi="Calibri"/>
          <w:color w:val="222222"/>
          <w:sz w:val="21"/>
          <w:szCs w:val="21"/>
        </w:rPr>
        <w:t xml:space="preserve">Narodowe Centrum Nauki dostaje ustawowo zagwarantowane finansowanie pozwalające wsparcie co najmniej jednego z pięciu zgłoszonych projektów badawczych. Polska Akademia Nauk ma ustawowo zapisany budżet podstawowy — granty z NCN są dodatkiem do tego budżetu, nie jedynym źródłem finansowania działalności naukowej.</w:t>
      </w:r>
    </w:p>
    <w:p>
      <w:pPr>
        <w:pStyle w:val="ListParagraph"/>
        <w:numPr>
          <w:ilvl w:val="0"/>
          <w:numId w:val="10"/>
        </w:numPr>
        <w:spacing w:after="120" w:line="290"/>
      </w:pPr>
      <w:r>
        <w:rPr>
          <w:rFonts w:ascii="Calibri" w:cs="Calibri" w:eastAsia="Calibri" w:hAnsi="Calibri"/>
          <w:color w:val="222222"/>
          <w:sz w:val="21"/>
          <w:szCs w:val="21"/>
        </w:rPr>
        <w:t xml:space="preserve">Wzmacniamy nadzór nad prywatnymi szkołami wyższymi działającymi jak „fabryki dyplomów” — sprzedającymi tytuły bez realnej wartości edukacyjnej.</w:t>
      </w:r>
    </w:p>
    <w:p>
      <w:pPr>
        <w:pStyle w:val="ListParagraph"/>
        <w:numPr>
          <w:ilvl w:val="0"/>
          <w:numId w:val="10"/>
        </w:numPr>
        <w:spacing w:after="120" w:line="290"/>
      </w:pPr>
      <w:r>
        <w:rPr>
          <w:rFonts w:ascii="Calibri" w:cs="Calibri" w:eastAsia="Calibri" w:hAnsi="Calibri"/>
          <w:color w:val="222222"/>
          <w:sz w:val="21"/>
          <w:szCs w:val="21"/>
        </w:rPr>
        <w:t xml:space="preserve">Stypendium socjalne dla studentów wynosi 50% płacy minimalnej. Budujemy 20 tysięcy nowych miejsc w akademikach w ciągu 8 lat. Stołówki studenckie działają na zasadach non-profit, nie jako biznes.</w:t>
      </w:r>
    </w:p>
    <w:p>
      <w:pPr>
        <w:pStyle w:val="ListParagraph"/>
        <w:numPr>
          <w:ilvl w:val="0"/>
          <w:numId w:val="10"/>
        </w:numPr>
        <w:spacing w:after="120" w:line="290"/>
      </w:pPr>
      <w:r>
        <w:rPr>
          <w:rFonts w:ascii="Calibri" w:cs="Calibri" w:eastAsia="Calibri" w:hAnsi="Calibri"/>
          <w:color w:val="222222"/>
          <w:sz w:val="21"/>
          <w:szCs w:val="21"/>
        </w:rPr>
        <w:t xml:space="preserve">Wszystkie publikacje i dane badawcze finansowane z pieniędzy publicznych są dostępne dla każdego bezpłatnie (otwarty dostęp) — koszty publikacji pokrywa państwo, nie czytelnik ani autor.</w:t>
      </w:r>
    </w:p>
    <w:p>
      <w:pPr>
        <w:pStyle w:val="ListParagraph"/>
        <w:numPr>
          <w:ilvl w:val="0"/>
          <w:numId w:val="10"/>
        </w:numPr>
        <w:spacing w:after="120" w:line="290"/>
      </w:pPr>
      <w:r>
        <w:rPr>
          <w:rFonts w:ascii="Calibri" w:cs="Calibri" w:eastAsia="Calibri" w:hAnsi="Calibri"/>
          <w:color w:val="222222"/>
          <w:sz w:val="21"/>
          <w:szCs w:val="21"/>
        </w:rPr>
        <w:t xml:space="preserve">Nauki humanistyczne i społeczne dostają osobną, zagwarantowaną pulę finansowania — nie to, co zostanie po rozdaniu pieniędzy naukom technicznym i przyrodniczym.</w:t>
      </w:r>
    </w:p>
    <w:p>
      <w:pPr>
        <w:pStyle w:val="Heading2"/>
      </w:pPr>
      <w:r>
        <w:t xml:space="preserve">10. Szkoła równych szans</w:t>
      </w:r>
    </w:p>
    <w:p>
      <w:pPr>
        <w:spacing w:after="200" w:line="300"/>
      </w:pPr>
      <w:r>
        <w:rPr>
          <w:rFonts w:ascii="Calibri" w:cs="Calibri" w:eastAsia="Calibri" w:hAnsi="Calibri"/>
          <w:color w:val="222222"/>
          <w:sz w:val="21"/>
          <w:szCs w:val="21"/>
        </w:rPr>
        <w:t xml:space="preserve">O przyszłości dziecka nie powinien decydować portfel rodziców. Szkoła publiczna, dostępna dla każdego, ma dawać realną szansę na start w życiu, nie tylko świadectwo z pieczątką.</w:t>
      </w:r>
    </w:p>
    <w:p>
      <w:pPr>
        <w:pStyle w:val="ListParagraph"/>
        <w:numPr>
          <w:ilvl w:val="0"/>
          <w:numId w:val="11"/>
        </w:numPr>
        <w:spacing w:after="120" w:line="290"/>
      </w:pPr>
      <w:r>
        <w:rPr>
          <w:rFonts w:ascii="Calibri" w:cs="Calibri" w:eastAsia="Calibri" w:hAnsi="Calibri"/>
          <w:color w:val="222222"/>
          <w:sz w:val="21"/>
          <w:szCs w:val="21"/>
        </w:rPr>
        <w:t xml:space="preserve">Ciepły obiad w szkole jest bezpłatny dla rodzin o dochodach do 150% minimum socjalnego; powyżej tego progu — płatny, ale dostępny dla każdego. Miejsce w publicznym żłobku, przedszkolu i szkole jest gwarantowane, nie zależy od loterii zapisów.</w:t>
      </w:r>
    </w:p>
    <w:p>
      <w:pPr>
        <w:pStyle w:val="ListParagraph"/>
        <w:numPr>
          <w:ilvl w:val="0"/>
          <w:numId w:val="11"/>
        </w:numPr>
        <w:spacing w:after="120" w:line="290"/>
      </w:pPr>
      <w:r>
        <w:rPr>
          <w:rFonts w:ascii="Calibri" w:cs="Calibri" w:eastAsia="Calibri" w:hAnsi="Calibri"/>
          <w:color w:val="222222"/>
          <w:sz w:val="21"/>
          <w:szCs w:val="21"/>
        </w:rPr>
        <w:t xml:space="preserve">Szkoły komercyjne, działające dla zysku, nie dostają dotacji z budżetu publicznego. Organizacje oświatowe działające non-profit mogą dostać dotację w formie stawki za ucznia, tak jak szkoły publiczne.</w:t>
      </w:r>
    </w:p>
    <w:p>
      <w:pPr>
        <w:pStyle w:val="ListParagraph"/>
        <w:numPr>
          <w:ilvl w:val="0"/>
          <w:numId w:val="11"/>
        </w:numPr>
        <w:spacing w:after="120" w:line="290"/>
      </w:pPr>
      <w:r>
        <w:rPr>
          <w:rFonts w:ascii="Calibri" w:cs="Calibri" w:eastAsia="Calibri" w:hAnsi="Calibri"/>
          <w:color w:val="222222"/>
          <w:sz w:val="21"/>
          <w:szCs w:val="21"/>
        </w:rPr>
        <w:t xml:space="preserve">Odciążamy nauczycieli z nadmiaru biurokracji, poprawiamy system awansu zawodowego i zapewniamy wsparcie psychologiczne przeciw wypaleniu zawodowemu. Pensje nauczycieli waloryzowane są tak samo jak w całym sektorze publicznym (rozdział 2, punkt 9).</w:t>
      </w:r>
    </w:p>
    <w:p>
      <w:pPr>
        <w:pStyle w:val="ListParagraph"/>
        <w:numPr>
          <w:ilvl w:val="0"/>
          <w:numId w:val="11"/>
        </w:numPr>
        <w:spacing w:after="120" w:line="290"/>
      </w:pPr>
      <w:r>
        <w:rPr>
          <w:rFonts w:ascii="Calibri" w:cs="Calibri" w:eastAsia="Calibri" w:hAnsi="Calibri"/>
          <w:color w:val="222222"/>
          <w:sz w:val="21"/>
          <w:szCs w:val="21"/>
        </w:rPr>
        <w:t xml:space="preserve">Klasa liczy maksymalnie 20 uczniów w klasach 1–3 i 25 w starszych. Zapewniamy realne wsparcie psychologiczno-pedagogiczne oraz jasne procedury reagowania na przemoc rówieśniczą, w tym przemoc w internecie.</w:t>
      </w:r>
    </w:p>
    <w:p>
      <w:pPr>
        <w:pStyle w:val="ListParagraph"/>
        <w:numPr>
          <w:ilvl w:val="0"/>
          <w:numId w:val="11"/>
        </w:numPr>
        <w:spacing w:after="120" w:line="290"/>
      </w:pPr>
      <w:r>
        <w:rPr>
          <w:rFonts w:ascii="Calibri" w:cs="Calibri" w:eastAsia="Calibri" w:hAnsi="Calibri"/>
          <w:color w:val="222222"/>
          <w:sz w:val="21"/>
          <w:szCs w:val="21"/>
        </w:rPr>
        <w:t xml:space="preserve">Program nauczania ma wspólny, ogólnokrajowy rdzeń obejmujący 70–80% treści — żeby matura znaczyła to samo w całym kraju. Pozostała część to aneks regionalny, dopasowany lokalnie (historia i kultura regionu, drugi język, profile zawodowe pod lokalną gospodarkę).</w:t>
      </w:r>
    </w:p>
    <w:p>
      <w:pPr>
        <w:pStyle w:val="ListParagraph"/>
        <w:numPr>
          <w:ilvl w:val="0"/>
          <w:numId w:val="11"/>
        </w:numPr>
        <w:spacing w:after="120" w:line="290"/>
      </w:pPr>
      <w:r>
        <w:rPr>
          <w:rFonts w:ascii="Calibri" w:cs="Calibri" w:eastAsia="Calibri" w:hAnsi="Calibri"/>
          <w:color w:val="222222"/>
          <w:sz w:val="21"/>
          <w:szCs w:val="21"/>
        </w:rPr>
        <w:t xml:space="preserve">W klasach 1–2 dzień w szkole jest krótszy, skupiony na zabawie i relacjach z innymi dziećmi, nie na sprawdzianach i ocenach.</w:t>
      </w:r>
    </w:p>
    <w:p>
      <w:pPr>
        <w:pStyle w:val="ListParagraph"/>
        <w:numPr>
          <w:ilvl w:val="0"/>
          <w:numId w:val="11"/>
        </w:numPr>
        <w:spacing w:after="120" w:line="290"/>
      </w:pPr>
      <w:r>
        <w:rPr>
          <w:rFonts w:ascii="Calibri" w:cs="Calibri" w:eastAsia="Calibri" w:hAnsi="Calibri"/>
          <w:color w:val="222222"/>
          <w:sz w:val="21"/>
          <w:szCs w:val="21"/>
        </w:rPr>
        <w:t xml:space="preserve">Znosimy egzamin ósmoklasisty. O przyjęciu do szkoły średniej decydują oceny i rejonizacja, nie jeden test rankingujący dzieci względem siebie.</w:t>
      </w:r>
    </w:p>
    <w:p>
      <w:pPr>
        <w:pStyle w:val="ListParagraph"/>
        <w:numPr>
          <w:ilvl w:val="0"/>
          <w:numId w:val="11"/>
        </w:numPr>
        <w:spacing w:after="120" w:line="290"/>
      </w:pPr>
      <w:r>
        <w:rPr>
          <w:rFonts w:ascii="Calibri" w:cs="Calibri" w:eastAsia="Calibri" w:hAnsi="Calibri"/>
          <w:color w:val="222222"/>
          <w:sz w:val="21"/>
          <w:szCs w:val="21"/>
        </w:rPr>
        <w:t xml:space="preserve">W klasach 4–6 praca domowa jest limitowana czasowo.</w:t>
      </w:r>
    </w:p>
    <w:p>
      <w:pPr>
        <w:pStyle w:val="ListParagraph"/>
        <w:numPr>
          <w:ilvl w:val="0"/>
          <w:numId w:val="11"/>
        </w:numPr>
        <w:spacing w:after="120" w:line="290"/>
      </w:pPr>
      <w:r>
        <w:rPr>
          <w:rFonts w:ascii="Calibri" w:cs="Calibri" w:eastAsia="Calibri" w:hAnsi="Calibri"/>
          <w:color w:val="222222"/>
          <w:sz w:val="21"/>
          <w:szCs w:val="21"/>
        </w:rPr>
        <w:t xml:space="preserve">Lekcje w szkołach ponadpodstawowych (liceum, technikum) nie zaczynają się wcześniej niż o 8:30 — to uwzględnia naturalny rytm snu młodzieży, potwierdzony badaniami.</w:t>
      </w:r>
    </w:p>
    <w:p>
      <w:pPr>
        <w:pStyle w:val="ListParagraph"/>
        <w:numPr>
          <w:ilvl w:val="0"/>
          <w:numId w:val="11"/>
        </w:numPr>
        <w:spacing w:after="120" w:line="290"/>
      </w:pPr>
      <w:r>
        <w:rPr>
          <w:rFonts w:ascii="Calibri" w:cs="Calibri" w:eastAsia="Calibri" w:hAnsi="Calibri"/>
          <w:color w:val="222222"/>
          <w:sz w:val="21"/>
          <w:szCs w:val="21"/>
        </w:rPr>
        <w:t xml:space="preserve">Czas, który nauczyciel poświęca na dokumentację, jest limitowany ustawowo, żeby nie zjadał czasu na uczenie.</w:t>
      </w:r>
    </w:p>
    <w:p>
      <w:pPr>
        <w:pStyle w:val="Heading2"/>
      </w:pPr>
      <w:r>
        <w:t xml:space="preserve">11. Wolność, równość, solidarność</w:t>
      </w:r>
    </w:p>
    <w:p>
      <w:pPr>
        <w:spacing w:after="200" w:line="300"/>
      </w:pPr>
      <w:r>
        <w:rPr>
          <w:rFonts w:ascii="Calibri" w:cs="Calibri" w:eastAsia="Calibri" w:hAnsi="Calibri"/>
          <w:color w:val="222222"/>
          <w:sz w:val="21"/>
          <w:szCs w:val="21"/>
        </w:rPr>
        <w:t xml:space="preserve">Wolność nie jest przywilejem dla najsilniejszych. Polska ma być bezpieczna dla kobiet, dla par — niezależnie od tego, kogo kochają — i dla każdego, kto chce po prostu żyć własnym życiem bez pytania o zgodę sąsiada czy księdza.</w:t>
      </w:r>
    </w:p>
    <w:p>
      <w:pPr>
        <w:pStyle w:val="ListParagraph"/>
        <w:numPr>
          <w:ilvl w:val="0"/>
          <w:numId w:val="12"/>
        </w:numPr>
        <w:spacing w:after="120" w:line="290"/>
      </w:pPr>
      <w:r>
        <w:rPr>
          <w:rFonts w:ascii="Calibri" w:cs="Calibri" w:eastAsia="Calibri" w:hAnsi="Calibri"/>
          <w:color w:val="222222"/>
          <w:sz w:val="21"/>
          <w:szCs w:val="21"/>
        </w:rPr>
        <w:t xml:space="preserve">Fundusz Kościelny, z którego państwo płaci składki emerytalne za duchownych, znika w ciągu 3 lat: pierwszy rok — pełne składki jak dziś, drugi rok — połowa, trzeci rok — zero. Religia wychodzi ze szkół publicznych całkowicie — katecheza może się odbywać w salkach parafialnych, w pełni swobodnie, ale poza systemem edukacji finansowanym z podatków. Wypowiadamy albo renegocjujemy Konkordat w części dotyczącej religii w szkołach i finansowania Kościoła.</w:t>
      </w:r>
    </w:p>
    <w:p>
      <w:pPr>
        <w:pStyle w:val="ListParagraph"/>
        <w:numPr>
          <w:ilvl w:val="0"/>
          <w:numId w:val="12"/>
        </w:numPr>
        <w:spacing w:after="120" w:line="290"/>
      </w:pPr>
      <w:r>
        <w:rPr>
          <w:rFonts w:ascii="Calibri" w:cs="Calibri" w:eastAsia="Calibri" w:hAnsi="Calibri"/>
          <w:color w:val="222222"/>
          <w:sz w:val="21"/>
          <w:szCs w:val="21"/>
        </w:rPr>
        <w:t xml:space="preserve">Kapelani wojskowi, szpitalni i więzienni nie są już finansowani z budżetu państwa — ich wynagrodzenia pokrywa Kościół. Osoba potrzebująca posługi duchowej w szpitalu, wojsku czy więzieniu wciąż ją dostanie na żądanie — zmienia się tylko to, kto płaci.</w:t>
      </w:r>
    </w:p>
    <w:p>
      <w:pPr>
        <w:pStyle w:val="ListParagraph"/>
        <w:numPr>
          <w:ilvl w:val="0"/>
          <w:numId w:val="12"/>
        </w:numPr>
        <w:spacing w:after="120" w:line="290"/>
      </w:pPr>
      <w:r>
        <w:rPr>
          <w:rFonts w:ascii="Calibri" w:cs="Calibri" w:eastAsia="Calibri" w:hAnsi="Calibri"/>
          <w:color w:val="222222"/>
          <w:sz w:val="21"/>
          <w:szCs w:val="21"/>
        </w:rPr>
        <w:t xml:space="preserve">Prawo do zawarcia małżeństwa i do wspólnej adopcji dziecka przysługuje niezależnie od płci partnerów. Związki partnerskie zostają jako dodatkowa opcja dla tych, którzy woleliby tę formę, nie jako jedyna alternatywa dla par jednopłciowych.</w:t>
      </w:r>
    </w:p>
    <w:p>
      <w:pPr>
        <w:pStyle w:val="ListParagraph"/>
        <w:numPr>
          <w:ilvl w:val="0"/>
          <w:numId w:val="12"/>
        </w:numPr>
        <w:spacing w:after="120" w:line="290"/>
      </w:pPr>
      <w:r>
        <w:rPr>
          <w:rFonts w:ascii="Calibri" w:cs="Calibri" w:eastAsia="Calibri" w:hAnsi="Calibri"/>
          <w:color w:val="222222"/>
          <w:sz w:val="21"/>
          <w:szCs w:val="21"/>
        </w:rPr>
        <w:t xml:space="preserve">Osoby transpłciowe mają dostęp do bezpłatnej ścieżki tranzycji. Tranzycja medyczna jest dostępna od 18. roku życia; prawne uzgodnienie płci metrykalnej — od 16 lat, za zgodą opiekuna prawnego.</w:t>
      </w:r>
    </w:p>
    <w:p>
      <w:pPr>
        <w:pStyle w:val="ListParagraph"/>
        <w:numPr>
          <w:ilvl w:val="0"/>
          <w:numId w:val="12"/>
        </w:numPr>
        <w:spacing w:after="120" w:line="290"/>
      </w:pPr>
      <w:r>
        <w:rPr>
          <w:rFonts w:ascii="Calibri" w:cs="Calibri" w:eastAsia="Calibri" w:hAnsi="Calibri"/>
          <w:color w:val="222222"/>
          <w:sz w:val="21"/>
          <w:szCs w:val="21"/>
        </w:rPr>
        <w:t xml:space="preserve">Zakazujemy tak zwanych „terapii konwersyjnych”, mających „leczyć” orientację seksualną czy tożsamość płciową. Orientacja seksualna i tożsamość płciowa stają się przesłanką ochrony przed przestępstwami motywowanymi nienawiścią. Mowa nienawiści jest ścigana — ale krytyka religii, władzy czy idei nie jest mową nienawiści i zostaje w pełni chroniona jako wolność wypowiedzi. Uchylamy art. 196 Kodeksu karnego (obraza uczuć religijnych).</w:t>
      </w:r>
    </w:p>
    <w:p>
      <w:pPr>
        <w:pStyle w:val="ListParagraph"/>
        <w:numPr>
          <w:ilvl w:val="0"/>
          <w:numId w:val="12"/>
        </w:numPr>
        <w:spacing w:after="120" w:line="290"/>
      </w:pPr>
      <w:r>
        <w:rPr>
          <w:rFonts w:ascii="Calibri" w:cs="Calibri" w:eastAsia="Calibri" w:hAnsi="Calibri"/>
          <w:color w:val="222222"/>
          <w:sz w:val="21"/>
          <w:szCs w:val="21"/>
        </w:rPr>
        <w:t xml:space="preserve">Politykę wobec substancji psychoaktywnych — alkoholu i konopi — opisujemy szczegółowo w rozdziale 5, punkt 14.</w:t>
      </w:r>
    </w:p>
    <w:p>
      <w:pPr>
        <w:pStyle w:val="ListParagraph"/>
        <w:numPr>
          <w:ilvl w:val="0"/>
          <w:numId w:val="12"/>
        </w:numPr>
        <w:spacing w:after="120" w:line="290"/>
      </w:pPr>
      <w:r>
        <w:rPr>
          <w:rFonts w:ascii="Calibri" w:cs="Calibri" w:eastAsia="Calibri" w:hAnsi="Calibri"/>
          <w:color w:val="222222"/>
          <w:sz w:val="21"/>
          <w:szCs w:val="21"/>
        </w:rPr>
        <w:t xml:space="preserve">Wprowadzamy przepisy o dobrostanie zwierząt: zakaz niehumanitarnych metod chowu i uboju, zakaz ferm futrzarskich, zakaz chowu klatkowego i zakaz wykorzystywania zwierząt w cyrkach. Powołujemy Rzecznika Praw Zwierząt. Kończymy ze współfinansowaniem polowań z budżetu publicznego.</w:t>
      </w:r>
    </w:p>
    <w:p>
      <w:pPr>
        <w:pStyle w:val="ListParagraph"/>
        <w:numPr>
          <w:ilvl w:val="0"/>
          <w:numId w:val="12"/>
        </w:numPr>
        <w:spacing w:after="120" w:line="290"/>
      </w:pPr>
      <w:r>
        <w:rPr>
          <w:rFonts w:ascii="Calibri" w:cs="Calibri" w:eastAsia="Calibri" w:hAnsi="Calibri"/>
          <w:color w:val="222222"/>
          <w:sz w:val="21"/>
          <w:szCs w:val="21"/>
        </w:rPr>
        <w:t xml:space="preserve">Każdy ma prawo decydować o wykorzystaniu swoich danych i wizerunku. Algorytmy używane przez instytucje państwowe muszą być jawne i wyjaśnialne.</w:t>
      </w:r>
    </w:p>
    <w:p>
      <w:pPr>
        <w:pStyle w:val="ListParagraph"/>
        <w:numPr>
          <w:ilvl w:val="0"/>
          <w:numId w:val="12"/>
        </w:numPr>
        <w:spacing w:after="120" w:line="290"/>
      </w:pPr>
      <w:r>
        <w:rPr>
          <w:rFonts w:ascii="Calibri" w:cs="Calibri" w:eastAsia="Calibri" w:hAnsi="Calibri"/>
          <w:color w:val="222222"/>
          <w:sz w:val="21"/>
          <w:szCs w:val="21"/>
        </w:rPr>
        <w:t xml:space="preserve">W polityce wobec pracy seksualnej karzemy nabywanie usług seksualnych, nie ich świadczenie. Osoby świadczące takie usługi są w pełni zdekryminalizowane i dostają finansowane wsparcie (mieszkaniowe, psychologiczne, zawodowe), jeśli chcą z tego odejść.</w:t>
      </w:r>
    </w:p>
    <w:p>
      <w:pPr>
        <w:pStyle w:val="Heading2"/>
      </w:pPr>
      <w:r>
        <w:t xml:space="preserve">12. Przyroda</w:t>
      </w:r>
    </w:p>
    <w:p>
      <w:pPr>
        <w:spacing w:after="200" w:line="300"/>
      </w:pPr>
      <w:r>
        <w:rPr>
          <w:rFonts w:ascii="Calibri" w:cs="Calibri" w:eastAsia="Calibri" w:hAnsi="Calibri"/>
          <w:color w:val="222222"/>
          <w:sz w:val="21"/>
          <w:szCs w:val="21"/>
        </w:rPr>
        <w:t xml:space="preserve">Lasy, rzeki i czyste powietrze to nasze wspólne dziedzictwo, nie zasób do wyciśnięcia dla zysku garstki — a rachunek za jego rabunek płacimy wszyscy, smogiem, suszą i wyginiętymi lasami.</w:t>
      </w:r>
    </w:p>
    <w:p>
      <w:pPr>
        <w:pStyle w:val="ListParagraph"/>
        <w:numPr>
          <w:ilvl w:val="0"/>
          <w:numId w:val="13"/>
        </w:numPr>
        <w:spacing w:after="120" w:line="290"/>
      </w:pPr>
      <w:r>
        <w:rPr>
          <w:rFonts w:ascii="Calibri" w:cs="Calibri" w:eastAsia="Calibri" w:hAnsi="Calibri"/>
          <w:color w:val="222222"/>
          <w:sz w:val="21"/>
          <w:szCs w:val="21"/>
        </w:rPr>
        <w:t xml:space="preserve">Tworzymy nowe parki narodowe i powiększamy istniejące, ze wzmocnioną ochroną gatunków zagrożonych wyginięciem.</w:t>
      </w:r>
    </w:p>
    <w:p>
      <w:pPr>
        <w:pStyle w:val="ListParagraph"/>
        <w:numPr>
          <w:ilvl w:val="0"/>
          <w:numId w:val="13"/>
        </w:numPr>
        <w:spacing w:after="120" w:line="290"/>
      </w:pPr>
      <w:r>
        <w:rPr>
          <w:rFonts w:ascii="Calibri" w:cs="Calibri" w:eastAsia="Calibri" w:hAnsi="Calibri"/>
          <w:color w:val="222222"/>
          <w:sz w:val="21"/>
          <w:szCs w:val="21"/>
        </w:rPr>
        <w:t xml:space="preserve">Lasy Państwowe nigdy nie są prywatyzowane. Priorytetem staje się ochrona starodrzewu, nie rabunkowa wycinka dla zysku.</w:t>
      </w:r>
    </w:p>
    <w:p>
      <w:pPr>
        <w:pStyle w:val="ListParagraph"/>
        <w:numPr>
          <w:ilvl w:val="0"/>
          <w:numId w:val="13"/>
        </w:numPr>
        <w:spacing w:after="120" w:line="290"/>
      </w:pPr>
      <w:r>
        <w:rPr>
          <w:rFonts w:ascii="Calibri" w:cs="Calibri" w:eastAsia="Calibri" w:hAnsi="Calibri"/>
          <w:color w:val="222222"/>
          <w:sz w:val="21"/>
          <w:szCs w:val="21"/>
        </w:rPr>
        <w:t xml:space="preserve">Wody Polskie skupiają się na ochronie rzek i jezior jako ekosystemów, nie na inwestycjach żeglugowych, które niszczą naturalne korytarze ekologiczne.</w:t>
      </w:r>
    </w:p>
    <w:p>
      <w:pPr>
        <w:pStyle w:val="ListParagraph"/>
        <w:numPr>
          <w:ilvl w:val="0"/>
          <w:numId w:val="13"/>
        </w:numPr>
        <w:spacing w:after="120" w:line="290"/>
      </w:pPr>
      <w:r>
        <w:rPr>
          <w:rFonts w:ascii="Calibri" w:cs="Calibri" w:eastAsia="Calibri" w:hAnsi="Calibri"/>
          <w:color w:val="222222"/>
          <w:sz w:val="21"/>
          <w:szCs w:val="21"/>
        </w:rPr>
        <w:t xml:space="preserve">Finansujemy publicznie program docieplania budynków.</w:t>
      </w:r>
    </w:p>
    <w:p>
      <w:pPr>
        <w:pStyle w:val="ListParagraph"/>
        <w:numPr>
          <w:ilvl w:val="0"/>
          <w:numId w:val="13"/>
        </w:numPr>
        <w:spacing w:after="120" w:line="290"/>
      </w:pPr>
      <w:r>
        <w:rPr>
          <w:rFonts w:ascii="Calibri" w:cs="Calibri" w:eastAsia="Calibri" w:hAnsi="Calibri"/>
          <w:color w:val="222222"/>
          <w:sz w:val="21"/>
          <w:szCs w:val="21"/>
        </w:rPr>
        <w:t xml:space="preserve">Zakazujemy nowej zabudowy na terenach zalewowych. Inwestujemy w retencję wody i przeciwdziałanie suszy, z uwzględnieniem doświadczeń katastrofy ekologicznej na Odrze.</w:t>
      </w:r>
    </w:p>
    <w:p>
      <w:pPr>
        <w:pStyle w:val="ListParagraph"/>
        <w:numPr>
          <w:ilvl w:val="0"/>
          <w:numId w:val="13"/>
        </w:numPr>
        <w:spacing w:after="120" w:line="290"/>
      </w:pPr>
      <w:r>
        <w:rPr>
          <w:rFonts w:ascii="Calibri" w:cs="Calibri" w:eastAsia="Calibri" w:hAnsi="Calibri"/>
          <w:color w:val="222222"/>
          <w:sz w:val="21"/>
          <w:szCs w:val="21"/>
        </w:rPr>
        <w:t xml:space="preserve">Chronimy najcenniejsze obszary Bałtyku i inwestujemy w odbudowę populacji ryb, dziś przetrzebionych przez przełowienie.</w:t>
      </w:r>
    </w:p>
    <w:p>
      <w:pPr>
        <w:pStyle w:val="ListParagraph"/>
        <w:numPr>
          <w:ilvl w:val="0"/>
          <w:numId w:val="13"/>
        </w:numPr>
        <w:spacing w:after="120" w:line="290"/>
      </w:pPr>
      <w:r>
        <w:rPr>
          <w:rFonts w:ascii="Calibri" w:cs="Calibri" w:eastAsia="Calibri" w:hAnsi="Calibri"/>
          <w:color w:val="222222"/>
          <w:sz w:val="21"/>
          <w:szCs w:val="21"/>
        </w:rPr>
        <w:t xml:space="preserve">Małe i średnie gospodarstwa (do 50 hektarów) dostają długoterminowe, 36-miesięczne kontrakty skupu z gwarantowaną ceną minimalną, żeby nie były zdane na łaskę pojedynczego sezonu. Wsparcie finansowe na technologie ograniczające emisje metanu z hodowli jest dostępne bez przymusu redukowania stad. Na poziomie UE żądamy cła wyrównawczego na import rolny z krajów niespełniających norm unijnych oraz klauzul lustrzanych w umowach handlowych (np. z Mercosurem), żeby polscy rolnicy nie musieli konkurować z nieuczciwie tańszym towarem.</w:t>
      </w:r>
    </w:p>
    <w:p>
      <w:pPr>
        <w:pStyle w:val="ListParagraph"/>
        <w:numPr>
          <w:ilvl w:val="0"/>
          <w:numId w:val="13"/>
        </w:numPr>
        <w:spacing w:after="120" w:line="290"/>
      </w:pPr>
      <w:r>
        <w:rPr>
          <w:rFonts w:ascii="Calibri" w:cs="Calibri" w:eastAsia="Calibri" w:hAnsi="Calibri"/>
          <w:color w:val="222222"/>
          <w:sz w:val="21"/>
          <w:szCs w:val="21"/>
        </w:rPr>
        <w:t xml:space="preserve">Autobusy miejskie są zeroemisyjne od 2035 roku. Kolej regionalna przechodzi na trakcję elektryczną.</w:t>
      </w:r>
    </w:p>
    <w:p>
      <w:pPr>
        <w:pStyle w:val="Heading2"/>
      </w:pPr>
      <w:r>
        <w:t xml:space="preserve">13. Silna Polska w Europie</w:t>
      </w:r>
    </w:p>
    <w:p>
      <w:pPr>
        <w:spacing w:after="200" w:line="300"/>
      </w:pPr>
      <w:r>
        <w:rPr>
          <w:rFonts w:ascii="Calibri" w:cs="Calibri" w:eastAsia="Calibri" w:hAnsi="Calibri"/>
          <w:color w:val="222222"/>
          <w:sz w:val="21"/>
          <w:szCs w:val="21"/>
        </w:rPr>
        <w:t xml:space="preserve">Jesteśmy piątym krajem Unii i zachowujemy się jak piąty kraj Unii — współtworzymy jej decyzje, zamiast tylko na nie reagować.</w:t>
      </w:r>
    </w:p>
    <w:p>
      <w:pPr>
        <w:pStyle w:val="ListParagraph"/>
        <w:numPr>
          <w:ilvl w:val="0"/>
          <w:numId w:val="14"/>
        </w:numPr>
        <w:spacing w:after="120" w:line="290"/>
      </w:pPr>
      <w:r>
        <w:rPr>
          <w:rFonts w:ascii="Calibri" w:cs="Calibri" w:eastAsia="Calibri" w:hAnsi="Calibri"/>
          <w:color w:val="222222"/>
          <w:sz w:val="21"/>
          <w:szCs w:val="21"/>
        </w:rPr>
        <w:t xml:space="preserve">Stawiamy na rozwój europejskich zdolności obronnych i bliższą współpracę wojskową z Niemcami i Francją — zmniejszając zależność od jednego zagranicznego partnera. NATO zostaje fundamentem bezpieczeństwa Polski.</w:t>
      </w:r>
    </w:p>
    <w:p>
      <w:pPr>
        <w:pStyle w:val="ListParagraph"/>
        <w:numPr>
          <w:ilvl w:val="0"/>
          <w:numId w:val="14"/>
        </w:numPr>
        <w:spacing w:after="120" w:line="290"/>
      </w:pPr>
      <w:r>
        <w:rPr>
          <w:rFonts w:ascii="Calibri" w:cs="Calibri" w:eastAsia="Calibri" w:hAnsi="Calibri"/>
          <w:color w:val="222222"/>
          <w:sz w:val="21"/>
          <w:szCs w:val="21"/>
        </w:rPr>
        <w:t xml:space="preserve">Kontynuujemy wsparcie dla Ukrainy — wojskowe i gospodarcze, jako inwestycję w nasze własne bezpieczeństwo, nie tylko gest solidarności. Popieramy ścieżkę Ukrainy do NATO już teraz, bez warunku, że musi najpierw zakończyć się wojna.</w:t>
      </w:r>
    </w:p>
    <w:p>
      <w:pPr>
        <w:pStyle w:val="ListParagraph"/>
        <w:numPr>
          <w:ilvl w:val="0"/>
          <w:numId w:val="14"/>
        </w:numPr>
        <w:spacing w:after="120" w:line="290"/>
      </w:pPr>
      <w:r>
        <w:rPr>
          <w:rFonts w:ascii="Calibri" w:cs="Calibri" w:eastAsia="Calibri" w:hAnsi="Calibri"/>
          <w:color w:val="222222"/>
          <w:sz w:val="21"/>
          <w:szCs w:val="21"/>
        </w:rPr>
        <w:t xml:space="preserve">Zasady migracji, azylu i ochrony granicy opisujemy w rozdziale 3.</w:t>
      </w:r>
    </w:p>
    <w:p>
      <w:pPr>
        <w:pStyle w:val="Heading2"/>
      </w:pPr>
      <w:r>
        <w:t xml:space="preserve">14. Odporne społeczeństwo</w:t>
      </w:r>
    </w:p>
    <w:p>
      <w:pPr>
        <w:spacing w:after="200" w:line="300"/>
      </w:pPr>
      <w:r>
        <w:rPr>
          <w:rFonts w:ascii="Calibri" w:cs="Calibri" w:eastAsia="Calibri" w:hAnsi="Calibri"/>
          <w:color w:val="222222"/>
          <w:sz w:val="21"/>
          <w:szCs w:val="21"/>
        </w:rPr>
        <w:t xml:space="preserve">Bezpieczeństwo Twojej rodziny nie jest polem do oszczędności — ale i nie polem do podbijania liczby dla samej liczby. Chcemy realnej zdolności obronnej, nie tylko wysokiego procentu na papierze.</w:t>
      </w:r>
    </w:p>
    <w:p>
      <w:pPr>
        <w:pStyle w:val="ListParagraph"/>
        <w:numPr>
          <w:ilvl w:val="0"/>
          <w:numId w:val="15"/>
        </w:numPr>
        <w:spacing w:after="120" w:line="290"/>
      </w:pPr>
      <w:r>
        <w:rPr>
          <w:rFonts w:ascii="Calibri" w:cs="Calibri" w:eastAsia="Calibri" w:hAnsi="Calibri"/>
          <w:color w:val="222222"/>
          <w:sz w:val="21"/>
          <w:szCs w:val="21"/>
        </w:rPr>
        <w:t xml:space="preserve">Wydatki obronne zostają na dzisiejszym, już bardzo wysokim poziomie — około 4,8–5,2% PKB, licząc budżet MON razem z Funduszem Wsparcia Sił Zbrojnych. Podniesienie do 6% PKB to cel wykraczający poza tę kadencję, nie obietnica na już.</w:t>
      </w:r>
    </w:p>
    <w:p>
      <w:pPr>
        <w:pStyle w:val="ListParagraph"/>
        <w:numPr>
          <w:ilvl w:val="0"/>
          <w:numId w:val="15"/>
        </w:numPr>
        <w:spacing w:after="120" w:line="290"/>
      </w:pPr>
      <w:r>
        <w:rPr>
          <w:rFonts w:ascii="Calibri" w:cs="Calibri" w:eastAsia="Calibri" w:hAnsi="Calibri"/>
          <w:color w:val="222222"/>
          <w:sz w:val="21"/>
          <w:szCs w:val="21"/>
        </w:rPr>
        <w:t xml:space="preserve">Stawiamy na dobrze wynagradzaną, dobrowolną rezerwę: dodatek za samą gotowość w wysokości 500–800 złotych miesięcznie, 300–400 złotych za dzień szkolenia, ulga podatkowa i priorytet w rekrutacji do administracji publicznej dla osób po służbie. Głównym kanałem dla ochotników są Wojska Obrony Terytorialnej.</w:t>
      </w:r>
    </w:p>
    <w:p>
      <w:pPr>
        <w:pStyle w:val="ListParagraph"/>
        <w:numPr>
          <w:ilvl w:val="0"/>
          <w:numId w:val="15"/>
        </w:numPr>
        <w:spacing w:after="120" w:line="290"/>
      </w:pPr>
      <w:r>
        <w:rPr>
          <w:rFonts w:ascii="Calibri" w:cs="Calibri" w:eastAsia="Calibri" w:hAnsi="Calibri"/>
          <w:color w:val="222222"/>
          <w:sz w:val="21"/>
          <w:szCs w:val="21"/>
        </w:rPr>
        <w:t xml:space="preserve">W ciągu 12 miesięcy uchwalamy ustawę o Polskiej Doktrynie Obronnej, definiującą długofalowo odpowiedź na zagrożenia konwencjonalne, hybrydowe, cyfrowe i dezinformacyjne.</w:t>
      </w:r>
    </w:p>
    <w:p>
      <w:pPr>
        <w:pStyle w:val="ListParagraph"/>
        <w:numPr>
          <w:ilvl w:val="0"/>
          <w:numId w:val="15"/>
        </w:numPr>
        <w:spacing w:after="120" w:line="290"/>
      </w:pPr>
      <w:r>
        <w:rPr>
          <w:rFonts w:ascii="Calibri" w:cs="Calibri" w:eastAsia="Calibri" w:hAnsi="Calibri"/>
          <w:color w:val="222222"/>
          <w:sz w:val="21"/>
          <w:szCs w:val="21"/>
        </w:rPr>
        <w:t xml:space="preserve">Schrony i infrastruktura ochrony ludności są obowiązkowe w nowych budynkach publicznych i na osiedlach mieszkaniowych liczących więcej niż 50 lokali.</w:t>
      </w:r>
    </w:p>
    <w:p>
      <w:pPr>
        <w:pStyle w:val="ListParagraph"/>
        <w:numPr>
          <w:ilvl w:val="0"/>
          <w:numId w:val="15"/>
        </w:numPr>
        <w:spacing w:after="120" w:line="290"/>
      </w:pPr>
      <w:r>
        <w:rPr>
          <w:rFonts w:ascii="Calibri" w:cs="Calibri" w:eastAsia="Calibri" w:hAnsi="Calibri"/>
          <w:color w:val="222222"/>
          <w:sz w:val="21"/>
          <w:szCs w:val="21"/>
        </w:rPr>
        <w:t xml:space="preserve">Zakupy sprzętu wojskowego oparte są przede wszystkim na polskim i europejskim przemyśle zbrojeniowym, ze standaryzacją przez wspólne, europejskie zamówienia.</w:t>
      </w:r>
    </w:p>
    <w:p>
      <w:pPr>
        <w:pStyle w:val="ListParagraph"/>
        <w:numPr>
          <w:ilvl w:val="0"/>
          <w:numId w:val="15"/>
        </w:numPr>
        <w:spacing w:after="120" w:line="290"/>
      </w:pPr>
      <w:r>
        <w:rPr>
          <w:rFonts w:ascii="Calibri" w:cs="Calibri" w:eastAsia="Calibri" w:hAnsi="Calibri"/>
          <w:color w:val="222222"/>
          <w:sz w:val="21"/>
          <w:szCs w:val="21"/>
        </w:rPr>
        <w:t xml:space="preserve">Budujemy system łączności kryzysowej, który działa niezależnie od komercyjnych sieci komórkowych — żeby komunikacja nie padła razem z pierwszym atakiem na infrastrukturę cywilną.</w:t>
      </w:r>
    </w:p>
    <w:p>
      <w:pPr>
        <w:pStyle w:val="ListParagraph"/>
        <w:numPr>
          <w:ilvl w:val="0"/>
          <w:numId w:val="15"/>
        </w:numPr>
        <w:spacing w:after="120" w:line="290"/>
      </w:pPr>
      <w:r>
        <w:rPr>
          <w:rFonts w:ascii="Calibri" w:cs="Calibri" w:eastAsia="Calibri" w:hAnsi="Calibri"/>
          <w:color w:val="222222"/>
          <w:sz w:val="21"/>
          <w:szCs w:val="21"/>
        </w:rPr>
        <w:t xml:space="preserve">Budujemy rezerwę leków krytycznych na 6 miesięcy. Budujemy państwową wytwórnię kluczowych leków generycznych i antybiotyków.</w:t>
      </w:r>
    </w:p>
    <w:p>
      <w:pPr>
        <w:pStyle w:val="ListParagraph"/>
        <w:numPr>
          <w:ilvl w:val="0"/>
          <w:numId w:val="15"/>
        </w:numPr>
        <w:spacing w:after="120" w:line="290"/>
      </w:pPr>
      <w:r>
        <w:rPr>
          <w:rFonts w:ascii="Calibri" w:cs="Calibri" w:eastAsia="Calibri" w:hAnsi="Calibri"/>
          <w:color w:val="222222"/>
          <w:sz w:val="21"/>
          <w:szCs w:val="21"/>
        </w:rPr>
        <w:t xml:space="preserve">Powstają profesjonalne struktury komunikacji strategicznej, zwalczające dezinformację i budujące zaufanie społeczne w sytuacjach kryzysowych.</w:t>
      </w:r>
    </w:p>
    <w:p>
      <w:pPr>
        <w:pStyle w:val="ListParagraph"/>
        <w:numPr>
          <w:ilvl w:val="0"/>
          <w:numId w:val="15"/>
        </w:numPr>
        <w:spacing w:after="120" w:line="290"/>
      </w:pPr>
      <w:r>
        <w:rPr>
          <w:rFonts w:ascii="Calibri" w:cs="Calibri" w:eastAsia="Calibri" w:hAnsi="Calibri"/>
          <w:color w:val="222222"/>
          <w:sz w:val="21"/>
          <w:szCs w:val="21"/>
        </w:rPr>
        <w:t xml:space="preserve">Wzmacniamy sądową kontrolę nad działaniami policji i służb specjalnych, żeby ograniczyć ryzyko nadużyć władzy.</w:t>
      </w:r>
    </w:p>
    <w:p>
      <w:pPr>
        <w:pStyle w:val="ListParagraph"/>
        <w:numPr>
          <w:ilvl w:val="0"/>
          <w:numId w:val="15"/>
        </w:numPr>
        <w:spacing w:after="120" w:line="290"/>
      </w:pPr>
      <w:r>
        <w:rPr>
          <w:rFonts w:ascii="Calibri" w:cs="Calibri" w:eastAsia="Calibri" w:hAnsi="Calibri"/>
          <w:color w:val="222222"/>
          <w:sz w:val="21"/>
          <w:szCs w:val="21"/>
        </w:rPr>
        <w:t xml:space="preserve">Dążymy do pełnego udziału Polski w natowskim programie współdzielenia broni jądrowej (nuclear sharing), z rozmieszczeniem broni jądrowej Sojuszu na terytorium Polski. Certyfikujemy zamówione samoloty F-35 do jej przenoszenia — bez tego udział w programie byłby tylko deklaracją.</w:t>
      </w:r>
    </w:p>
    <w:p>
      <w:pPr>
        <w:pageBreakBefore/>
        <w:spacing w:after="60" w:before="0"/>
      </w:pPr>
      <w:r>
        <w:rPr>
          <w:rFonts w:ascii="Georgia" w:cs="Georgia" w:eastAsia="Georgia" w:hAnsi="Georgia"/>
          <w:b/>
          <w:bCs/>
          <w:color w:val="C99A3A"/>
          <w:spacing w:val="60"/>
          <w:sz w:val="16"/>
          <w:szCs w:val="16"/>
        </w:rPr>
        <w:t xml:space="preserve">CZĘŚĆ</w:t>
      </w:r>
    </w:p>
    <w:p>
      <w:pPr>
        <w:pStyle w:val="Heading1"/>
      </w:pPr>
      <w:r>
        <w:t xml:space="preserve">Część II</w:t>
      </w:r>
    </w:p>
    <w:p>
      <w:pPr>
        <w:pStyle w:val="Heading2"/>
      </w:pPr>
      <w:r>
        <w:t xml:space="preserve">15. Ustrój państwa</w:t>
      </w:r>
    </w:p>
    <w:p>
      <w:pPr>
        <w:spacing w:after="200" w:line="300"/>
      </w:pPr>
      <w:r>
        <w:rPr>
          <w:rFonts w:ascii="Calibri" w:cs="Calibri" w:eastAsia="Calibri" w:hAnsi="Calibri"/>
          <w:color w:val="222222"/>
          <w:sz w:val="21"/>
          <w:szCs w:val="21"/>
        </w:rPr>
        <w:t xml:space="preserve">Nic z tego programu się nie wykona, jeśli jeden człowiek na Zamku może zawetować ustawę, na którą zagłosowały miliony. Odbieramy prezydentowi prawo weta i prawo łaski, dajemy obywatelom narzędzia działające między wyborami i zmieniamy ordynację do Sejmu tak, żeby każdy głos ważył tyle samo.</w:t>
      </w:r>
    </w:p>
    <w:p>
      <w:pPr>
        <w:pStyle w:val="Heading3"/>
      </w:pPr>
      <w:r>
        <w:t xml:space="preserve">15.1 Prezydent</w:t>
      </w:r>
    </w:p>
    <w:p>
      <w:pPr>
        <w:spacing w:after="140" w:line="290"/>
      </w:pPr>
      <w:r>
        <w:rPr>
          <w:rFonts w:ascii="Calibri" w:cs="Calibri" w:eastAsia="Calibri" w:hAnsi="Calibri"/>
          <w:color w:val="222222"/>
          <w:sz w:val="21"/>
          <w:szCs w:val="21"/>
        </w:rPr>
        <w:t xml:space="preserve">Prezydent traci prawo weta wobec ustaw uchwalonych przez Sejm oraz prawo łaski.</w:t>
      </w:r>
    </w:p>
    <w:p>
      <w:pPr>
        <w:pStyle w:val="Heading3"/>
      </w:pPr>
      <w:r>
        <w:t xml:space="preserve">15.2 Głos między wyborami</w:t>
      </w:r>
    </w:p>
    <w:p>
      <w:pPr>
        <w:spacing w:after="140" w:line="290"/>
      </w:pPr>
      <w:r>
        <w:rPr>
          <w:rFonts w:ascii="Calibri" w:cs="Calibri" w:eastAsia="Calibri" w:hAnsi="Calibri"/>
          <w:color w:val="222222"/>
          <w:sz w:val="21"/>
          <w:szCs w:val="21"/>
        </w:rPr>
        <w:t xml:space="preserve">Każda zmiana konstytucji wymaga referendum, które musi poprzeć większość głosujących obywateli. Grupa obywateli, która w ciągu 18 miesięcy zbierze 500 tysięcy podpisów, ma prawo wymusić referendum konstytucyjne nawet bez zgody Sejmu. Zbiórka 250 tysięcy podpisów w ciągu 100 dni od uchwalenia niepopularnej ustawy zawiesza jej wejście w życie i kieruje ją do referendum (weto ludowe). To narzędzie działa w obie strony — również wtedy, gdy władzę sprawuje Realna Lewica.</w:t>
      </w:r>
    </w:p>
    <w:p>
      <w:pPr>
        <w:pStyle w:val="Heading3"/>
      </w:pPr>
      <w:r>
        <w:t xml:space="preserve">15.3 Wybory do Sejmu</w:t>
      </w:r>
    </w:p>
    <w:p>
      <w:pPr>
        <w:spacing w:after="140" w:line="290"/>
      </w:pPr>
      <w:r>
        <w:rPr>
          <w:rFonts w:ascii="Calibri" w:cs="Calibri" w:eastAsia="Calibri" w:hAnsi="Calibri"/>
          <w:color w:val="222222"/>
          <w:sz w:val="21"/>
          <w:szCs w:val="21"/>
        </w:rPr>
        <w:t xml:space="preserve">Sejm liczy 460 posłów wybieranych w systemie mieszanym. Każdy wyborca ma dwa głosy: na kandydata w jednym z 230 okręgów jednomandatowych i na listę partii. O liczbie mandatów każdej partii decyduje głos na listę — podział jest w pełni proporcjonalny. Próg wynosi 5%, ale partia, która wygra co najmniej 3 okręgi, wchodzi do Sejmu mimo progu. Sejm ma zawsze 460 miejsc: jeśli partia wygra więcej okręgów, niż daje jej wynik listy, mandatu nie dostają jej zwycięzcy okręgów z najsłabszym wynikiem. Granice okręgów wyznacza niezależna komisja, nie sam Sejm, z tolerancją odchylenia liczby wyborców do 15% od średniej krajowej, rewidowaną co 10 lat.</w:t>
      </w:r>
    </w:p>
    <w:p>
      <w:pPr>
        <w:pStyle w:val="Heading2"/>
      </w:pPr>
      <w:r>
        <w:t xml:space="preserve">16. Media publiczne</w:t>
      </w:r>
    </w:p>
    <w:p>
      <w:pPr>
        <w:spacing w:after="200" w:line="300"/>
      </w:pPr>
      <w:r>
        <w:rPr>
          <w:rFonts w:ascii="Calibri" w:cs="Calibri" w:eastAsia="Calibri" w:hAnsi="Calibri"/>
          <w:color w:val="222222"/>
          <w:sz w:val="21"/>
          <w:szCs w:val="21"/>
        </w:rPr>
        <w:t xml:space="preserve">Media publiczne od lat są zakładnikiem tego, kto akurat wygra wybory. Rozpraszamy tę władzę, żeby nikt nigdy więcej nie mógł przejąć całości jedną wygraną kampanią.</w:t>
      </w:r>
    </w:p>
    <w:p>
      <w:pPr>
        <w:spacing w:after="140" w:line="290"/>
      </w:pPr>
      <w:r>
        <w:rPr>
          <w:rFonts w:ascii="Calibri" w:cs="Calibri" w:eastAsia="Calibri" w:hAnsi="Calibri"/>
          <w:color w:val="222222"/>
          <w:sz w:val="21"/>
          <w:szCs w:val="21"/>
        </w:rPr>
        <w:t xml:space="preserve">Rady programowe nadzorujące nadawców publicznych są wybierane większością 2/3 głosów, na kadencje, które nie pokrywają się z kadencją parlamentu — żeby jedna wygrana wyborcza nie mogła przejąć całej rady od razu. Osoby sprawujące mandat polityczny nie mogą zasiadać w radach programowych. Cała reforma wdrażana jest w ciągu 6 lat. Opłata abonamentowa wynosi 50 złotych rocznie, a osoby powyżej 75. roku życia są z niej całkowicie zwolnione.</w:t>
      </w:r>
    </w:p>
    <w:p>
      <w:pPr>
        <w:pStyle w:val="Heading2"/>
      </w:pPr>
      <w:r>
        <w:t xml:space="preserve">17. Nazwa i symbolika</w:t>
      </w:r>
    </w:p>
    <w:p>
      <w:pPr>
        <w:spacing w:after="140" w:line="290"/>
      </w:pPr>
      <w:r>
        <w:rPr>
          <w:rFonts w:ascii="Calibri" w:cs="Calibri" w:eastAsia="Calibri" w:hAnsi="Calibri"/>
          <w:color w:val="222222"/>
          <w:sz w:val="21"/>
          <w:szCs w:val="21"/>
        </w:rPr>
        <w:t xml:space="preserve">Nazwa partii — Realna Lewica — i etykieta ideologiczna — socjaldemokracja realistyczna — sygnalizują to samo: silny program bez udawania, że każdy jego element jest maksymalistyczny. Kolorystyka: przygaszona czerwień i grafit, z akcentem musztardowego złota. Znak graficzny — wznosząca się linia przechodząca w haczyk — to jednocześnie wzrost i potwierdzenie, że coś zostało zrobione, nie tylko obiecane na plakacie.</w:t>
      </w:r>
    </w:p>
    <w:p>
      <w:pPr>
        <w:spacing w:after="160" w:before="300"/>
      </w:pPr>
      <w:r>
        <w:rPr>
          <w:rFonts w:ascii="Georgia" w:cs="Georgia" w:eastAsia="Georgia" w:hAnsi="Georgia"/>
          <w:b/>
          <w:bCs/>
          <w:color w:val="C99A3A"/>
          <w:spacing w:val="60"/>
          <w:sz w:val="16"/>
          <w:szCs w:val="16"/>
        </w:rPr>
        <w:t xml:space="preserve">ZNAK GRAFICZNY</w:t>
      </w:r>
    </w:p>
    <w:p>
      <w:r>
        <w:drawing>
          <wp:inline distT="0" distB="0" distL="0" distR="0">
            <wp:extent cx="2857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847725"/>
                    </a:xfrm>
                    <a:prstGeom prst="rect">
                      <a:avLst/>
                    </a:prstGeom>
                  </pic:spPr>
                </pic:pic>
              </a:graphicData>
            </a:graphic>
          </wp:inline>
        </w:drawing>
      </w:r>
    </w:p>
    <w:p>
      <w:pPr>
        <w:pageBreakBefore/>
        <w:spacing w:after="60" w:before="0"/>
      </w:pPr>
      <w:r>
        <w:rPr>
          <w:rFonts w:ascii="Georgia" w:cs="Georgia" w:eastAsia="Georgia" w:hAnsi="Georgia"/>
          <w:b/>
          <w:bCs/>
          <w:color w:val="C99A3A"/>
          <w:spacing w:val="60"/>
          <w:sz w:val="16"/>
          <w:szCs w:val="16"/>
        </w:rPr>
        <w:t xml:space="preserve">CZĘŚĆ</w:t>
      </w:r>
    </w:p>
    <w:p>
      <w:pPr>
        <w:pStyle w:val="Heading1"/>
      </w:pPr>
      <w:r>
        <w:t xml:space="preserve">Część III — aneks kosztów</w:t>
      </w:r>
    </w:p>
    <w:p>
      <w:pPr>
        <w:spacing w:after="140" w:line="290"/>
      </w:pPr>
      <w:r>
        <w:rPr>
          <w:rFonts w:ascii="Calibri" w:cs="Calibri" w:eastAsia="Calibri" w:hAnsi="Calibri"/>
          <w:color w:val="222222"/>
          <w:sz w:val="21"/>
          <w:szCs w:val="21"/>
        </w:rPr>
        <w:t xml:space="preserve">Każdy program obiecuje wszystko za darmo. My nie będziemy — tu jest rachunek, linia po linii, bez owijania w bawełnę. </w:t>
      </w:r>
      <w:r>
        <w:rPr>
          <w:rFonts w:ascii="Calibri" w:cs="Calibri" w:eastAsia="Calibri" w:hAnsi="Calibri"/>
          <w:i/>
          <w:iCs/>
          <w:color w:val="6B6F76"/>
          <w:sz w:val="21"/>
          <w:szCs w:val="21"/>
        </w:rPr>
        <w:t xml:space="preserve">Ceny 2026. Rzędy wielkości, nie ustawa budżetowa.</w:t>
      </w:r>
    </w:p>
    <w:p>
      <w:pPr>
        <w:spacing w:after="140" w:line="290"/>
      </w:pPr>
      <w:r>
        <w:rPr>
          <w:rFonts w:ascii="Calibri" w:cs="Calibri" w:eastAsia="Calibri" w:hAnsi="Calibri"/>
          <w:b/>
          <w:bCs/>
          <w:color w:val="7A1F3D"/>
          <w:sz w:val="21"/>
          <w:szCs w:val="21"/>
        </w:rPr>
        <w:t xml:space="preserve">Stan wyjścia. </w:t>
      </w:r>
      <w:r>
        <w:rPr>
          <w:rFonts w:ascii="Calibri" w:cs="Calibri" w:eastAsia="Calibri" w:hAnsi="Calibri"/>
          <w:color w:val="222222"/>
          <w:sz w:val="21"/>
          <w:szCs w:val="21"/>
        </w:rPr>
        <w:t xml:space="preserve">Deficyt sektora 2025: 7,3% PKB. Prognoza 2026: 6,8%. Dług EDP 2025: 59,7% PKB, 2026: ok. 62–64%. Zdrowie publiczne SHA 2025: 6,9% PKB. Obrona 2026: ok. 4,8% PKB (budżet + FWSZ). Akcyza alkohol 2025: ok. 14,6 mld zł.</w:t>
      </w:r>
    </w:p>
    <w:p>
      <w:pPr>
        <w:spacing w:after="140" w:line="290"/>
      </w:pPr>
      <w:r>
        <w:rPr>
          <w:rFonts w:ascii="Calibri" w:cs="Calibri" w:eastAsia="Calibri" w:hAnsi="Calibri"/>
          <w:b/>
          <w:bCs/>
          <w:color w:val="7A1F3D"/>
          <w:sz w:val="21"/>
          <w:szCs w:val="21"/>
        </w:rPr>
        <w:t xml:space="preserve">Kadencja 1 — zostaje m.in.: </w:t>
      </w:r>
      <w:r>
        <w:rPr>
          <w:rFonts w:ascii="Calibri" w:cs="Calibri" w:eastAsia="Calibri" w:hAnsi="Calibri"/>
          <w:color w:val="222222"/>
          <w:sz w:val="21"/>
          <w:szCs w:val="21"/>
        </w:rPr>
        <w:t xml:space="preserve">4-dniowy tydzień, waloryzacja świadczeń (bez emerytur) według płac, połowa drogi do 7% PKB na zdrowie, danina mieszkaniowa, alkohol i konopie, skala PIT, DST, Linux/AI, 480 dni, płaca 75% mediany (stopniowo), nowy system migracyjny.</w:t>
      </w:r>
    </w:p>
    <w:p>
      <w:pPr>
        <w:spacing w:after="240" w:line="290"/>
      </w:pPr>
      <w:r>
        <w:rPr>
          <w:rFonts w:ascii="Calibri" w:cs="Calibri" w:eastAsia="Calibri" w:hAnsi="Calibri"/>
          <w:b/>
          <w:bCs/>
          <w:color w:val="7A1F3D"/>
          <w:sz w:val="21"/>
          <w:szCs w:val="21"/>
        </w:rPr>
        <w:t xml:space="preserve">Kadencja 1 — nie obiecujemy datą: </w:t>
      </w:r>
      <w:r>
        <w:rPr>
          <w:rFonts w:ascii="Calibri" w:cs="Calibri" w:eastAsia="Calibri" w:hAnsi="Calibri"/>
          <w:color w:val="222222"/>
          <w:sz w:val="21"/>
          <w:szCs w:val="21"/>
        </w:rPr>
        <w:t xml:space="preserve">euro, skok obrony do 6% PKB, pełne 7% PKB na zdrowie (to cel na dwie kadencje).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c>
          <w:tcPr>
            <w:tcW w:type="dxa" w:w="4200"/>
            <w:tcBorders>
              <w:top w:val="single" w:color="BFBFBF" w:sz="4"/>
              <w:left w:val="single" w:color="BFBFBF" w:sz="4"/>
              <w:bottom w:val="single" w:color="BFBFBF" w:sz="4"/>
              <w:right w:val="single" w:color="BFBFBF" w:sz="4"/>
            </w:tcBorders>
            <w:shd w:fill="2A2E36" w:color="auto" w:val="clear"/>
            <w:tcMar>
              <w:top w:type="dxa" w:w="80"/>
              <w:left w:type="dxa" w:w="120"/>
              <w:bottom w:type="dxa" w:w="80"/>
              <w:right w:type="dxa" w:w="120"/>
            </w:tcMar>
          </w:tcPr>
          <w:p>
            <w:r>
              <w:rPr>
                <w:rFonts w:ascii="Calibri" w:cs="Calibri" w:eastAsia="Calibri" w:hAnsi="Calibri"/>
                <w:b/>
                <w:bCs/>
                <w:color w:val="FFFFFF"/>
                <w:sz w:val="21"/>
                <w:szCs w:val="21"/>
              </w:rPr>
              <w:t xml:space="preserve"/>
            </w:r>
          </w:p>
        </w:tc>
        <w:tc>
          <w:tcPr>
            <w:tcW w:type="dxa" w:w="2413"/>
            <w:tcBorders>
              <w:top w:val="single" w:color="BFBFBF" w:sz="4"/>
              <w:left w:val="single" w:color="BFBFBF" w:sz="4"/>
              <w:bottom w:val="single" w:color="BFBFBF" w:sz="4"/>
              <w:right w:val="single" w:color="BFBFBF" w:sz="4"/>
            </w:tcBorders>
            <w:shd w:fill="2A2E36" w:color="auto" w:val="clear"/>
            <w:tcMar>
              <w:top w:type="dxa" w:w="80"/>
              <w:left w:type="dxa" w:w="120"/>
              <w:bottom w:type="dxa" w:w="80"/>
              <w:right w:type="dxa" w:w="120"/>
            </w:tcMar>
          </w:tcPr>
          <w:p>
            <w:r>
              <w:rPr>
                <w:rFonts w:ascii="Calibri" w:cs="Calibri" w:eastAsia="Calibri" w:hAnsi="Calibri"/>
                <w:b/>
                <w:bCs/>
                <w:color w:val="FFFFFF"/>
                <w:sz w:val="21"/>
                <w:szCs w:val="21"/>
              </w:rPr>
              <w:t xml:space="preserve">Rok 1</w:t>
            </w:r>
          </w:p>
        </w:tc>
        <w:tc>
          <w:tcPr>
            <w:tcW w:type="dxa" w:w="2413"/>
            <w:tcBorders>
              <w:top w:val="single" w:color="BFBFBF" w:sz="4"/>
              <w:left w:val="single" w:color="BFBFBF" w:sz="4"/>
              <w:bottom w:val="single" w:color="BFBFBF" w:sz="4"/>
              <w:right w:val="single" w:color="BFBFBF" w:sz="4"/>
            </w:tcBorders>
            <w:shd w:fill="2A2E36" w:color="auto" w:val="clear"/>
            <w:tcMar>
              <w:top w:type="dxa" w:w="80"/>
              <w:left w:type="dxa" w:w="120"/>
              <w:bottom w:type="dxa" w:w="80"/>
              <w:right w:type="dxa" w:w="120"/>
            </w:tcMar>
          </w:tcPr>
          <w:p>
            <w:r>
              <w:rPr>
                <w:rFonts w:ascii="Calibri" w:cs="Calibri" w:eastAsia="Calibri" w:hAnsi="Calibri"/>
                <w:b/>
                <w:bCs/>
                <w:color w:val="FFFFFF"/>
                <w:sz w:val="21"/>
                <w:szCs w:val="21"/>
              </w:rPr>
              <w:t xml:space="preserve">Rok 5</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Wydatki dodatkowe (środek)</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~70 mld</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~125 mld</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Wpływy ogólne (bez daniny i earmarku akcyzy)</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~45 mld</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~80 mld</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Dziura programu</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~25 mld (~0,6% PKB)</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~45 mld (~1% PKB)</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Deficyt po programie, bez cięcia reszty</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~7,4%</w:t>
            </w:r>
          </w:p>
        </w:tc>
        <w:tc>
          <w:tcPr>
            <w:tcW w:type="dxa" w:w="2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222222"/>
                <w:sz w:val="21"/>
                <w:szCs w:val="21"/>
              </w:rPr>
              <w:t xml:space="preserve">~7,5–8%</w:t>
            </w:r>
          </w:p>
        </w:tc>
      </w:tr>
    </w:tbl>
    <w:p>
      <w:pPr>
        <w:spacing w:after="0"/>
      </w:pPr>
    </w:p>
    <w:p>
      <w:pPr>
        <w:spacing w:after="140" w:line="290"/>
      </w:pPr>
      <w:r>
        <w:rPr>
          <w:rFonts w:ascii="Calibri" w:cs="Calibri" w:eastAsia="Calibri" w:hAnsi="Calibri"/>
          <w:color w:val="222222"/>
          <w:sz w:val="21"/>
          <w:szCs w:val="21"/>
        </w:rPr>
        <w:t xml:space="preserve">Danina 1% (~15–18 mld) zamyka 25–40 tys. mieszkań rocznie. Nie zamyka kryterium 3% deficytu unijnego. Dlatego euro nie ma kalendarza — nie da się jednocześnie obiecywać przyjęcia euro i utrzymywać deficytu ponad unijny limit.</w:t>
      </w:r>
    </w:p>
    <w:p>
      <w:pPr>
        <w:spacing w:after="140" w:line="290"/>
      </w:pPr>
      <w:r>
        <w:rPr>
          <w:rFonts w:ascii="Calibri" w:cs="Calibri" w:eastAsia="Calibri" w:hAnsi="Calibri"/>
          <w:color w:val="222222"/>
          <w:sz w:val="21"/>
          <w:szCs w:val="21"/>
        </w:rPr>
        <w:t xml:space="preserve">Najgrubsze nowe linie wydatków w 5. roku: 4-dniowy tydzień w sektorze publicznym (25–45 mld), waloryzacja świadczeń poza emeryturami według wzrostu płac (20–25 mld) i połowa drogi do 7% PKB na zdrowie (10–15 mld). Przy 4-dniowym tygodniu albo mniej godzin przy tej samej pensji i presja na kadry — albo uczciwe dopisanie nowych etatów. Nie udajemy, że to koszt zerowy. Największe nowe dochody poza skalą PIT: zniesienie limitu 30-krotności składek (8–12 mld), CIT 22% dla dużych firm (5–8 mld) i koniec ulg niezależnych od dochodu (5–7 mld). Największa oszczędność to stopniowe zrównanie wieku emerytalnego na 65 lat: w kadencji 3–6 mld rocznie, docelowo 20–30 mld. Rozrzut szacunku jest duży — luka w 5. roku może wynieść od około zera do około 120 mld, zależnie od reakcji podatników i tempa zatrudniania w budżetówce.</w:t>
      </w:r>
    </w:p>
    <w:p>
      <w:pPr>
        <w:spacing w:after="140" w:line="290"/>
      </w:pPr>
      <w:r>
        <w:rPr>
          <w:rFonts w:ascii="Calibri" w:cs="Calibri" w:eastAsia="Calibri" w:hAnsi="Calibri"/>
          <w:b/>
          <w:bCs/>
          <w:color w:val="7A1F3D"/>
          <w:sz w:val="21"/>
          <w:szCs w:val="21"/>
        </w:rPr>
        <w:t xml:space="preserve">Nowe pozycje tej wersji: </w:t>
      </w:r>
      <w:r>
        <w:rPr>
          <w:rFonts w:ascii="Calibri" w:cs="Calibri" w:eastAsia="Calibri" w:hAnsi="Calibri"/>
          <w:color w:val="222222"/>
          <w:sz w:val="21"/>
          <w:szCs w:val="21"/>
        </w:rPr>
        <w:t xml:space="preserve">Krajowa Agencja Migracyjna, Sąd Migracyjny, bezpłatne kursy języka polskiego i etaty w publicznych instytucjach kultury to wydatki rzędu pojedynczych miliardów zł rocznie; po stronie dochodów — koniec ulgi dla wracających z emigracji. Mieszczą się w podanym rozrzucie; dokładna wycena — w projekcie ustawy.</w:t>
      </w:r>
    </w:p>
    <w:p>
      <w:pPr>
        <w:spacing w:after="100" w:line="290"/>
      </w:pPr>
      <w:r>
        <w:rPr>
          <w:rFonts w:ascii="Calibri" w:cs="Calibri" w:eastAsia="Calibri" w:hAnsi="Calibri"/>
          <w:color w:val="222222"/>
          <w:sz w:val="21"/>
          <w:szCs w:val="21"/>
        </w:rPr>
        <w:t xml:space="preserve">Atom: dług Funduszu Inwestycji Strategicznych, 12 GW w horyzoncie 20–25 lat — w statystyce długu publicznego widoczny, nie schowany. Przyrost akcyzy alkoholowej i konopnej ponad poziom z 2027 roku (około 3–5 mld rocznie) idzie na psychiatrię, nie na łatanie ogólnego deficytu budżetowego.</w:t>
      </w:r>
    </w:p>
    <w:p>
      <w:pPr>
        <w:pBdr>
          <w:top w:val="single" w:color="C99A3A" w:sz="8" w:space="6"/>
        </w:pBdr>
        <w:spacing w:before="80"/>
      </w:pPr>
      <w:r>
        <w:rPr>
          <w:rFonts w:ascii="Georgia" w:cs="Georgia" w:eastAsia="Georgia" w:hAnsi="Georgia"/>
          <w:b/>
          <w:bCs/>
          <w:i/>
          <w:iCs/>
          <w:color w:val="7A1F3D"/>
          <w:sz w:val="22"/>
          <w:szCs w:val="22"/>
        </w:rPr>
        <w:t xml:space="preserve">To jest Realna Lewica. Twoja pensja. Twoje ciało. Twoje mieszkanie. Twoje bezpieczeństwo. Państwo, które słucha — i mówi Ci cenę.</w:t>
      </w:r>
    </w:p>
    <w:sectPr>
      <w:headerReference w:type="default" r:id="rId7"/>
      <w:footerReference w:type="default" r:id="rId8"/>
      <w:pgSz w:w="11906" w:h="16838" w:orient="portrait"/>
      <w:pgMar w:top="1300" w:right="1440" w:bottom="12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bCs/>
        <w:color w:val="C99A3A"/>
        <w:sz w:val="15"/>
        <w:szCs w:val="15"/>
      </w:rPr>
      <w:t xml:space="preserve">REALNA LEWICA</w:t>
    </w:r>
    <w:r>
      <w:rPr>
        <w:rFonts w:ascii="Calibri" w:cs="Calibri" w:eastAsia="Calibri" w:hAnsi="Calibri"/>
        <w:color w:val="6B6F76"/>
        <w:sz w:val="15"/>
        <w:szCs w:val="15"/>
      </w:rPr>
      <w:t xml:space="preserve">   ·   str. </w:t>
    </w:r>
    <w:r>
      <w:rPr>
        <w:rFonts w:ascii="Calibri" w:cs="Calibri" w:eastAsia="Calibri" w:hAnsi="Calibri"/>
        <w:color w:val="6B6F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Calibri" w:cs="Calibri" w:eastAsia="Calibri" w:hAnsi="Calibri"/>
        <w:color w:val="6B6F76"/>
        <w:spacing w:val="20"/>
        <w:sz w:val="15"/>
        <w:szCs w:val="15"/>
      </w:rPr>
      <w:t xml:space="preserve">REALNA LEWICA — DEKLARACJA PROGRAMOWA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3"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4"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5"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6"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7"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8"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9"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0"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1"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2"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3"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4"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5"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6"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7"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abstractNum w:abstractNumId="18" w15:restartNumberingAfterBreak="0">
    <w:multiLevelType w:val="hybridMultilevel"/>
    <w:lvl w:ilvl="0" w15:tentative="1">
      <w:start w:val="1"/>
      <w:numFmt w:val="decimal"/>
      <w:lvlText w:val="%1."/>
      <w:lvlJc w:val="left"/>
      <w:pPr>
        <w:ind w:left="454" w:hanging="454"/>
      </w:pPr>
      <w:rPr>
        <w:rFonts w:ascii="Calibri" w:cs="Calibri" w:eastAsia="Calibri" w:hAnsi="Calibri"/>
        <w:b/>
        <w:bCs/>
        <w:color w:val="7A1F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A3A" w:sz="12" w:space="6"/>
      </w:pBdr>
      <w:spacing w:after="300" w:before="0"/>
      <w:outlineLvl w:val="0"/>
    </w:pPr>
    <w:rPr>
      <w:rFonts w:ascii="Georgia" w:cs="Georgia" w:eastAsia="Georgia" w:hAnsi="Georgia"/>
      <w:b/>
      <w:bCs/>
      <w:color w:val="2A2E36"/>
      <w:sz w:val="36"/>
      <w:szCs w:val="36"/>
    </w:rPr>
  </w:style>
  <w:style w:type="paragraph" w:styleId="Heading2">
    <w:name w:val="Heading 2"/>
    <w:basedOn w:val="Normal"/>
    <w:next w:val="Normal"/>
    <w:qFormat/>
    <w:pPr>
      <w:keepNext/>
      <w:pBdr>
        <w:bottom w:val="single" w:color="7A1F3D" w:sz="8" w:space="6"/>
      </w:pBdr>
      <w:spacing w:after="220" w:before="360"/>
      <w:outlineLvl w:val="1"/>
    </w:pPr>
    <w:rPr>
      <w:rFonts w:ascii="Georgia" w:cs="Georgia" w:eastAsia="Georgia" w:hAnsi="Georgia"/>
      <w:b/>
      <w:bCs/>
      <w:color w:val="7A1F3D"/>
      <w:sz w:val="30"/>
      <w:szCs w:val="30"/>
    </w:rPr>
  </w:style>
  <w:style w:type="paragraph" w:styleId="Heading3">
    <w:name w:val="Heading 3"/>
    <w:basedOn w:val="Normal"/>
    <w:next w:val="Normal"/>
    <w:qFormat/>
    <w:pPr>
      <w:keepNext/>
      <w:spacing w:after="120" w:before="220"/>
      <w:outlineLvl w:val="2"/>
    </w:pPr>
    <w:rPr>
      <w:rFonts w:ascii="Georgia" w:cs="Georgia" w:eastAsia="Georgia" w:hAnsi="Georgia"/>
      <w:b/>
      <w:bCs/>
      <w:color w:val="7A1F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9f66e575983039a87854f137bbbdcca84909f4.png"/><Relationship Id="rId10" Type="http://schemas.openxmlformats.org/officeDocument/2006/relationships/image" Target="media/bfa4ba5907e91449b1673303c5ab04f9618870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Deklaracja programowa Realnej Lewicy — v5</dc:title>
  <dc:creator>Realna Lewica</dc:creator>
  <cp:lastModifiedBy>Un-named</cp:lastModifiedBy>
  <cp:revision>1</cp:revision>
  <dcterms:created xsi:type="dcterms:W3CDTF">2026-09-24T11:22:51.679Z</dcterms:created>
  <dcterms:modified xsi:type="dcterms:W3CDTF">2026-09-24T11:22:51.679Z</dcterms:modified>
</cp:coreProperties>
</file>

<file path=docProps/custom.xml><?xml version="1.0" encoding="utf-8"?>
<Properties xmlns="http://schemas.openxmlformats.org/officeDocument/2006/custom-properties" xmlns:vt="http://schemas.openxmlformats.org/officeDocument/2006/docPropsVTypes"/>
</file>