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10 for Continuous Improvement and Adaptability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following this action plan and checklist, higher education institutions can create a dynamic and adaptable cybersecurity framework that continuously evolves to address emerging threats and technologies. This approach ensures that the institution remains resilient and capable of effectively responding to evolving cybersecurity challenges.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Threat Intelligence Monitoring</w:t>
      </w:r>
      <w:r w:rsidDel="00000000" w:rsidR="00000000" w:rsidRPr="00000000">
        <w:rPr>
          <w:rtl w:val="0"/>
        </w:rPr>
        <w:t xml:space="preserve">: Implement a robust threat intelligence monitoring system to stay updated on the latest cybersecurity threats, vulnerabilities, and attack techniques. Subscribe to reputable threat intelligence feeds and collaborate with cybersecurity organisations to share threat information.</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Regular Risk Assessments</w:t>
      </w:r>
      <w:r w:rsidDel="00000000" w:rsidR="00000000" w:rsidRPr="00000000">
        <w:rPr>
          <w:rtl w:val="0"/>
        </w:rPr>
        <w:t xml:space="preserve">: Conduct regular cybersecurity risk assessments to identify new or evolving risks and vulnerabilities. Use the findings to update the framework and prioritise security measures accordingly.</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Feedback and Lessons Learned</w:t>
      </w:r>
      <w:r w:rsidDel="00000000" w:rsidR="00000000" w:rsidRPr="00000000">
        <w:rPr>
          <w:rtl w:val="0"/>
        </w:rPr>
        <w:t xml:space="preserve">: Encourage feedback from stakeholders, incident response teams, and end-users on cybersecurity practices and incidents. Use lessons learned from past incidents to improve incident response capabilities and enhance security measures.</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Security Awareness Training Updates</w:t>
      </w:r>
      <w:r w:rsidDel="00000000" w:rsidR="00000000" w:rsidRPr="00000000">
        <w:rPr>
          <w:rtl w:val="0"/>
        </w:rPr>
        <w:t xml:space="preserve">: Regularly update security awareness training programs to address emerging threats, social engineering techniques, and other relevant cybersecurity topics.</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Cybersecurity Research and Development</w:t>
      </w:r>
      <w:r w:rsidDel="00000000" w:rsidR="00000000" w:rsidRPr="00000000">
        <w:rPr>
          <w:rtl w:val="0"/>
        </w:rPr>
        <w:t xml:space="preserve">: Allocate resources for cybersecurity research and development to explore innovative security solutions and technologies. Stay informed about emerging security tools that can enhance the institution's security posture.</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Collaboration with Peers</w:t>
      </w:r>
      <w:r w:rsidDel="00000000" w:rsidR="00000000" w:rsidRPr="00000000">
        <w:rPr>
          <w:rtl w:val="0"/>
        </w:rPr>
        <w:t xml:space="preserve">: Collaborate with other educational institutions, industry partners, and cybersecurity organisations to share knowledge, exchange best practices, and collectively address emerging threats.</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Threat Hunting and Red Teaming</w:t>
      </w:r>
      <w:r w:rsidDel="00000000" w:rsidR="00000000" w:rsidRPr="00000000">
        <w:rPr>
          <w:rtl w:val="0"/>
        </w:rPr>
        <w:t xml:space="preserve">: Conduct proactive threat hunting exercises and red teaming to identify potential weaknesses in the cybersecurity framework and assess incident response capabilities.</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Scenario-Based Training</w:t>
      </w:r>
      <w:r w:rsidDel="00000000" w:rsidR="00000000" w:rsidRPr="00000000">
        <w:rPr>
          <w:rtl w:val="0"/>
        </w:rPr>
        <w:t xml:space="preserve">: Organise scenario-based training exercises that simulate real-world cyberattacks and incidents. These exercises help test the readiness of incident response teams and improve incident handling skills.</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Continuous Monitoring and Logging</w:t>
      </w:r>
      <w:r w:rsidDel="00000000" w:rsidR="00000000" w:rsidRPr="00000000">
        <w:rPr>
          <w:rtl w:val="0"/>
        </w:rPr>
        <w:t xml:space="preserve">: Implement continuous monitoring and logging of critical systems and networks to detect anomalies and potential security breaches in real-time.</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Security Automation and Orchestration</w:t>
      </w:r>
      <w:r w:rsidDel="00000000" w:rsidR="00000000" w:rsidRPr="00000000">
        <w:rPr>
          <w:rtl w:val="0"/>
        </w:rPr>
        <w:t xml:space="preserve">: Implement security automation and orchestration tools to streamline security operations, improve response times, and reduce manual errors.</w:t>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Regular Framework Reviews</w:t>
      </w:r>
      <w:r w:rsidDel="00000000" w:rsidR="00000000" w:rsidRPr="00000000">
        <w:rPr>
          <w:rtl w:val="0"/>
        </w:rPr>
        <w:t xml:space="preserve">: Conduct periodic reviews of the cybersecurity framework to assess its effectiveness, relevance, and alignment with the institution's evolving security needs.</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Adaptive Policies and Procedures</w:t>
      </w:r>
      <w:r w:rsidDel="00000000" w:rsidR="00000000" w:rsidRPr="00000000">
        <w:rPr>
          <w:rtl w:val="0"/>
        </w:rPr>
        <w:t xml:space="preserve">: Ensure that cybersecurity policies and procedures are adaptive and can be updated quickly to address emerging threats and technologies.</w:t>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Engagement with IT Security Community</w:t>
      </w:r>
      <w:r w:rsidDel="00000000" w:rsidR="00000000" w:rsidRPr="00000000">
        <w:rPr>
          <w:rtl w:val="0"/>
        </w:rPr>
        <w:t xml:space="preserve">: Participate in cybersecurity conferences, webinars, and forums to stay informed about the latest trends, best practices, and emerging technologies in the IT security community.</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Executive and Council Engagement</w:t>
      </w:r>
      <w:r w:rsidDel="00000000" w:rsidR="00000000" w:rsidRPr="00000000">
        <w:rPr>
          <w:rtl w:val="0"/>
        </w:rPr>
        <w:t xml:space="preserve">: Engage with the executive leadership and the Council to communicate the importance of continuous improvement in cybersecurity and secure their support for resource allocation and strategic decision-making.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Action Plan 10 Checklist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Implemented a robust threat intelligence monitoring system.</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Conducted regular cybersecurity risk assessments.</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Encouraged feedback and lessons learned from stakeholders.</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Updated security awareness training programs regularly.</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Allocated resources for cybersecurity research and development.</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Collaborated with peers and cybersecurity organisations.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Conducted threat hunting and red teaming exercises.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Organised scenario-based training for incident response teams.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Implemented continuous monitoring and logging.</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Integrated security automation and orchestration tools.</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Conducted periodic reviews of the cybersecurity framework.</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Ensured policies and procedures are adaptive and up-to-date.</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Engaged with the IT security community through events.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Engaged with executive leadership and the Board.</w:t>
      </w:r>
    </w:p>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