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11 for Measuring and Reporting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effectively measure and report on the effectiveness of their cybersecurity framework, allowing senior leadership and the Board to make informed decisions, allocate resources, and continuously improve the institution's cybersecurity posture. Reporting on cybersecurity metrics is essential for fostering a strong security culture and ensuring ongoing commitment to cybersecurity resilience.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Identify Key Performance Indicators (KPIs)</w:t>
      </w:r>
      <w:r w:rsidDel="00000000" w:rsidR="00000000" w:rsidRPr="00000000">
        <w:rPr>
          <w:rtl w:val="0"/>
        </w:rPr>
        <w:t xml:space="preserve">: Collaborate with cybersecurity experts and stakeholders to identify relevant KPIs that effectively measure the effectiveness of the cybersecurity framework. These KPIs should align with the institution's cybersecurity goals and objectives.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Quantitative and Qualitative Metrics</w:t>
      </w:r>
      <w:r w:rsidDel="00000000" w:rsidR="00000000" w:rsidRPr="00000000">
        <w:rPr>
          <w:rtl w:val="0"/>
        </w:rPr>
        <w:t xml:space="preserve">: Use a mix of quantitative and qualitative metrics to assess the cybersecurity posture. Quantitative metrics may include the number of incidents detected, response times, and successful security controls. Qualitative metrics can include staff awareness levels, feedback from incident response exercises, and overall security culture.</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Establish Baseline and Targets</w:t>
      </w:r>
      <w:r w:rsidDel="00000000" w:rsidR="00000000" w:rsidRPr="00000000">
        <w:rPr>
          <w:rtl w:val="0"/>
        </w:rPr>
        <w:t xml:space="preserve">: Set baseline values for each KPI to understand the current state of cybersecurity. Establish targets or benchmarks that the institution aims to achieve over specific periods.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Regular Performance Measurement</w:t>
      </w:r>
      <w:r w:rsidDel="00000000" w:rsidR="00000000" w:rsidRPr="00000000">
        <w:rPr>
          <w:rtl w:val="0"/>
        </w:rPr>
        <w:t xml:space="preserve">: Implement a process for regularly measuring the identified KPIs. Data should be collected and analysed at defined intervals, such as quarterly or annually.</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Cybersecurity Scorecards</w:t>
      </w:r>
      <w:r w:rsidDel="00000000" w:rsidR="00000000" w:rsidRPr="00000000">
        <w:rPr>
          <w:rtl w:val="0"/>
        </w:rPr>
        <w:t xml:space="preserve">: Create cybersecurity scorecards or dashboards that present KPI data in a visually engaging and easy-to-understand format. Scorecards can highlight trends, areas of improvement, and progress towards targets.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Report to Senior Leadership and the Board</w:t>
      </w:r>
      <w:r w:rsidDel="00000000" w:rsidR="00000000" w:rsidRPr="00000000">
        <w:rPr>
          <w:rtl w:val="0"/>
        </w:rPr>
        <w:t xml:space="preserve">: Develop regular cybersecurity reports for senior leadership and the Board of Trustees. These reports should provide a comprehensive overview of the institution's cybersecurity posture, incident trends, KPI results, and ongoing efforts.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Incident Trend Analysis</w:t>
      </w:r>
      <w:r w:rsidDel="00000000" w:rsidR="00000000" w:rsidRPr="00000000">
        <w:rPr>
          <w:rtl w:val="0"/>
        </w:rPr>
        <w:t xml:space="preserve">: Conduct incident trend analysis to identify patterns and recurring threats. Use this analysis to enhance incident response strategies and preventive measures.</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Root Cause Analysis</w:t>
      </w:r>
      <w:r w:rsidDel="00000000" w:rsidR="00000000" w:rsidRPr="00000000">
        <w:rPr>
          <w:rtl w:val="0"/>
        </w:rPr>
        <w:t xml:space="preserve">: Perform root cause analysis for significant cybersecurity incidents to identify underlying weaknesses or gaps in the cybersecurity framework. Use the findings to implement corrective actions.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Comparative Analysis</w:t>
      </w:r>
      <w:r w:rsidDel="00000000" w:rsidR="00000000" w:rsidRPr="00000000">
        <w:rPr>
          <w:rtl w:val="0"/>
        </w:rPr>
        <w:t xml:space="preserve">: Perform comparative analysis against industry standards and best practices to benchmark the institution's cybersecurity posture against peers and similar organizations.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Response Effectiveness Assessment</w:t>
      </w:r>
      <w:r w:rsidDel="00000000" w:rsidR="00000000" w:rsidRPr="00000000">
        <w:rPr>
          <w:rtl w:val="0"/>
        </w:rPr>
        <w:t xml:space="preserve">: Evaluate the effectiveness of incident response actions taken during cybersecurity incidents. Assess the impact of response measures on mitigating threats and reducing incident severity.</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Feedback Mechanism</w:t>
      </w:r>
      <w:r w:rsidDel="00000000" w:rsidR="00000000" w:rsidRPr="00000000">
        <w:rPr>
          <w:rtl w:val="0"/>
        </w:rPr>
        <w:t xml:space="preserve">: Establish a feedback mechanism to gather input from stakeholders regarding the usefulness and relevance of reported cybersecurity metrics. Use feedback to fine-tune reporting and address information needs.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Continuous Improvement Action Items</w:t>
      </w:r>
      <w:r w:rsidDel="00000000" w:rsidR="00000000" w:rsidRPr="00000000">
        <w:rPr>
          <w:rtl w:val="0"/>
        </w:rPr>
        <w:t xml:space="preserve">: Include action items in the reports that outline steps to improve the cybersecurity posture based on the analysis of KPIs and incident trends.</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Presentation and Communication Skills</w:t>
      </w:r>
      <w:r w:rsidDel="00000000" w:rsidR="00000000" w:rsidRPr="00000000">
        <w:rPr>
          <w:rtl w:val="0"/>
        </w:rPr>
        <w:t xml:space="preserve">: Ensure that cybersecurity reports are presented in a clear and concise manner. Tailor the presentation to the audience's level of understanding while conveying the importance of cybersecurity.</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Align Reporting with Strategic Goals</w:t>
      </w:r>
      <w:r w:rsidDel="00000000" w:rsidR="00000000" w:rsidRPr="00000000">
        <w:rPr>
          <w:rtl w:val="0"/>
        </w:rPr>
        <w:t xml:space="preserve">: Ensure that the cybersecurity reporting aligns with the institution's overall strategic goals, emphasising the connection between cybersecurity investments and institutional resilience.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11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✅Identified relevant KPIs for measuring cybersecurity effectiveness.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✅Used a mix of quantitative and qualitative metrics.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✅Set baseline values and targets for each KPI.</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✅Implemented a process for regular performance measurement.</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✅Created cybersecurity scorecards or dashboards.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✅Developed regular cybersecurity reports for senior leadership and the Board.</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✅Conducted incident trend analysis.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✅Performed root cause analysis for significant incidents.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✅Compared cybersecurity posture against industry standards.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✅Evaluated the effectiveness of incident response actions.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✅Established a feedback mechanism for stakeholders.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✅Included action items for continuous improvement in reports.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✅Ensured clear and concise presentation of cybersecurity reports.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✅Aligned reporting with the institution's strategic goals.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