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2 for Governance and Leadership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higher education institutions can ensure strong governance and leadership support for cybersecurity initiatives, leading to effective implementation of cybersecurity measures and protection against cyber threats.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Identify Key Stakeholders</w:t>
      </w:r>
      <w:r w:rsidDel="00000000" w:rsidR="00000000" w:rsidRPr="00000000">
        <w:rPr>
          <w:rtl w:val="0"/>
        </w:rPr>
        <w:t xml:space="preserve">: Identify key stakeholders, including senior leadership, the Board of Trustees, and executive management, who will play a crucial role in supporting and championing cybersecurity initiatives.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Educate and Raise Awareness</w:t>
      </w:r>
      <w:r w:rsidDel="00000000" w:rsidR="00000000" w:rsidRPr="00000000">
        <w:rPr>
          <w:rtl w:val="0"/>
        </w:rPr>
        <w:t xml:space="preserve">: Conduct cybersecurity awareness sessions and presentations for senior leadership to highlight the importance of cybersecurity as a strategic priority. Demonstrate the potential risks and implications of cyber threats on the institution's reputation, operations, and finances.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Align with Organisational Goals</w:t>
      </w:r>
      <w:r w:rsidDel="00000000" w:rsidR="00000000" w:rsidRPr="00000000">
        <w:rPr>
          <w:rtl w:val="0"/>
        </w:rPr>
        <w:t xml:space="preserve">: Emphasise how cybersecurity aligns with the institution's overall strategic goals and objectives. Showcase how a robust cybersecurity framework enhances the institution's ability to achieve its mission and 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Create a Cybersecurity Committee</w:t>
      </w:r>
      <w:r w:rsidDel="00000000" w:rsidR="00000000" w:rsidRPr="00000000">
        <w:rPr>
          <w:rtl w:val="0"/>
        </w:rPr>
        <w:t xml:space="preserve">: Establish a dedicated cybersecurity committee with representation from senior leadership and relevant departments to oversee and guide cybersecurity efforts. This committee will be responsible for decision-making, policy approvals, and resource allocation.</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Develop a Cybersecurity Strategy</w:t>
      </w:r>
      <w:r w:rsidDel="00000000" w:rsidR="00000000" w:rsidRPr="00000000">
        <w:rPr>
          <w:rtl w:val="0"/>
        </w:rPr>
        <w:t xml:space="preserve">: Work with the cybersecurity committee to develop a comprehensive cybersecurity strategy that outlines the institution's vision, goals, and roadmap for enhancing security measures.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Budget Allocation</w:t>
      </w:r>
      <w:r w:rsidDel="00000000" w:rsidR="00000000" w:rsidRPr="00000000">
        <w:rPr>
          <w:rtl w:val="0"/>
        </w:rPr>
        <w:t xml:space="preserve">: Secure adequate resources and budget allocation for cybersecurity initiatives. Present a business case that justifies the investment in cybersecurity and highlights the potential return on investment in terms of risk reduction and operational resilience.</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Risk Communication</w:t>
      </w:r>
      <w:r w:rsidDel="00000000" w:rsidR="00000000" w:rsidRPr="00000000">
        <w:rPr>
          <w:rtl w:val="0"/>
        </w:rPr>
        <w:t xml:space="preserve">: Ensure that senior leadership is regularly updated on the cybersecurity risk landscape and potential threats. Provide clear and concise risk reports and threat briefings to aid decision-making.</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Council Engagement</w:t>
      </w:r>
      <w:r w:rsidDel="00000000" w:rsidR="00000000" w:rsidRPr="00000000">
        <w:rPr>
          <w:rtl w:val="0"/>
        </w:rPr>
        <w:t xml:space="preserve">: Engage with the Council to gain their endorsement and support for cybersecurity efforts. Present the cybersecurity strategy and its alignment with the institution's overall strategic plan during board meetings.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Regular Reporting</w:t>
      </w:r>
      <w:r w:rsidDel="00000000" w:rsidR="00000000" w:rsidRPr="00000000">
        <w:rPr>
          <w:rtl w:val="0"/>
        </w:rPr>
        <w:t xml:space="preserve">: Provide regular progress reports to senior leadership and the Board on the implementation and effectiveness of cybersecurity initiatives. Highlight key achievements, challenges, and areas for improvement.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w:t>
      </w:r>
      <w:r w:rsidDel="00000000" w:rsidR="00000000" w:rsidRPr="00000000">
        <w:rPr>
          <w:u w:val="single"/>
          <w:rtl w:val="0"/>
        </w:rPr>
        <w:t xml:space="preserve">ntegration with Governance Structures</w:t>
      </w:r>
      <w:r w:rsidDel="00000000" w:rsidR="00000000" w:rsidRPr="00000000">
        <w:rPr>
          <w:rtl w:val="0"/>
        </w:rPr>
        <w:t xml:space="preserve">: Integrate cybersecurity considerations into existing governance structures, such as strategic planning, risk management, and compliance.</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Crisis Management Preparedness</w:t>
      </w:r>
      <w:r w:rsidDel="00000000" w:rsidR="00000000" w:rsidRPr="00000000">
        <w:rPr>
          <w:rtl w:val="0"/>
        </w:rPr>
        <w:t xml:space="preserve">: Collaborate with senior leadership to develop a robust crisis management plan for cybersecurity incidents. Ensure that senior leadership is aware of their roles and responsibilities during a cybersecurity crisis.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Encourage a Culture of Security</w:t>
      </w:r>
      <w:r w:rsidDel="00000000" w:rsidR="00000000" w:rsidRPr="00000000">
        <w:rPr>
          <w:rtl w:val="0"/>
        </w:rPr>
        <w:t xml:space="preserve">: Promote a culture of security from the top-down, emphasising that cybersecurity is a shared responsibility across all levels of the institution.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Action Plan 2 Checklist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Identified key stakeholders, including senior leadership and the Board of Trustees.</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Conducted cybersecurity awareness sessions for senior leadership.</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Aligned cybersecurity efforts with the institution's strategic goals.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Established a dedicated cybersecurity committee.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Developed a comprehensive cybersecurity strategy.</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Secured adequate resources and budget for cybersecurity initiatives.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Provided regular risk communication to senior leadership.</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Engaged with the Board of Trustees and gained their endorsement.</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Provided regular progress reports on cybersecurity initiatives.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Integrated cybersecurity into existing governance structures.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Developed a crisis management plan for cybersecurity incidents.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Promoted a culture of security across the institution.</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