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8 for Collaboration and Information Sharing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By following this action plan and checklist, higher education institutions can foster collaboration with other educational institutions and cybersecurity organisations, enhance information-sharing efforts, and collectively strengthen their cybersecurity posture. Collaboration and information sharing are key factors in building a resilient cybersecurity ecosystem within the education sector.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Establish Collaboration Partnerships</w:t>
      </w:r>
      <w:r w:rsidDel="00000000" w:rsidR="00000000" w:rsidRPr="00000000">
        <w:rPr>
          <w:rtl w:val="0"/>
        </w:rPr>
        <w:t xml:space="preserve">: Identify and establish collaborative partnerships with other educational institutions, cybersecurity organisations, industry peers, and government agencies. Engage in regional and national cybersecurity networks and forums.</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Share Best Practices</w:t>
      </w:r>
      <w:r w:rsidDel="00000000" w:rsidR="00000000" w:rsidRPr="00000000">
        <w:rPr>
          <w:rtl w:val="0"/>
        </w:rPr>
        <w:t xml:space="preserve">: Actively participate in information-sharing initiatives to exchange best practices, lessons learned, and successful cybersecurity strategies with peer institutions. Share knowledge and experiences to strengthen collective security.</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Threat Intelligence Sharing</w:t>
      </w:r>
      <w:r w:rsidDel="00000000" w:rsidR="00000000" w:rsidRPr="00000000">
        <w:rPr>
          <w:rtl w:val="0"/>
        </w:rPr>
        <w:t xml:space="preserve">: Encourage and participate in the sharing of threat intelligence among educational institutions and cybersecurity organisations. Collaborate on identifying and mitigating emerging threats.</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Participate in Cybersecurity Exercises</w:t>
      </w:r>
      <w:r w:rsidDel="00000000" w:rsidR="00000000" w:rsidRPr="00000000">
        <w:rPr>
          <w:rtl w:val="0"/>
        </w:rPr>
        <w:t xml:space="preserve">: Engage in cybersecurity exercises and drills, such as tabletop exercises and red teaming, to test incident response capabilities and identify areas for improvement.</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Collaborative Workshops and Seminars</w:t>
      </w:r>
      <w:r w:rsidDel="00000000" w:rsidR="00000000" w:rsidRPr="00000000">
        <w:rPr>
          <w:rtl w:val="0"/>
        </w:rPr>
        <w:t xml:space="preserve">: Organise or participate in collaborative workshops, seminars, and conferences focused on cybersecurity. Use these opportunities to learn from experts, share experiences, and build relationships with other institutions.</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Data Anonymisation</w:t>
      </w:r>
      <w:r w:rsidDel="00000000" w:rsidR="00000000" w:rsidRPr="00000000">
        <w:rPr>
          <w:rtl w:val="0"/>
        </w:rPr>
        <w:t xml:space="preserve">: When sharing sensitive information, ensure that personally identifiable information (PII) is properly anonymised or removed to protect individual privacy.</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Cybersecurity Task Forces</w:t>
      </w:r>
      <w:r w:rsidDel="00000000" w:rsidR="00000000" w:rsidRPr="00000000">
        <w:rPr>
          <w:rtl w:val="0"/>
        </w:rPr>
        <w:t xml:space="preserve">: Join regional or national cybersecurity task forces that focus on specific threats or challenges faced by educational institutions. Collaborate on addressing common issues and sharing threat intelligence.</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Participate in Information-Sharing Platforms</w:t>
      </w:r>
      <w:r w:rsidDel="00000000" w:rsidR="00000000" w:rsidRPr="00000000">
        <w:rPr>
          <w:rtl w:val="0"/>
        </w:rPr>
        <w:t xml:space="preserve">: Engage in online platforms and mailing lists specifically designed for cybersecurity information sharing among educational institutions and relevant stakeholders.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Engage in Research Collaborations</w:t>
      </w:r>
      <w:r w:rsidDel="00000000" w:rsidR="00000000" w:rsidRPr="00000000">
        <w:rPr>
          <w:rtl w:val="0"/>
        </w:rPr>
        <w:t xml:space="preserve">: Partner with other institutions in joint cybersecurity research projects to gain insights into emerging threats and innovative security solutions.</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Create a Community of Trust</w:t>
      </w:r>
      <w:r w:rsidDel="00000000" w:rsidR="00000000" w:rsidRPr="00000000">
        <w:rPr>
          <w:rtl w:val="0"/>
        </w:rPr>
        <w:t xml:space="preserve">: Foster a community of trust among collaborating institutions, where open and transparent discussions about cybersecurity challenges and incidents are encouraged.</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Encourage Reporting</w:t>
      </w:r>
      <w:r w:rsidDel="00000000" w:rsidR="00000000" w:rsidRPr="00000000">
        <w:rPr>
          <w:rtl w:val="0"/>
        </w:rPr>
        <w:t xml:space="preserve">: Encourage and support the reporting of cybersecurity incidents to relevant cybersecurity organisations or law enforcement agencies for broader threat awareness.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Regular Meetings and Updates</w:t>
      </w:r>
      <w:r w:rsidDel="00000000" w:rsidR="00000000" w:rsidRPr="00000000">
        <w:rPr>
          <w:rtl w:val="0"/>
        </w:rPr>
        <w:t xml:space="preserve">: Schedule regular meetings with collaborative partners to discuss ongoing cybersecurity initiatives, share updates, and plan future collaborative activities.</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Document Sharing</w:t>
      </w:r>
      <w:r w:rsidDel="00000000" w:rsidR="00000000" w:rsidRPr="00000000">
        <w:rPr>
          <w:rtl w:val="0"/>
        </w:rPr>
        <w:t xml:space="preserve">: Share relevant cybersecurity documentation, such as incident response playbooks, policies, and procedures, with collaborative partners, and request access to their resources in return.</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Support Regional Initiatives</w:t>
      </w:r>
      <w:r w:rsidDel="00000000" w:rsidR="00000000" w:rsidRPr="00000000">
        <w:rPr>
          <w:rtl w:val="0"/>
        </w:rPr>
        <w:t xml:space="preserve">: Support and contribute to regional or national initiatives that aim to improve cybersecurity awareness and resilience in the education sector.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8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Identified and established collaborative partnerships.</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Actively participated in information-sharing initiatives.</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Engaged in threat intelligence sharing.</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Participated in cybersecurity exercises and drills.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Organised or participated in collaborative workshops and seminars.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Ensured data anonymisation when sharing sensitive information.</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Joined cybersecurity task forces or working groups.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Engaged in online information-sharing platforms.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Partnered in joint cybersecurity research projects.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Fostered a community of trust among collaborative partners.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Encouraged and supported incident reporting.</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Held regular meetings with collaborative partners.</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Shared relevant cybersecurity documentation with partners.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Supported regional or national cybersecurity initiatives.</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