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9 for Third-Party Risk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following this action plan and checklist, higher education institutions can effectively assess and manage the cybersecurity risks posed by third-party vendors and service providers. This ensures that the institution's security is not compromised by potential weaknesses in the supply chain and helps maintain a strong overall cybersecurity posture.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Identify Third-Party Vendors</w:t>
      </w:r>
      <w:r w:rsidDel="00000000" w:rsidR="00000000" w:rsidRPr="00000000">
        <w:rPr>
          <w:rtl w:val="0"/>
        </w:rPr>
        <w:t xml:space="preserve">: Create an inventory of all third-party vendors and service providers that have access to the institution's systems, data, or provide critical services.</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Risk Assessment</w:t>
      </w:r>
      <w:r w:rsidDel="00000000" w:rsidR="00000000" w:rsidRPr="00000000">
        <w:rPr>
          <w:rtl w:val="0"/>
        </w:rPr>
        <w:t xml:space="preserve">: Conduct a thorough risk assessment of each third-party vendor to evaluate their cybersecurity practices, data handling policies, and potential risks they pose to the institution's security.</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Cybersecurity Standards and Practices</w:t>
      </w:r>
      <w:r w:rsidDel="00000000" w:rsidR="00000000" w:rsidRPr="00000000">
        <w:rPr>
          <w:rtl w:val="0"/>
        </w:rPr>
        <w:t xml:space="preserve">: Establish a set of cybersecurity standards and practices that third-party vendors must adhere to. Include requirements for data protection, incident reporting, access controls, and vulnerability management.</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Vendor Due Diligence</w:t>
      </w:r>
      <w:r w:rsidDel="00000000" w:rsidR="00000000" w:rsidRPr="00000000">
        <w:rPr>
          <w:rtl w:val="0"/>
        </w:rPr>
        <w:t xml:space="preserve">: Conduct due diligence on potential vendors before entering into agreements. Review their cybersecurity policies, practices, and incident response capabilities.</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Contractual Obligations</w:t>
      </w:r>
      <w:r w:rsidDel="00000000" w:rsidR="00000000" w:rsidRPr="00000000">
        <w:rPr>
          <w:rtl w:val="0"/>
        </w:rPr>
        <w:t xml:space="preserve">: Include specific cybersecurity requirements in contracts and service level agreements (SLAs) with third-party vendors. Clearly outline the responsibilities of vendors for maintaining cybersecurity.</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Continuous Monitoring</w:t>
      </w:r>
      <w:r w:rsidDel="00000000" w:rsidR="00000000" w:rsidRPr="00000000">
        <w:rPr>
          <w:rtl w:val="0"/>
        </w:rPr>
        <w:t xml:space="preserve">: Implement a continuous monitoring process to assess the cybersecurity posture of third-party vendors regularly. Use security questionnaires, audits, and vulnerability assessments as part of the monitoring process.</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Incident Reporting and Response</w:t>
      </w:r>
      <w:r w:rsidDel="00000000" w:rsidR="00000000" w:rsidRPr="00000000">
        <w:rPr>
          <w:rtl w:val="0"/>
        </w:rPr>
        <w:t xml:space="preserve">: Require third-party vendors to promptly report any cybersecurity incidents that may affect the institution's data or services. Define the procedures for incident response and coordination.</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Supply Chain Resilience</w:t>
      </w:r>
      <w:r w:rsidDel="00000000" w:rsidR="00000000" w:rsidRPr="00000000">
        <w:rPr>
          <w:rtl w:val="0"/>
        </w:rPr>
        <w:t xml:space="preserve">: Assess the supply chain resilience of critical third-party vendors. Ensure they have robust continuity and disaster recovery plans to minimise disruption to services.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Vendor Security Training</w:t>
      </w:r>
      <w:r w:rsidDel="00000000" w:rsidR="00000000" w:rsidRPr="00000000">
        <w:rPr>
          <w:rtl w:val="0"/>
        </w:rPr>
        <w:t xml:space="preserve">: Encourage third-party vendors to provide cybersecurity training for their employees to ensure they understand and follow the institution's security policies.</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Security Assessments for Changes</w:t>
      </w:r>
      <w:r w:rsidDel="00000000" w:rsidR="00000000" w:rsidRPr="00000000">
        <w:rPr>
          <w:rtl w:val="0"/>
        </w:rPr>
        <w:t xml:space="preserve">: Conduct security assessments when significant changes occur within the third-party vendor's organisation, such as mergers, acquisitions, or changes in management.</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Security Review Meetings</w:t>
      </w:r>
      <w:r w:rsidDel="00000000" w:rsidR="00000000" w:rsidRPr="00000000">
        <w:rPr>
          <w:rtl w:val="0"/>
        </w:rPr>
        <w:t xml:space="preserve">: Conduct regular security review meetings with key third-party vendors to discuss cybersecurity concerns, share best practices, and address any emerging risks.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Exit Strategy</w:t>
      </w:r>
      <w:r w:rsidDel="00000000" w:rsidR="00000000" w:rsidRPr="00000000">
        <w:rPr>
          <w:rtl w:val="0"/>
        </w:rPr>
        <w:t xml:space="preserve">: Develop an exit strategy to manage the transition away from a third-party vendor if they fail to meet cybersecurity standards or if the vendor relationship is terminated.</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Contract Renewals</w:t>
      </w:r>
      <w:r w:rsidDel="00000000" w:rsidR="00000000" w:rsidRPr="00000000">
        <w:rPr>
          <w:rtl w:val="0"/>
        </w:rPr>
        <w:t xml:space="preserve">: Review cybersecurity standards during contract renewal discussions to ensure they are up-to-date and align with the institution's evolving security needs.</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Escalation Process</w:t>
      </w:r>
      <w:r w:rsidDel="00000000" w:rsidR="00000000" w:rsidRPr="00000000">
        <w:rPr>
          <w:rtl w:val="0"/>
        </w:rPr>
        <w:t xml:space="preserve">: Establish an escalation process to address significant cybersecurity concerns with third-party vendors at the executive level if necessary.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9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Created an inventory of third-party vendors.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Conducted a thorough risk assessment of each vendor.</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Established cybersecurity standards and practices for vendors.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Conducted due diligence on potential vendors.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Included cybersecurity requirements in vendor contracts.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Implemented continuous monitoring of vendor cybersecurity.</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Required incident reporting and response from vendors.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Assessed supply chain resilience of critical vendors.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Encouraged vendor security training for their employees.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Conducted security assessments for significant changes.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Held regular security review meetings with vendors.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Developed an exit strategy for vendor relationships.</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Reviewed cybersecurity standards during contract renewals.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Established an escalation process for significant concerns.</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