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after="160"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Engineering Communications</w:t>
        <w:br w:type="textWrapping"/>
        <w:t xml:space="preserve">From: Patrick Austin (10-1)</w:t>
        <w:br w:type="textWrapping"/>
        <w:t xml:space="preserve">Date: March 31, 2017</w:t>
        <w:br w:type="textWrapping"/>
        <w:t xml:space="preserve">Subject: Core Capstone Defense – SLO #8 Rough Draft</w:t>
        <w:br w:type="textWrapping"/>
        <w:br w:type="textWrapping"/>
        <w:t xml:space="preserve">As a student of computer science and engineering, Patrick recognizes the need to engage in lifelong learning. In order to be qualified and competitive in his field, Patrick must keep himself abreast of new technological and theoretical developments, in areas ranging from new developments in computer hardware, to new approaches and vulnerabilities in computer security, to new innovations in the design of programming languages. Patrick recognizes that computer science and engineering often requires certification on new topics to qualify for jobs and demonstrate competency in new and developing areas of the field.</w:t>
        <w:br w:type="textWrapping"/>
        <w:br w:type="textWrapping"/>
        <w:t xml:space="preserve">Patrick currently practices lifelong learning and intends to continue to do so. Patrick has increased his marketability and knowledge in the field beyond what his classes and work have required by learning the Java and Python programming languages in his spare time, which he uses for personal applet projects. Patrick also participates on online forums such as Stack Overflow discussing programming, where he keeps abreast of new developments by interacting with other students and professionals in the field. Patrick will continue to engage in lifelong learning by continuing the practices he has developed so far, as well as joining and engaging with the IEEE professional society, and subscribing to computer science trade journals such as the Communications of the Association for Computing Machinery.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