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5000" w:type="pct"/>
        <w:tblLayout w:type="fixed"/>
        <w:tblLook w:val="04A0" w:firstRow="1" w:lastRow="0" w:firstColumn="1" w:lastColumn="0" w:noHBand="0" w:noVBand="1"/>
      </w:tblPr>
      <w:tblGrid>
        <w:gridCol w:w="2013"/>
        <w:gridCol w:w="391"/>
        <w:gridCol w:w="567"/>
        <w:gridCol w:w="6379"/>
      </w:tblGrid>
      <w:tr w:rsidR="00617E03" w:rsidRPr="004A46EB" w14:paraId="45FF56B3" w14:textId="77777777" w:rsidTr="00617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  <w:vAlign w:val="center"/>
            <w:hideMark/>
          </w:tcPr>
          <w:p w14:paraId="0164BA4A" w14:textId="77777777" w:rsidR="006A23B8" w:rsidRPr="00E355B5" w:rsidRDefault="006A23B8" w:rsidP="00B173ED">
            <w:pPr>
              <w:widowControl w:val="0"/>
              <w:spacing w:line="276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E355B5">
              <w:rPr>
                <w:rFonts w:ascii="Segoe UI" w:eastAsia="Times New Roman" w:hAnsi="Segoe UI" w:cs="Segoe UI"/>
                <w:sz w:val="20"/>
                <w:szCs w:val="20"/>
                <w:lang w:eastAsia="en-GB"/>
              </w:rPr>
              <w:t>Source name</w:t>
            </w:r>
          </w:p>
        </w:tc>
        <w:tc>
          <w:tcPr>
            <w:tcW w:w="209" w:type="pct"/>
            <w:textDirection w:val="btLr"/>
            <w:vAlign w:val="center"/>
            <w:hideMark/>
          </w:tcPr>
          <w:p w14:paraId="104B5C83" w14:textId="77777777" w:rsidR="006A23B8" w:rsidRDefault="006A23B8" w:rsidP="00B173ED">
            <w:pPr>
              <w:widowControl w:val="0"/>
              <w:spacing w:line="276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sz w:val="20"/>
                <w:szCs w:val="20"/>
                <w:lang w:eastAsia="en-GB"/>
              </w:rPr>
            </w:pPr>
            <w:r w:rsidRPr="00E355B5">
              <w:rPr>
                <w:rFonts w:ascii="Segoe UI" w:eastAsia="Times New Roman" w:hAnsi="Segoe UI" w:cs="Segoe UI"/>
                <w:sz w:val="20"/>
                <w:szCs w:val="20"/>
                <w:lang w:eastAsia="en-GB"/>
              </w:rPr>
              <w:t xml:space="preserve">Priority </w:t>
            </w:r>
          </w:p>
          <w:p w14:paraId="3628C6D6" w14:textId="77777777" w:rsidR="006A23B8" w:rsidRPr="00E355B5" w:rsidRDefault="006A23B8" w:rsidP="00B173ED">
            <w:pPr>
              <w:widowControl w:val="0"/>
              <w:spacing w:line="276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E355B5">
              <w:rPr>
                <w:rFonts w:ascii="Segoe UI" w:eastAsia="Times New Roman" w:hAnsi="Segoe UI" w:cs="Segoe UI"/>
                <w:sz w:val="20"/>
                <w:szCs w:val="20"/>
                <w:lang w:eastAsia="en-GB"/>
              </w:rPr>
              <w:t>(High/Medium/Low)</w:t>
            </w:r>
          </w:p>
        </w:tc>
        <w:tc>
          <w:tcPr>
            <w:tcW w:w="303" w:type="pct"/>
            <w:textDirection w:val="btLr"/>
            <w:vAlign w:val="center"/>
            <w:hideMark/>
          </w:tcPr>
          <w:p w14:paraId="5560DC64" w14:textId="77777777" w:rsidR="006A23B8" w:rsidRPr="00E355B5" w:rsidRDefault="006A23B8" w:rsidP="00B173ED">
            <w:pPr>
              <w:widowControl w:val="0"/>
              <w:spacing w:line="276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E355B5">
              <w:rPr>
                <w:rFonts w:ascii="Segoe UI" w:eastAsia="Times New Roman" w:hAnsi="Segoe UI" w:cs="Segoe UI"/>
                <w:sz w:val="20"/>
                <w:szCs w:val="20"/>
                <w:lang w:eastAsia="en-GB"/>
              </w:rPr>
              <w:t>Known format challenges (e.g., scanned PDF, Requires Login, Lack of API)</w:t>
            </w:r>
          </w:p>
        </w:tc>
        <w:tc>
          <w:tcPr>
            <w:tcW w:w="3411" w:type="pct"/>
            <w:textDirection w:val="btLr"/>
            <w:vAlign w:val="center"/>
            <w:hideMark/>
          </w:tcPr>
          <w:p w14:paraId="7FF3C5FC" w14:textId="335E3AA7" w:rsidR="006A23B8" w:rsidRPr="00BF148B" w:rsidRDefault="00BF148B" w:rsidP="00BF148B">
            <w:pPr>
              <w:widowControl w:val="0"/>
              <w:spacing w:line="276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lang w:val="en-US"/>
              </w:rPr>
              <w:t>Result</w:t>
            </w:r>
          </w:p>
        </w:tc>
      </w:tr>
      <w:tr w:rsidR="00617E03" w:rsidRPr="004A46EB" w14:paraId="6880ED8F" w14:textId="77777777" w:rsidTr="00617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  <w:hideMark/>
          </w:tcPr>
          <w:p w14:paraId="6FADD822" w14:textId="77777777" w:rsidR="006A23B8" w:rsidRPr="00C53C98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</w:pPr>
            <w:r w:rsidRPr="00C53C98"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Government Gazette (www.et.gr)</w:t>
            </w:r>
          </w:p>
        </w:tc>
        <w:tc>
          <w:tcPr>
            <w:tcW w:w="209" w:type="pct"/>
          </w:tcPr>
          <w:p w14:paraId="7B4978A6" w14:textId="77777777" w:rsidR="006A23B8" w:rsidRPr="000A39E8" w:rsidRDefault="006A23B8" w:rsidP="00B173ED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  <w:lang w:val="en-US"/>
              </w:rPr>
            </w:pPr>
            <w:r w:rsidRPr="00C53C98">
              <w:rPr>
                <w:rStyle w:val="Strong"/>
                <w:color w:val="076CB7"/>
                <w:bdr w:val="none" w:sz="0" w:space="0" w:color="auto" w:frame="1"/>
              </w:rPr>
              <w:t>Y</w:t>
            </w:r>
          </w:p>
        </w:tc>
        <w:tc>
          <w:tcPr>
            <w:tcW w:w="303" w:type="pct"/>
          </w:tcPr>
          <w:p w14:paraId="4CA67283" w14:textId="77777777" w:rsidR="006A23B8" w:rsidRPr="000A39E8" w:rsidRDefault="006A23B8" w:rsidP="00B173ED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</w:rPr>
              <w:t>PDF</w:t>
            </w:r>
          </w:p>
        </w:tc>
        <w:tc>
          <w:tcPr>
            <w:tcW w:w="3411" w:type="pct"/>
          </w:tcPr>
          <w:p w14:paraId="2883EF52" w14:textId="11CE37B9" w:rsidR="006A23B8" w:rsidRPr="00CE468D" w:rsidRDefault="00337110" w:rsidP="00B173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We can find the laws, but themselves are not translatable</w:t>
            </w:r>
            <w:r w:rsidR="00617E03"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br/>
            </w:r>
          </w:p>
        </w:tc>
      </w:tr>
      <w:tr w:rsidR="00617E03" w:rsidRPr="004A46EB" w14:paraId="1BF6E461" w14:textId="77777777" w:rsidTr="00617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</w:tcPr>
          <w:p w14:paraId="35267FCF" w14:textId="77777777" w:rsidR="006A23B8" w:rsidRPr="007E79F9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</w:pPr>
            <w:r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Websites of ministries (ypergasias.gov.gr) ypen.gov.gr</w:t>
            </w:r>
          </w:p>
        </w:tc>
        <w:tc>
          <w:tcPr>
            <w:tcW w:w="209" w:type="pct"/>
          </w:tcPr>
          <w:p w14:paraId="21020184" w14:textId="77777777" w:rsidR="006A23B8" w:rsidRPr="00C53C98" w:rsidRDefault="006A23B8" w:rsidP="00B173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</w:rPr>
            </w:pPr>
            <w:r>
              <w:rPr>
                <w:rStyle w:val="Strong"/>
                <w:color w:val="076CB7"/>
                <w:bdr w:val="none" w:sz="0" w:space="0" w:color="auto" w:frame="1"/>
              </w:rPr>
              <w:t>Y</w:t>
            </w:r>
          </w:p>
        </w:tc>
        <w:tc>
          <w:tcPr>
            <w:tcW w:w="303" w:type="pct"/>
          </w:tcPr>
          <w:p w14:paraId="6500EC35" w14:textId="77777777" w:rsidR="006A23B8" w:rsidRDefault="006A23B8" w:rsidP="00B173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</w:p>
        </w:tc>
        <w:tc>
          <w:tcPr>
            <w:tcW w:w="3411" w:type="pct"/>
          </w:tcPr>
          <w:p w14:paraId="6F72A37D" w14:textId="02BF2B07" w:rsidR="006A23B8" w:rsidRPr="00C53C98" w:rsidRDefault="00E04792" w:rsidP="00B173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Site only in Greek, no site translation disponible</w:t>
            </w:r>
          </w:p>
        </w:tc>
      </w:tr>
      <w:tr w:rsidR="00617E03" w:rsidRPr="004A46EB" w14:paraId="29970B80" w14:textId="77777777" w:rsidTr="00617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  <w:hideMark/>
          </w:tcPr>
          <w:p w14:paraId="69A41B5A" w14:textId="77777777" w:rsidR="006A23B8" w:rsidRPr="00C53C98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</w:pPr>
            <w:r w:rsidRPr="00C53C98"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Diavgeia (diavgeia.gov.gr)</w:t>
            </w:r>
          </w:p>
        </w:tc>
        <w:tc>
          <w:tcPr>
            <w:tcW w:w="209" w:type="pct"/>
          </w:tcPr>
          <w:p w14:paraId="57BA3BC9" w14:textId="77777777" w:rsidR="006A23B8" w:rsidRPr="00C53C98" w:rsidRDefault="006A23B8" w:rsidP="00B173ED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</w:rPr>
            </w:pPr>
            <w:r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M</w:t>
            </w:r>
          </w:p>
        </w:tc>
        <w:tc>
          <w:tcPr>
            <w:tcW w:w="303" w:type="pct"/>
          </w:tcPr>
          <w:p w14:paraId="1E948409" w14:textId="77777777" w:rsidR="006A23B8" w:rsidRPr="00C53C98" w:rsidRDefault="006A23B8" w:rsidP="00B173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</w:p>
        </w:tc>
        <w:tc>
          <w:tcPr>
            <w:tcW w:w="3411" w:type="pct"/>
          </w:tcPr>
          <w:p w14:paraId="429A03F8" w14:textId="0D71C3FD" w:rsidR="006A23B8" w:rsidRPr="00C53C98" w:rsidRDefault="00A57542" w:rsidP="00B173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It is possible</w:t>
            </w:r>
            <w:r w:rsidR="00AD1BB5"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 xml:space="preserve"> to translate the main site, but the</w:t>
            </w:r>
            <w:r w:rsidR="00116A5C"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 xml:space="preserve"> sites under the menus are not</w:t>
            </w:r>
          </w:p>
        </w:tc>
      </w:tr>
      <w:tr w:rsidR="00617E03" w:rsidRPr="004A46EB" w14:paraId="112F919E" w14:textId="77777777" w:rsidTr="00617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  <w:hideMark/>
          </w:tcPr>
          <w:p w14:paraId="22A0EF24" w14:textId="77777777" w:rsidR="006A23B8" w:rsidRPr="00255563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  <w:lang w:val="en-US"/>
              </w:rPr>
            </w:pPr>
            <w:r w:rsidRPr="00255563"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EUR-Lex (eur-lex.europa.eu)</w:t>
            </w:r>
          </w:p>
        </w:tc>
        <w:tc>
          <w:tcPr>
            <w:tcW w:w="209" w:type="pct"/>
          </w:tcPr>
          <w:p w14:paraId="1302F00D" w14:textId="77777777" w:rsidR="006A23B8" w:rsidRPr="007E0185" w:rsidRDefault="006A23B8" w:rsidP="00B173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  <w:lang w:val="en-US"/>
              </w:rPr>
            </w:pPr>
            <w:r w:rsidRPr="00C53C98">
              <w:rPr>
                <w:rStyle w:val="Strong"/>
                <w:color w:val="076CB7"/>
                <w:bdr w:val="none" w:sz="0" w:space="0" w:color="auto" w:frame="1"/>
              </w:rPr>
              <w:t>Y</w:t>
            </w:r>
          </w:p>
        </w:tc>
        <w:tc>
          <w:tcPr>
            <w:tcW w:w="303" w:type="pct"/>
          </w:tcPr>
          <w:p w14:paraId="72BFF07F" w14:textId="77777777" w:rsidR="006A23B8" w:rsidRPr="001852B4" w:rsidRDefault="006A23B8" w:rsidP="00B173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</w:rPr>
              <w:t>PDF</w:t>
            </w:r>
          </w:p>
        </w:tc>
        <w:tc>
          <w:tcPr>
            <w:tcW w:w="3411" w:type="pct"/>
          </w:tcPr>
          <w:p w14:paraId="487A26CE" w14:textId="20413DB2" w:rsidR="006A23B8" w:rsidRPr="00A179BD" w:rsidRDefault="00A179BD" w:rsidP="00B173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Site where the EU legislation can be found, there is versioning of the laws.</w:t>
            </w:r>
          </w:p>
        </w:tc>
      </w:tr>
      <w:tr w:rsidR="00617E03" w:rsidRPr="00944FBA" w14:paraId="6E2AD781" w14:textId="77777777" w:rsidTr="00617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</w:tcPr>
          <w:p w14:paraId="68F219A3" w14:textId="77777777" w:rsidR="006A23B8" w:rsidRPr="0027241D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  <w:lang w:val="en-US"/>
              </w:rPr>
            </w:pPr>
            <w:r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European sites (cen /cenelec) –(www.cencenelec.eu)</w:t>
            </w:r>
          </w:p>
        </w:tc>
        <w:tc>
          <w:tcPr>
            <w:tcW w:w="209" w:type="pct"/>
          </w:tcPr>
          <w:p w14:paraId="2ACE67BF" w14:textId="77777777" w:rsidR="006A23B8" w:rsidRPr="00603C7F" w:rsidRDefault="006A23B8" w:rsidP="00B173ED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  <w:lang w:val="en-US"/>
              </w:rPr>
            </w:pPr>
            <w:r>
              <w:rPr>
                <w:rStyle w:val="Strong"/>
                <w:color w:val="076CB7"/>
                <w:bdr w:val="none" w:sz="0" w:space="0" w:color="auto" w:frame="1"/>
              </w:rPr>
              <w:t>Y</w:t>
            </w:r>
          </w:p>
        </w:tc>
        <w:tc>
          <w:tcPr>
            <w:tcW w:w="303" w:type="pct"/>
          </w:tcPr>
          <w:p w14:paraId="4B6EC295" w14:textId="77777777" w:rsidR="006A23B8" w:rsidRDefault="006A23B8" w:rsidP="00B173ED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</w:p>
        </w:tc>
        <w:tc>
          <w:tcPr>
            <w:tcW w:w="3411" w:type="pct"/>
          </w:tcPr>
          <w:p w14:paraId="52DAEEC4" w14:textId="77777777" w:rsidR="000747CC" w:rsidRDefault="00EE52C4" w:rsidP="00B173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This shows the</w:t>
            </w:r>
            <w:r w:rsidR="004F554D"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 xml:space="preserve"> standards, but there’s</w:t>
            </w:r>
            <w:r w:rsidR="000A4B1A"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 xml:space="preserve"> no free download </w:t>
            </w:r>
            <w:r w:rsidR="000A4B1A"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br/>
            </w:r>
          </w:p>
          <w:p w14:paraId="732BB0CF" w14:textId="3406BB2E" w:rsidR="006A23B8" w:rsidRPr="00944FBA" w:rsidRDefault="000A4B1A" w:rsidP="00B173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  <w:r w:rsidRPr="000A4B1A"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drawing>
                <wp:inline distT="0" distB="0" distL="0" distR="0" wp14:anchorId="408DC2D8" wp14:editId="6598824F">
                  <wp:extent cx="3696869" cy="182965"/>
                  <wp:effectExtent l="0" t="0" r="0" b="7620"/>
                  <wp:docPr id="75653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373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25" cy="200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E03" w:rsidRPr="004A46EB" w14:paraId="748B3BC8" w14:textId="77777777" w:rsidTr="00617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  <w:hideMark/>
          </w:tcPr>
          <w:p w14:paraId="7C9A55B0" w14:textId="77777777" w:rsidR="006A23B8" w:rsidRPr="00C53C98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</w:pPr>
            <w:r w:rsidRPr="00C53C98"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ELINYAE</w:t>
            </w:r>
          </w:p>
        </w:tc>
        <w:tc>
          <w:tcPr>
            <w:tcW w:w="209" w:type="pct"/>
          </w:tcPr>
          <w:p w14:paraId="47D63B72" w14:textId="77777777" w:rsidR="006A23B8" w:rsidRPr="00167F3B" w:rsidRDefault="006A23B8" w:rsidP="00B173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  <w:lang w:val="en-US"/>
              </w:rPr>
            </w:pPr>
            <w:r w:rsidRPr="00C53C98">
              <w:rPr>
                <w:rStyle w:val="Strong"/>
                <w:color w:val="076CB7"/>
                <w:bdr w:val="none" w:sz="0" w:space="0" w:color="auto" w:frame="1"/>
              </w:rPr>
              <w:t>Y</w:t>
            </w:r>
          </w:p>
        </w:tc>
        <w:tc>
          <w:tcPr>
            <w:tcW w:w="303" w:type="pct"/>
          </w:tcPr>
          <w:p w14:paraId="00B35DA8" w14:textId="77777777" w:rsidR="006A23B8" w:rsidRPr="00C53C98" w:rsidRDefault="006A23B8" w:rsidP="00B173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</w:rPr>
              <w:t>PDF</w:t>
            </w:r>
          </w:p>
        </w:tc>
        <w:tc>
          <w:tcPr>
            <w:tcW w:w="3411" w:type="pct"/>
          </w:tcPr>
          <w:p w14:paraId="5AB0A02C" w14:textId="3ABD7A8E" w:rsidR="006A23B8" w:rsidRDefault="000747CC" w:rsidP="00B173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 xml:space="preserve">Only gives us an e-mail to reach out if we want the documentation </w:t>
            </w:r>
          </w:p>
          <w:p w14:paraId="7C1CB651" w14:textId="3C5FCBD0" w:rsidR="000747CC" w:rsidRPr="000747CC" w:rsidRDefault="000747CC" w:rsidP="00B173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  <w:r w:rsidRPr="00ED150E">
              <w:rPr>
                <w:rFonts w:ascii="Segoe UI" w:hAnsi="Segoe UI" w:cs="Segoe UI"/>
                <w:color w:val="1B1C1D"/>
                <w:sz w:val="20"/>
                <w:szCs w:val="20"/>
              </w:rPr>
              <w:drawing>
                <wp:inline distT="0" distB="0" distL="0" distR="0" wp14:anchorId="421AAD66" wp14:editId="147AFCCC">
                  <wp:extent cx="3562233" cy="646226"/>
                  <wp:effectExtent l="0" t="0" r="635" b="1905"/>
                  <wp:docPr id="1845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64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374" cy="6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E03" w:rsidRPr="004A46EB" w14:paraId="7A6E46BF" w14:textId="77777777" w:rsidTr="00617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</w:tcPr>
          <w:p w14:paraId="1C8164DD" w14:textId="77777777" w:rsidR="006A23B8" w:rsidRPr="007B1F19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  <w:lang w:val="en-US"/>
              </w:rPr>
            </w:pPr>
            <w:r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P.Y. (fireservice.gr)</w:t>
            </w:r>
          </w:p>
        </w:tc>
        <w:tc>
          <w:tcPr>
            <w:tcW w:w="209" w:type="pct"/>
          </w:tcPr>
          <w:p w14:paraId="2B0739D8" w14:textId="77777777" w:rsidR="006A23B8" w:rsidRPr="00C53C98" w:rsidRDefault="006A23B8" w:rsidP="00B173ED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</w:rPr>
            </w:pPr>
            <w:r w:rsidRPr="00C53C98">
              <w:rPr>
                <w:rStyle w:val="Strong"/>
                <w:color w:val="076CB7"/>
                <w:bdr w:val="none" w:sz="0" w:space="0" w:color="auto" w:frame="1"/>
              </w:rPr>
              <w:t>Y</w:t>
            </w:r>
          </w:p>
        </w:tc>
        <w:tc>
          <w:tcPr>
            <w:tcW w:w="303" w:type="pct"/>
          </w:tcPr>
          <w:p w14:paraId="4F42D8DA" w14:textId="77777777" w:rsidR="006A23B8" w:rsidRDefault="006A23B8" w:rsidP="00B173ED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</w:pPr>
          </w:p>
        </w:tc>
        <w:tc>
          <w:tcPr>
            <w:tcW w:w="3411" w:type="pct"/>
          </w:tcPr>
          <w:p w14:paraId="528604AD" w14:textId="1DD21A0A" w:rsidR="006A23B8" w:rsidRPr="00C53C98" w:rsidRDefault="00AC1F81" w:rsidP="00B173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Site only in Greek, no site translation disponible</w:t>
            </w:r>
          </w:p>
        </w:tc>
      </w:tr>
      <w:tr w:rsidR="00617E03" w:rsidRPr="004A46EB" w14:paraId="360737D8" w14:textId="77777777" w:rsidTr="00617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pct"/>
            <w:hideMark/>
          </w:tcPr>
          <w:p w14:paraId="739D0EC9" w14:textId="77777777" w:rsidR="006A23B8" w:rsidRPr="00C53C98" w:rsidRDefault="006A23B8" w:rsidP="00B173ED">
            <w:pPr>
              <w:widowControl w:val="0"/>
              <w:spacing w:line="276" w:lineRule="auto"/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</w:pPr>
            <w:r w:rsidRPr="00C53C98">
              <w:rPr>
                <w:rStyle w:val="Strong"/>
                <w:rFonts w:ascii="Segoe UI" w:hAnsi="Segoe UI" w:cs="Segoe UI"/>
                <w:color w:val="076CB7"/>
                <w:sz w:val="20"/>
                <w:szCs w:val="20"/>
                <w:bdr w:val="none" w:sz="0" w:space="0" w:color="auto" w:frame="1"/>
              </w:rPr>
              <w:t>RAAEY</w:t>
            </w:r>
          </w:p>
        </w:tc>
        <w:tc>
          <w:tcPr>
            <w:tcW w:w="209" w:type="pct"/>
          </w:tcPr>
          <w:p w14:paraId="6B4D2988" w14:textId="77777777" w:rsidR="006A23B8" w:rsidRPr="00D929A3" w:rsidRDefault="006A23B8" w:rsidP="00B173ED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color w:val="076CB7"/>
                <w:bdr w:val="none" w:sz="0" w:space="0" w:color="auto" w:frame="1"/>
                <w:lang w:val="en-US"/>
              </w:rPr>
            </w:pPr>
            <w:r>
              <w:rPr>
                <w:rStyle w:val="Strong"/>
                <w:color w:val="076CB7"/>
                <w:bdr w:val="none" w:sz="0" w:space="0" w:color="auto" w:frame="1"/>
              </w:rPr>
              <w:t>M</w:t>
            </w:r>
          </w:p>
        </w:tc>
        <w:tc>
          <w:tcPr>
            <w:tcW w:w="303" w:type="pct"/>
          </w:tcPr>
          <w:p w14:paraId="0A3F31A2" w14:textId="77777777" w:rsidR="006A23B8" w:rsidRPr="00C53C98" w:rsidRDefault="006A23B8" w:rsidP="00B173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</w:p>
        </w:tc>
        <w:tc>
          <w:tcPr>
            <w:tcW w:w="3411" w:type="pct"/>
          </w:tcPr>
          <w:p w14:paraId="355FC4A2" w14:textId="13C32475" w:rsidR="006A23B8" w:rsidRPr="00C53C98" w:rsidRDefault="00116A5C" w:rsidP="00B173E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B1C1D"/>
                <w:sz w:val="20"/>
                <w:szCs w:val="20"/>
              </w:rPr>
            </w:pP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Possible to translate the main site, but the sites under the menus are not</w:t>
            </w:r>
            <w:r>
              <w:rPr>
                <w:rFonts w:ascii="Segoe UI" w:hAnsi="Segoe UI" w:cs="Segoe UI"/>
                <w:color w:val="1B1C1D"/>
                <w:sz w:val="20"/>
                <w:szCs w:val="20"/>
                <w:lang w:val="en-US"/>
              </w:rPr>
              <w:t>.</w:t>
            </w:r>
          </w:p>
        </w:tc>
      </w:tr>
    </w:tbl>
    <w:p w14:paraId="098305EE" w14:textId="77777777" w:rsidR="0087181A" w:rsidRDefault="0087181A">
      <w:pPr>
        <w:rPr>
          <w:lang w:val="en-US"/>
        </w:rPr>
      </w:pPr>
    </w:p>
    <w:p w14:paraId="16EEE474" w14:textId="1E86CFD9" w:rsidR="00DA46B7" w:rsidRPr="00DA46B7" w:rsidRDefault="00DA46B7">
      <w:pPr>
        <w:rPr>
          <w:lang w:val="en-US"/>
        </w:rPr>
      </w:pPr>
      <w:r w:rsidRPr="00DA46B7">
        <w:rPr>
          <w:lang w:val="en-US"/>
        </w:rPr>
        <w:drawing>
          <wp:inline distT="0" distB="0" distL="0" distR="0" wp14:anchorId="34E06BD5" wp14:editId="3E7E96C7">
            <wp:extent cx="5943600" cy="1410335"/>
            <wp:effectExtent l="0" t="0" r="0" b="0"/>
            <wp:docPr id="8382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51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6B7" w:rsidRPr="00DA4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1A"/>
    <w:rsid w:val="00011A43"/>
    <w:rsid w:val="000747CC"/>
    <w:rsid w:val="000A4B1A"/>
    <w:rsid w:val="00116A5C"/>
    <w:rsid w:val="00337110"/>
    <w:rsid w:val="004F554D"/>
    <w:rsid w:val="00526D13"/>
    <w:rsid w:val="005975C0"/>
    <w:rsid w:val="00617E03"/>
    <w:rsid w:val="006A23B8"/>
    <w:rsid w:val="0087181A"/>
    <w:rsid w:val="00A179BD"/>
    <w:rsid w:val="00A57542"/>
    <w:rsid w:val="00AC1F81"/>
    <w:rsid w:val="00AD1BB5"/>
    <w:rsid w:val="00BF148B"/>
    <w:rsid w:val="00C360D1"/>
    <w:rsid w:val="00CE468D"/>
    <w:rsid w:val="00D7595A"/>
    <w:rsid w:val="00DA46B7"/>
    <w:rsid w:val="00E04792"/>
    <w:rsid w:val="00ED150E"/>
    <w:rsid w:val="00EE52C4"/>
    <w:rsid w:val="00FF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E1E0E"/>
  <w15:chartTrackingRefBased/>
  <w15:docId w15:val="{8CBA70D0-20A7-44C7-9337-08A38765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A23B8"/>
    <w:pPr>
      <w:spacing w:after="0" w:line="240" w:lineRule="auto"/>
    </w:pPr>
    <w:rPr>
      <w:kern w:val="0"/>
      <w:lang w:val="el-G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8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1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1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1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1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1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1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1A"/>
    <w:pPr>
      <w:spacing w:after="160" w:line="278" w:lineRule="auto"/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1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23B8"/>
    <w:rPr>
      <w:b/>
      <w:bCs/>
    </w:rPr>
  </w:style>
  <w:style w:type="table" w:styleId="GridTable4-Accent1">
    <w:name w:val="Grid Table 4 Accent 1"/>
    <w:basedOn w:val="TableNormal"/>
    <w:uiPriority w:val="49"/>
    <w:rsid w:val="006A23B8"/>
    <w:pPr>
      <w:spacing w:after="0" w:line="240" w:lineRule="auto"/>
    </w:pPr>
    <w:rPr>
      <w:kern w:val="0"/>
      <w:lang w:val="el-GR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136</Words>
  <Characters>780</Characters>
  <Application>Microsoft Office Word</Application>
  <DocSecurity>0</DocSecurity>
  <Lines>6</Lines>
  <Paragraphs>1</Paragraphs>
  <ScaleCrop>false</ScaleCrop>
  <Company>PricewaterhouseCoopers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Ribeiro (IT)</dc:creator>
  <cp:keywords/>
  <dc:description/>
  <cp:lastModifiedBy>Flavio Ribeiro (IT)</cp:lastModifiedBy>
  <cp:revision>22</cp:revision>
  <dcterms:created xsi:type="dcterms:W3CDTF">2026-04-20T13:58:00Z</dcterms:created>
  <dcterms:modified xsi:type="dcterms:W3CDTF">2026-04-20T15:32:00Z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1840fb-8939-4796-95d0-bc833736564d_Enabled">
    <vt:lpwstr>true</vt:lpwstr>
  </property>
  <property fmtid="{D5CDD505-2E9C-101B-9397-08002B2CF9AE}" pid="3" name="MSIP_Label_2e1840fb-8939-4796-95d0-bc833736564d_SetDate">
    <vt:lpwstr>2026-04-20T13:59:01Z</vt:lpwstr>
  </property>
  <property fmtid="{D5CDD505-2E9C-101B-9397-08002B2CF9AE}" pid="4" name="MSIP_Label_2e1840fb-8939-4796-95d0-bc833736564d_Method">
    <vt:lpwstr>Standard</vt:lpwstr>
  </property>
  <property fmtid="{D5CDD505-2E9C-101B-9397-08002B2CF9AE}" pid="5" name="MSIP_Label_2e1840fb-8939-4796-95d0-bc833736564d_Name">
    <vt:lpwstr>Confidential - Open Access</vt:lpwstr>
  </property>
  <property fmtid="{D5CDD505-2E9C-101B-9397-08002B2CF9AE}" pid="6" name="MSIP_Label_2e1840fb-8939-4796-95d0-bc833736564d_SiteId">
    <vt:lpwstr>513294a0-3e20-41b2-a970-6d30bf1546fa</vt:lpwstr>
  </property>
  <property fmtid="{D5CDD505-2E9C-101B-9397-08002B2CF9AE}" pid="7" name="MSIP_Label_2e1840fb-8939-4796-95d0-bc833736564d_ActionId">
    <vt:lpwstr>dcef7125-dea7-4059-820a-e7d10a233cc9</vt:lpwstr>
  </property>
  <property fmtid="{D5CDD505-2E9C-101B-9397-08002B2CF9AE}" pid="8" name="MSIP_Label_2e1840fb-8939-4796-95d0-bc833736564d_ContentBits">
    <vt:lpwstr>0</vt:lpwstr>
  </property>
  <property fmtid="{D5CDD505-2E9C-101B-9397-08002B2CF9AE}" pid="9" name="MSIP_Label_2e1840fb-8939-4796-95d0-bc833736564d_Tag">
    <vt:lpwstr>10, 3, 0, 1</vt:lpwstr>
  </property>
</Properties>
</file>