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contextualSpacing w:val="0"/>
        <w:rPr/>
        <w:sectPr>
          <w:headerReference r:id="rId6" w:type="default"/>
          <w:headerReference r:id="rId7" w:type="first"/>
          <w:headerReference r:id="rId8" w:type="even"/>
          <w:footerReference r:id="rId9" w:type="default"/>
          <w:footerReference r:id="rId10" w:type="first"/>
          <w:footerReference r:id="rId11" w:type="even"/>
          <w:pgSz w:h="16838" w:w="11906"/>
          <w:pgMar w:bottom="2552" w:top="2211" w:left="1134" w:right="851" w:header="0"/>
          <w:pgNumType w:start="1"/>
          <w:titlePg w:val="1"/>
        </w:sectPr>
      </w:pPr>
      <w:r w:rsidDel="00000000" w:rsidR="00000000" w:rsidRPr="00000000">
        <w:rPr>
          <w:b w:val="1"/>
          <w:color w:val="fff200"/>
          <w:rtl w:val="0"/>
        </w:rPr>
        <w:t xml:space="preserve">///</w:t>
      </w:r>
      <w:r w:rsidDel="00000000" w:rsidR="00000000" w:rsidRPr="00000000">
        <w:rPr>
          <w:rtl w:val="0"/>
        </w:rPr>
        <w:t xml:space="preserve"> DCAT-AP VL voor open data</w:t>
      </w:r>
    </w:p>
    <w:p w:rsidR="00000000" w:rsidDel="00000000" w:rsidP="00000000" w:rsidRDefault="00000000" w:rsidRPr="00000000" w14:paraId="00000001">
      <w:pPr>
        <w:pStyle w:val="Heading1"/>
        <w:numPr>
          <w:ilvl w:val="0"/>
          <w:numId w:val="1"/>
        </w:numPr>
        <w:ind w:left="432" w:hanging="432"/>
        <w:contextualSpacing w:val="0"/>
        <w:rPr/>
      </w:pPr>
      <w:r w:rsidDel="00000000" w:rsidR="00000000" w:rsidRPr="00000000">
        <w:rPr>
          <w:rtl w:val="0"/>
        </w:rPr>
        <w:t xml:space="preserve">Overzicht</w:t>
      </w:r>
      <w:r w:rsidDel="00000000" w:rsidR="00000000" w:rsidRPr="00000000">
        <w:rPr>
          <w:rtl w:val="0"/>
        </w:rPr>
      </w:r>
    </w:p>
    <w:tbl>
      <w:tblPr>
        <w:tblStyle w:val="Table1"/>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590"/>
        <w:tblGridChange w:id="0">
          <w:tblGrid>
            <w:gridCol w:w="2340"/>
            <w:gridCol w:w="7590"/>
          </w:tblGrid>
        </w:tblGridChange>
      </w:tblGrid>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Startdatum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01/09/2018</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Einddatum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30/11/2018</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0" w:line="240" w:lineRule="auto"/>
              <w:contextualSpacing w:val="0"/>
              <w:rPr/>
            </w:pPr>
            <w:r w:rsidDel="00000000" w:rsidR="00000000" w:rsidRPr="00000000">
              <w:rPr>
                <w:rtl w:val="0"/>
              </w:rPr>
              <w:t xml:space="preserve">Thomas D'haenens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line="240" w:lineRule="auto"/>
              <w:contextualSpacing w:val="0"/>
              <w:rPr/>
            </w:pPr>
            <w:r w:rsidDel="00000000" w:rsidR="00000000" w:rsidRPr="00000000">
              <w:rPr>
                <w:rtl w:val="0"/>
              </w:rPr>
              <w:t xml:space="preserve">Laurens De Vocht, Dieter De Paepe, Erik Mannens, Raf Buyle, Ziggy Vanlishout, Dries Beheydt, Geert Thijs, Thomas D'haenens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Geplande overlegmomenten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Publieke werkgroepsessie</w:t>
            </w:r>
          </w:p>
          <w:p w:rsidR="00000000" w:rsidDel="00000000" w:rsidP="00000000" w:rsidRDefault="00000000" w:rsidRPr="00000000" w14:paraId="0000000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Webcast aan einde van publieke reviewperiode</w:t>
              <w:tab/>
              <w:tab/>
              <w:tab/>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Beslissingscriterium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Unanimiteit minus één (U-1)</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Licentie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2">
              <w:r w:rsidDel="00000000" w:rsidR="00000000" w:rsidRPr="00000000">
                <w:rPr>
                  <w:color w:val="1155cc"/>
                  <w:u w:val="single"/>
                  <w:rtl w:val="0"/>
                </w:rPr>
                <w:t xml:space="preserve">Modellicentie gratis hergebruik v1.0</w:t>
              </w:r>
            </w:hyperlink>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Locatie documentatie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3">
              <w:r w:rsidDel="00000000" w:rsidR="00000000" w:rsidRPr="00000000">
                <w:rPr>
                  <w:color w:val="1155cc"/>
                  <w:u w:val="single"/>
                  <w:rtl w:val="0"/>
                </w:rPr>
                <w:t xml:space="preserve">http://data.vlaanderen.be</w:t>
              </w:r>
            </w:hyperlink>
            <w:r w:rsidDel="00000000" w:rsidR="00000000" w:rsidRPr="00000000">
              <w:rPr>
                <w:rtl w:val="0"/>
              </w:rPr>
              <w:t xml:space="preserve">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Issue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4">
              <w:r w:rsidDel="00000000" w:rsidR="00000000" w:rsidRPr="00000000">
                <w:rPr>
                  <w:color w:val="1155cc"/>
                  <w:u w:val="single"/>
                  <w:rtl w:val="0"/>
                </w:rPr>
                <w:t xml:space="preserve">https://github.com/Informatievlaanderen/OSLO-Public-Discussion/issues</w:t>
              </w:r>
            </w:hyperlink>
            <w:r w:rsidDel="00000000" w:rsidR="00000000" w:rsidRPr="00000000">
              <w:rPr>
                <w:rtl w:val="0"/>
              </w:rPr>
              <w:t xml:space="preserve"> </w:t>
            </w:r>
          </w:p>
        </w:tc>
      </w:tr>
    </w:tbl>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pStyle w:val="Heading1"/>
        <w:numPr>
          <w:ilvl w:val="0"/>
          <w:numId w:val="1"/>
        </w:numPr>
        <w:ind w:left="432" w:hanging="432"/>
        <w:contextualSpacing w:val="0"/>
        <w:rPr/>
      </w:pPr>
      <w:r w:rsidDel="00000000" w:rsidR="00000000" w:rsidRPr="00000000">
        <w:rPr>
          <w:rtl w:val="0"/>
        </w:rPr>
        <w:t xml:space="preserve">Context</w:t>
      </w:r>
    </w:p>
    <w:p w:rsidR="00000000" w:rsidDel="00000000" w:rsidP="00000000" w:rsidRDefault="00000000" w:rsidRPr="00000000" w14:paraId="00000017">
      <w:pPr>
        <w:contextualSpacing w:val="0"/>
        <w:jc w:val="both"/>
        <w:rPr/>
      </w:pPr>
      <w:r w:rsidDel="00000000" w:rsidR="00000000" w:rsidRPr="00000000">
        <w:rPr>
          <w:rtl w:val="0"/>
        </w:rPr>
        <w:t xml:space="preserve">De Vlaamse overheid zet in op een eenduidige standaard voor de uitwisseling van informatie. Het is de bedoeling om te zorgen voor meer samenhang en een betere vindbaarheid van data. Op die manier kan iedereen de gegevens makkelijker gebruiken.</w:t>
        <w:br w:type="textWrapping"/>
        <w:br w:type="textWrapping"/>
        <w:t xml:space="preserve">OSLO² volgt logisch op OSLO, een initiatief uit 2012 opgestart door de Vlaamse ICT-organisatie (V-ICT-OR). Hier werd de basis gelegd voor een open semantische informatiestandaard. Met de steun van de Vlaamse Overheid, werd dit project in een latere fase omgedoopt tot Open Standaarden voor Linkende Overheden (OSLO²).</w:t>
        <w:br w:type="textWrapping"/>
        <w:br w:type="textWrapping"/>
        <w:t xml:space="preserve">Met OSLO² zet informatie Vlaanderen samen met haar partners versterkt in op semantische interoperabiliteit. Het standaardiseren van de betekenis van informatie is essentieel om het Vlaanderen Radicaal Digitaal principe ‘vraag niet wat je al weet’ te realiseren. Daarnaast zijn semantische standaarden een belangrijke hefboom voor de interbestuurlijke dialoog en hergebruik van informatie door de private sector.</w:t>
      </w:r>
      <w:r w:rsidDel="00000000" w:rsidR="00000000" w:rsidRPr="00000000">
        <w:rPr>
          <w:rtl w:val="0"/>
        </w:rPr>
      </w:r>
    </w:p>
    <w:p w:rsidR="00000000" w:rsidDel="00000000" w:rsidP="00000000" w:rsidRDefault="00000000" w:rsidRPr="00000000" w14:paraId="00000018">
      <w:pPr>
        <w:pStyle w:val="Heading1"/>
        <w:numPr>
          <w:ilvl w:val="0"/>
          <w:numId w:val="1"/>
        </w:numPr>
        <w:ind w:left="432" w:hanging="432"/>
        <w:contextualSpacing w:val="0"/>
        <w:rPr/>
      </w:pP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OSLO-Organisatie voegt termen toe aan drie bestaande vocabularia waarmee organisaties worden beschreven.</w:t>
        <w:br w:type="textWrapping"/>
        <w:br w:type="textWrapping"/>
        <w:t xml:space="preserve">Het eerste vocabularium is W3C Organization Ontology, op zijn beurt al een uitbreiding van Organization van FOAF. Het voegt entiteiten als Organisatie-eenheid, Formele Organisatie en Samenwerkingsverband toe. Ook vestigingen kunnen worden beschreven en er is aandacht voor gebeurtenissen zoals fusies van organisaties. W3C werkte ook de term Lidmaatschap van FOAF verder uit en er werd een entiteit Positie voorzien om de functie die een persoon uitoefent binnen een organisatie te kunnen beschrijven.</w:t>
        <w:br w:type="textWrapping"/>
        <w:br w:type="textWrapping"/>
        <w:t xml:space="preserve">Een verdere specialisatie van Formele Organisatie tot Geregistreerde Organisatie is gebaseerd op het W3C Registered Organization Vocabulary. Dit voegt termen toe om officieel geregistreerde organisaties te beschrijven bv. door middel van hun registratienummer en wettelijke naam.</w:t>
        <w:br w:type="textWrapping"/>
        <w:br w:type="textWrapping"/>
        <w:t xml:space="preserve">Tenslotte werd nog het ISA Core Public Organisation vocabularium bekeken. Dit vocabularium is van belang voor het ISA Core Public Service vocabularium omdat publieke dienstverlening gedefinieerd wordt door de publieke organisatie die verantwoordelijk is voor het inrichten ervan. Sommige kenmerken van publieke organisaties in dit vocabularium werden door ISA opgetild naar het organisatieniveau (bv. voorkeursnaam, doel, classificatie).</w:t>
      </w:r>
      <w:r w:rsidDel="00000000" w:rsidR="00000000" w:rsidRPr="00000000">
        <w:rPr>
          <w:rtl w:val="0"/>
        </w:rPr>
      </w:r>
    </w:p>
    <w:p w:rsidR="00000000" w:rsidDel="00000000" w:rsidP="00000000" w:rsidRDefault="00000000" w:rsidRPr="00000000" w14:paraId="0000001A">
      <w:pPr>
        <w:pStyle w:val="Heading2"/>
        <w:spacing w:after="240" w:before="0" w:lineRule="auto"/>
        <w:contextualSpacing w:val="0"/>
        <w:jc w:val="both"/>
        <w:rPr/>
      </w:pPr>
      <w:bookmarkStart w:colFirst="0" w:colLast="0" w:name="_8znuv9nd2pmu" w:id="0"/>
      <w:bookmarkEnd w:id="0"/>
      <w:r w:rsidDel="00000000" w:rsidR="00000000" w:rsidRPr="00000000">
        <w:rPr>
          <w:rtl w:val="0"/>
        </w:rPr>
        <w:t xml:space="preserve">3.1 Stakeholders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contextualSpacing w:val="0"/>
        <w:jc w:val="both"/>
        <w:rPr/>
      </w:pPr>
      <w:r w:rsidDel="00000000" w:rsidR="00000000" w:rsidRPr="00000000">
        <w:rPr>
          <w:rtl w:val="0"/>
        </w:rPr>
        <w:t xml:space="preserve">De belanghebbenden van dit traject zijn onder meer:</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Alle entiteiten van de Vlaamse overheid</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steden en gemeenten</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BOSA en de Kruispuntbank ondernemingen</w:t>
      </w:r>
    </w:p>
    <w:p w:rsidR="00000000" w:rsidDel="00000000" w:rsidP="00000000" w:rsidRDefault="00000000" w:rsidRPr="00000000" w14:paraId="0000001F">
      <w:pPr>
        <w:pStyle w:val="Heading2"/>
        <w:spacing w:after="240" w:before="0" w:lineRule="auto"/>
        <w:contextualSpacing w:val="0"/>
        <w:jc w:val="both"/>
        <w:rPr/>
      </w:pPr>
      <w:bookmarkStart w:colFirst="0" w:colLast="0" w:name="_6zzx7ifu48pn" w:id="1"/>
      <w:bookmarkEnd w:id="1"/>
      <w:r w:rsidDel="00000000" w:rsidR="00000000" w:rsidRPr="00000000">
        <w:rPr>
          <w:rtl w:val="0"/>
        </w:rPr>
        <w:t xml:space="preserve">3.2 Succes criteria</w:t>
      </w:r>
    </w:p>
    <w:p w:rsidR="00000000" w:rsidDel="00000000" w:rsidP="00000000" w:rsidRDefault="00000000" w:rsidRPr="00000000" w14:paraId="00000020">
      <w:pPr>
        <w:contextualSpacing w:val="0"/>
        <w:rPr/>
      </w:pPr>
      <w:r w:rsidDel="00000000" w:rsidR="00000000" w:rsidRPr="00000000">
        <w:rPr>
          <w:rtl w:val="0"/>
        </w:rPr>
        <w:t xml:space="preserve">Deze werkgroep zal als een succes worden beschouwd wanneer de deliverables wijdverspreid gebruikt en toegepast worden. In het bijzonder lijsten we volgende criteria op:</w:t>
      </w:r>
    </w:p>
    <w:p w:rsidR="00000000" w:rsidDel="00000000" w:rsidP="00000000" w:rsidRDefault="00000000" w:rsidRPr="00000000" w14:paraId="00000021">
      <w:pPr>
        <w:numPr>
          <w:ilvl w:val="0"/>
          <w:numId w:val="3"/>
        </w:numPr>
        <w:ind w:left="720" w:hanging="360"/>
        <w:contextualSpacing w:val="1"/>
        <w:rPr>
          <w:u w:val="none"/>
        </w:rPr>
      </w:pPr>
      <w:r w:rsidDel="00000000" w:rsidR="00000000" w:rsidRPr="00000000">
        <w:rPr>
          <w:rtl w:val="0"/>
        </w:rPr>
        <w:t xml:space="preserve">Er is maximaal afgestemd met alle stakeholders door representativiteit tijdens de werkgroepsessies.</w:t>
      </w:r>
    </w:p>
    <w:p w:rsidR="00000000" w:rsidDel="00000000" w:rsidP="00000000" w:rsidRDefault="00000000" w:rsidRPr="00000000" w14:paraId="00000022">
      <w:pPr>
        <w:numPr>
          <w:ilvl w:val="0"/>
          <w:numId w:val="3"/>
        </w:numPr>
        <w:ind w:left="720" w:hanging="360"/>
        <w:contextualSpacing w:val="1"/>
        <w:rPr>
          <w:u w:val="none"/>
        </w:rPr>
      </w:pPr>
      <w:r w:rsidDel="00000000" w:rsidR="00000000" w:rsidRPr="00000000">
        <w:rPr>
          <w:rtl w:val="0"/>
        </w:rPr>
        <w:t xml:space="preserve">De werkgroep sessies resulteren in een stabiele specificatie die een consensus vertegenwoordigd van alle deelnemers. </w:t>
      </w:r>
    </w:p>
    <w:p w:rsidR="00000000" w:rsidDel="00000000" w:rsidP="00000000" w:rsidRDefault="00000000" w:rsidRPr="00000000" w14:paraId="00000023">
      <w:pPr>
        <w:numPr>
          <w:ilvl w:val="0"/>
          <w:numId w:val="3"/>
        </w:numPr>
        <w:ind w:left="720" w:hanging="360"/>
        <w:contextualSpacing w:val="1"/>
        <w:rPr>
          <w:u w:val="none"/>
        </w:rPr>
      </w:pPr>
      <w:r w:rsidDel="00000000" w:rsidR="00000000" w:rsidRPr="00000000">
        <w:rPr>
          <w:rtl w:val="0"/>
        </w:rPr>
        <w:t xml:space="preserve">De specificatie wordt aanvaard door de werkgroep datastandaarden en het stuurorgaan Vlaams informatie- en ICT beleid.</w:t>
      </w:r>
    </w:p>
    <w:p w:rsidR="00000000" w:rsidDel="00000000" w:rsidP="00000000" w:rsidRDefault="00000000" w:rsidRPr="00000000" w14:paraId="00000024">
      <w:pPr>
        <w:numPr>
          <w:ilvl w:val="0"/>
          <w:numId w:val="3"/>
        </w:numPr>
        <w:ind w:left="720" w:hanging="360"/>
        <w:contextualSpacing w:val="1"/>
        <w:rPr>
          <w:u w:val="none"/>
        </w:rPr>
      </w:pPr>
      <w:r w:rsidDel="00000000" w:rsidR="00000000" w:rsidRPr="00000000">
        <w:rPr>
          <w:rtl w:val="0"/>
        </w:rPr>
        <w:t xml:space="preserve">Er zijn tools ter beschikking om implementaties te ondersteunen en te valideren.</w:t>
      </w:r>
    </w:p>
    <w:p w:rsidR="00000000" w:rsidDel="00000000" w:rsidP="00000000" w:rsidRDefault="00000000" w:rsidRPr="00000000" w14:paraId="00000025">
      <w:pPr>
        <w:numPr>
          <w:ilvl w:val="0"/>
          <w:numId w:val="3"/>
        </w:numPr>
        <w:ind w:left="720" w:hanging="360"/>
        <w:contextualSpacing w:val="1"/>
        <w:rPr>
          <w:u w:val="none"/>
        </w:rPr>
      </w:pPr>
      <w:r w:rsidDel="00000000" w:rsidR="00000000" w:rsidRPr="00000000">
        <w:rPr>
          <w:rtl w:val="0"/>
        </w:rPr>
        <w:t xml:space="preserve">De specificatie werd geïmplementeerd in minstens één proof-of-concept die de meerwaarde van de specificatie in de praktijk bewijzen. </w:t>
      </w:r>
    </w:p>
    <w:p w:rsidR="00000000" w:rsidDel="00000000" w:rsidP="00000000" w:rsidRDefault="00000000" w:rsidRPr="00000000" w14:paraId="00000026">
      <w:pPr>
        <w:pStyle w:val="Heading1"/>
        <w:numPr>
          <w:ilvl w:val="0"/>
          <w:numId w:val="1"/>
        </w:numPr>
        <w:ind w:left="432" w:hanging="432"/>
        <w:contextualSpacing w:val="0"/>
        <w:rPr/>
      </w:pPr>
      <w:r w:rsidDel="00000000" w:rsidR="00000000" w:rsidRPr="00000000">
        <w:rPr>
          <w:rtl w:val="0"/>
        </w:rPr>
        <w:t xml:space="preserve">Deliverables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De werkgroep zal de volgende deliverables opleveren:</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Vocabularium met termen en bijbehorende definities rond het thema ‘Organisatie’</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Een ‘basis’ applicatieprofiel met de info die binnen OSLO relevant wordt geacht voor het uitwisselen van gegevens over organisaties.</w:t>
      </w:r>
      <w:r w:rsidDel="00000000" w:rsidR="00000000" w:rsidRPr="00000000">
        <w:rPr>
          <w:rtl w:val="0"/>
        </w:rPr>
      </w:r>
    </w:p>
    <w:p w:rsidR="00000000" w:rsidDel="00000000" w:rsidP="00000000" w:rsidRDefault="00000000" w:rsidRPr="00000000" w14:paraId="0000002A">
      <w:pPr>
        <w:pStyle w:val="Heading1"/>
        <w:numPr>
          <w:ilvl w:val="0"/>
          <w:numId w:val="1"/>
        </w:numPr>
        <w:ind w:left="432" w:hanging="432"/>
        <w:contextualSpacing w:val="0"/>
        <w:rPr/>
      </w:pPr>
      <w:r w:rsidDel="00000000" w:rsidR="00000000" w:rsidRPr="00000000">
        <w:rPr>
          <w:rtl w:val="0"/>
        </w:rPr>
        <w:t xml:space="preserve">Mijlpalen en timing</w:t>
      </w:r>
      <w:r w:rsidDel="00000000" w:rsidR="00000000" w:rsidRPr="00000000">
        <w:rPr>
          <w:rtl w:val="0"/>
        </w:rPr>
      </w:r>
    </w:p>
    <w:tbl>
      <w:tblPr>
        <w:tblStyle w:val="Table2"/>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725"/>
        <w:tblGridChange w:id="0">
          <w:tblGrid>
            <w:gridCol w:w="2205"/>
            <w:gridCol w:w="772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Mijlpaal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Publieke werkgroepsessies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Januari - maart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240" w:lineRule="auto"/>
              <w:contextualSpacing w:val="0"/>
              <w:rPr/>
            </w:pPr>
            <w:r w:rsidDel="00000000" w:rsidR="00000000" w:rsidRPr="00000000">
              <w:rPr>
                <w:rtl w:val="0"/>
              </w:rPr>
              <w:t xml:space="preserve">Finalisatie specificatie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31 maart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before="0" w:line="240" w:lineRule="auto"/>
              <w:contextualSpacing w:val="0"/>
              <w:rPr/>
            </w:pPr>
            <w:r w:rsidDel="00000000" w:rsidR="00000000" w:rsidRPr="00000000">
              <w:rPr>
                <w:rtl w:val="0"/>
              </w:rPr>
              <w:t xml:space="preserve">Start publieke reviewperiode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9 mei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contextualSpacing w:val="0"/>
              <w:rPr/>
            </w:pPr>
            <w:r w:rsidDel="00000000" w:rsidR="00000000" w:rsidRPr="00000000">
              <w:rPr>
                <w:rtl w:val="0"/>
              </w:rPr>
              <w:t xml:space="preserve">Webcast en einde publieke reviewperiode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29 mei 2018</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contextualSpacing w:val="0"/>
              <w:rPr/>
            </w:pPr>
            <w:r w:rsidDel="00000000" w:rsidR="00000000" w:rsidRPr="00000000">
              <w:rPr>
                <w:rtl w:val="0"/>
              </w:rPr>
              <w:t xml:space="preserve">Validatie als standaard door Werkgroep Datastandaarden</w:t>
            </w:r>
          </w:p>
        </w:tc>
      </w:tr>
    </w:tbl>
    <w:p w:rsidR="00000000" w:rsidDel="00000000" w:rsidP="00000000" w:rsidRDefault="00000000" w:rsidRPr="00000000" w14:paraId="00000038">
      <w:pPr>
        <w:spacing w:after="240" w:before="0" w:lineRule="auto"/>
        <w:contextualSpacing w:val="0"/>
        <w:jc w:val="both"/>
        <w:rPr>
          <w:b w:val="1"/>
        </w:rPr>
      </w:pPr>
      <w:r w:rsidDel="00000000" w:rsidR="00000000" w:rsidRPr="00000000">
        <w:rPr>
          <w:rtl w:val="0"/>
        </w:rPr>
      </w:r>
    </w:p>
    <w:p w:rsidR="00000000" w:rsidDel="00000000" w:rsidP="00000000" w:rsidRDefault="00000000" w:rsidRPr="00000000" w14:paraId="00000039">
      <w:pPr>
        <w:pStyle w:val="Heading1"/>
        <w:numPr>
          <w:ilvl w:val="0"/>
          <w:numId w:val="1"/>
        </w:numPr>
        <w:ind w:left="432" w:hanging="432"/>
        <w:contextualSpacing w:val="0"/>
        <w:rPr/>
      </w:pPr>
      <w:r w:rsidDel="00000000" w:rsidR="00000000" w:rsidRPr="00000000">
        <w:rPr>
          <w:rtl w:val="0"/>
        </w:rPr>
        <w:t xml:space="preserve">Afhankelijkheden</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Tijdens dit traject zal afgestemd worden met de volgende bestaande initiatieven:</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Informatiemodel KSZ en Rijksregister</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Regorg Vocabulary</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W3C Organization Ontology</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ISA Core Public Organisation Vocabulary</w:t>
      </w:r>
      <w:r w:rsidDel="00000000" w:rsidR="00000000" w:rsidRPr="00000000">
        <w:rPr>
          <w:rtl w:val="0"/>
        </w:rPr>
      </w:r>
    </w:p>
    <w:p w:rsidR="00000000" w:rsidDel="00000000" w:rsidP="00000000" w:rsidRDefault="00000000" w:rsidRPr="00000000" w14:paraId="0000003F">
      <w:pPr>
        <w:spacing w:after="200" w:before="0" w:line="276" w:lineRule="auto"/>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sectPr>
      <w:type w:val="continuous"/>
      <w:pgSz w:h="16838" w:w="11906"/>
      <w:pgMar w:bottom="2552" w:top="2211" w:left="1134" w:right="85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tabs>
        <w:tab w:val="right" w:pos="9923"/>
      </w:tabs>
      <w:spacing w:line="240" w:lineRule="auto"/>
      <w:contextualSpacing w:val="0"/>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color w:val="373636"/>
        <w:sz w:val="16"/>
        <w:szCs w:val="16"/>
        <w:rtl w:val="0"/>
      </w:rPr>
      <w:t xml:space="preserve">Werkgroep Charter - OSLO Organisatie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tab/>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www.vlaanderen.be/informatievlaanderen</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color w:val="373636"/>
        <w:sz w:val="16"/>
        <w:szCs w:val="16"/>
        <w:rtl w:val="0"/>
      </w:rPr>
      <w:t xml:space="preserve">Werkgroep Charter - OSLO Organisatie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color w:val="373636"/>
        <w:sz w:val="32"/>
        <w:szCs w:val="32"/>
        <w:rtl w:val="0"/>
      </w:rPr>
      <w:t xml:space="preserve">Werkgroep Charter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118829</wp:posOffset>
          </wp:positionH>
          <wp:positionV relativeFrom="paragraph">
            <wp:posOffset>544706</wp:posOffset>
          </wp:positionV>
          <wp:extent cx="3213473" cy="658399"/>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213473" cy="658399"/>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432" w:lineRule="auto"/>
      <w:ind w:left="432" w:hanging="432"/>
      <w:contextualSpacing w:val="0"/>
    </w:pPr>
    <w:rPr>
      <w:b w:val="1"/>
      <w:smallCaps w:val="1"/>
      <w:color w:val="373636"/>
      <w:sz w:val="36"/>
      <w:szCs w:val="36"/>
    </w:rPr>
  </w:style>
  <w:style w:type="paragraph" w:styleId="Heading2">
    <w:name w:val="heading 2"/>
    <w:basedOn w:val="Normal"/>
    <w:next w:val="Normal"/>
    <w:pPr>
      <w:keepNext w:val="1"/>
      <w:keepLines w:val="1"/>
      <w:spacing w:after="320" w:before="360" w:line="400" w:lineRule="auto"/>
      <w:ind w:left="576" w:hanging="576"/>
      <w:contextualSpacing w:val="0"/>
    </w:pPr>
    <w:rPr>
      <w:b w:val="1"/>
      <w:smallCaps w:val="1"/>
      <w:color w:val="373636"/>
      <w:sz w:val="32"/>
      <w:szCs w:val="32"/>
    </w:rPr>
  </w:style>
  <w:style w:type="paragraph" w:styleId="Heading3">
    <w:name w:val="heading 3"/>
    <w:basedOn w:val="Normal"/>
    <w:next w:val="Normal"/>
    <w:pPr>
      <w:keepNext w:val="1"/>
      <w:keepLines w:val="1"/>
      <w:spacing w:after="120" w:before="240" w:line="288" w:lineRule="auto"/>
      <w:ind w:left="720" w:hanging="720"/>
      <w:contextualSpacing w:val="0"/>
    </w:pPr>
    <w:rPr>
      <w:b w:val="1"/>
      <w:color w:val="6b6b6b"/>
      <w:sz w:val="24"/>
      <w:szCs w:val="24"/>
    </w:rPr>
  </w:style>
  <w:style w:type="paragraph" w:styleId="Heading4">
    <w:name w:val="heading 4"/>
    <w:basedOn w:val="Normal"/>
    <w:next w:val="Normal"/>
    <w:pPr>
      <w:keepNext w:val="1"/>
      <w:keepLines w:val="1"/>
      <w:spacing w:before="200" w:lineRule="auto"/>
      <w:ind w:left="864" w:hanging="864"/>
      <w:contextualSpacing w:val="0"/>
    </w:pPr>
    <w:rPr>
      <w:b w:val="1"/>
      <w:color w:val="6b6b6b"/>
    </w:rPr>
  </w:style>
  <w:style w:type="paragraph" w:styleId="Heading5">
    <w:name w:val="heading 5"/>
    <w:basedOn w:val="Normal"/>
    <w:next w:val="Normal"/>
    <w:pPr>
      <w:keepNext w:val="1"/>
      <w:keepLines w:val="1"/>
      <w:spacing w:before="200" w:lineRule="auto"/>
      <w:ind w:left="1008" w:hanging="1008"/>
      <w:contextualSpacing w:val="0"/>
    </w:pPr>
    <w:rPr>
      <w:color w:val="6b6b6b"/>
    </w:rPr>
  </w:style>
  <w:style w:type="paragraph" w:styleId="Heading6">
    <w:name w:val="heading 6"/>
    <w:basedOn w:val="Normal"/>
    <w:next w:val="Normal"/>
    <w:pPr>
      <w:keepNext w:val="1"/>
      <w:keepLines w:val="1"/>
      <w:spacing w:before="200" w:lineRule="auto"/>
      <w:ind w:left="1152" w:hanging="1152"/>
      <w:contextualSpacing w:val="0"/>
    </w:pPr>
    <w:rPr>
      <w:color w:val="6b6b6b"/>
    </w:rPr>
  </w:style>
  <w:style w:type="paragraph" w:styleId="Title">
    <w:name w:val="Title"/>
    <w:basedOn w:val="Normal"/>
    <w:next w:val="Normal"/>
    <w:pPr>
      <w:spacing w:after="840" w:before="720" w:line="240" w:lineRule="auto"/>
      <w:jc w:val="right"/>
    </w:pPr>
    <w:rPr>
      <w:b w:val="1"/>
      <w:smallCaps w:val="1"/>
      <w:sz w:val="72"/>
      <w:szCs w:val="72"/>
    </w:rPr>
  </w:style>
  <w:style w:type="paragraph" w:styleId="Subtitle">
    <w:name w:val="Subtitle"/>
    <w:basedOn w:val="Normal"/>
    <w:next w:val="Normal"/>
    <w:pPr>
      <w:spacing w:line="240" w:lineRule="auto"/>
      <w:jc w:val="right"/>
    </w:pPr>
    <w:rPr>
      <w:color w:val="6b6b6b"/>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yperlink" Target="http://data.vlaanderen.be" TargetMode="External"/><Relationship Id="rId12" Type="http://schemas.openxmlformats.org/officeDocument/2006/relationships/hyperlink" Target="https://overheid.vlaanderen.be/sites/default/files/documenten/ict-egov/licenties/hergebruik/modellicentie_gratis_hergebruik_v1_0.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yperlink" Target="https://github.com/Informatievlaanderen/OSLO-Public-Discussion/issues"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