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both"/>
        <w:rPr/>
      </w:pPr>
      <w:r w:rsidDel="00000000" w:rsidR="00000000" w:rsidRPr="00000000">
        <w:rPr>
          <w:b w:val="1"/>
          <w:rtl w:val="0"/>
        </w:rPr>
        <w:t xml:space="preserve">Informatie Vlaanderen </w:t>
      </w:r>
      <w:r w:rsidDel="00000000" w:rsidR="00000000" w:rsidRPr="00000000">
        <w:rPr>
          <w:rtl w:val="0"/>
        </w:rPr>
      </w:r>
    </w:p>
    <w:p w:rsidR="00000000" w:rsidDel="00000000" w:rsidP="00000000" w:rsidRDefault="00000000" w:rsidRPr="00000000" w14:paraId="00000001">
      <w:pPr>
        <w:contextualSpacing w:val="0"/>
        <w:jc w:val="both"/>
        <w:rPr/>
      </w:pPr>
      <w:r w:rsidDel="00000000" w:rsidR="00000000" w:rsidRPr="00000000">
        <w:rPr>
          <w:rtl w:val="0"/>
        </w:rPr>
        <w:t xml:space="preserve">Boudewijnlaan 30</w:t>
      </w:r>
    </w:p>
    <w:p w:rsidR="00000000" w:rsidDel="00000000" w:rsidP="00000000" w:rsidRDefault="00000000" w:rsidRPr="00000000" w14:paraId="00000002">
      <w:pPr>
        <w:contextualSpacing w:val="0"/>
        <w:jc w:val="both"/>
        <w:rPr/>
      </w:pPr>
      <w:r w:rsidDel="00000000" w:rsidR="00000000" w:rsidRPr="00000000">
        <w:rPr>
          <w:rtl w:val="0"/>
        </w:rPr>
        <w:t xml:space="preserve">1000 </w:t>
      </w:r>
    </w:p>
    <w:p w:rsidR="00000000" w:rsidDel="00000000" w:rsidP="00000000" w:rsidRDefault="00000000" w:rsidRPr="00000000" w14:paraId="00000003">
      <w:pPr>
        <w:contextualSpacing w:val="0"/>
        <w:jc w:val="both"/>
        <w:rPr/>
      </w:pPr>
      <w:r w:rsidDel="00000000" w:rsidR="00000000" w:rsidRPr="00000000">
        <w:rPr>
          <w:rtl w:val="0"/>
        </w:rPr>
        <w:t xml:space="preserve">Brussel</w:t>
      </w:r>
    </w:p>
    <w:p w:rsidR="00000000" w:rsidDel="00000000" w:rsidP="00000000" w:rsidRDefault="00000000" w:rsidRPr="00000000" w14:paraId="00000004">
      <w:pPr>
        <w:contextualSpacing w:val="0"/>
        <w:jc w:val="both"/>
        <w:rPr/>
      </w:pPr>
      <w:r w:rsidDel="00000000" w:rsidR="00000000" w:rsidRPr="00000000">
        <w:rPr>
          <w:b w:val="1"/>
          <w:rtl w:val="0"/>
        </w:rPr>
        <w:t xml:space="preserve">T </w:t>
      </w:r>
      <w:r w:rsidDel="00000000" w:rsidR="00000000" w:rsidRPr="00000000">
        <w:rPr>
          <w:rtl w:val="0"/>
        </w:rPr>
        <w:t xml:space="preserve">+32 (0)2 553 72 02</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Koningin Maria Hendrikaplein 70</w:t>
      </w:r>
    </w:p>
    <w:p w:rsidR="00000000" w:rsidDel="00000000" w:rsidP="00000000" w:rsidRDefault="00000000" w:rsidRPr="00000000" w14:paraId="00000007">
      <w:pPr>
        <w:contextualSpacing w:val="0"/>
        <w:jc w:val="both"/>
        <w:rPr/>
      </w:pPr>
      <w:r w:rsidDel="00000000" w:rsidR="00000000" w:rsidRPr="00000000">
        <w:rPr>
          <w:rtl w:val="0"/>
        </w:rPr>
        <w:t xml:space="preserve">9000 Gent </w:t>
      </w:r>
    </w:p>
    <w:p w:rsidR="00000000" w:rsidDel="00000000" w:rsidP="00000000" w:rsidRDefault="00000000" w:rsidRPr="00000000" w14:paraId="00000008">
      <w:pPr>
        <w:contextualSpacing w:val="0"/>
        <w:jc w:val="both"/>
        <w:rPr/>
      </w:pPr>
      <w:r w:rsidDel="00000000" w:rsidR="00000000" w:rsidRPr="00000000">
        <w:rPr>
          <w:b w:val="1"/>
          <w:rtl w:val="0"/>
        </w:rPr>
        <w:t xml:space="preserve">T</w:t>
      </w:r>
      <w:r w:rsidDel="00000000" w:rsidR="00000000" w:rsidRPr="00000000">
        <w:rPr>
          <w:rtl w:val="0"/>
        </w:rPr>
        <w:t xml:space="preserve"> +32 (0)9 276 15 00</w:t>
      </w:r>
    </w:p>
    <w:p w:rsidR="00000000" w:rsidDel="00000000" w:rsidP="00000000" w:rsidRDefault="00000000" w:rsidRPr="00000000" w14:paraId="00000009">
      <w:pPr>
        <w:contextualSpacing w:val="0"/>
        <w:jc w:val="both"/>
        <w:rPr/>
      </w:pPr>
      <w:r w:rsidDel="00000000" w:rsidR="00000000" w:rsidRPr="00000000">
        <w:rPr>
          <w:rtl w:val="0"/>
        </w:rPr>
        <w:t xml:space="preserve">informatie.vlaanderen@vlaanderen.be</w:t>
      </w:r>
    </w:p>
    <w:p w:rsidR="00000000" w:rsidDel="00000000" w:rsidP="00000000" w:rsidRDefault="00000000" w:rsidRPr="00000000" w14:paraId="0000000A">
      <w:pPr>
        <w:pStyle w:val="Subtitle"/>
        <w:contextualSpacing w:val="0"/>
        <w:jc w:val="both"/>
        <w:rPr/>
      </w:pPr>
      <w:r w:rsidDel="00000000" w:rsidR="00000000" w:rsidRPr="00000000">
        <w:rPr>
          <w:b w:val="1"/>
          <w:color w:val="fff200"/>
          <w:rtl w:val="0"/>
        </w:rPr>
        <w:t xml:space="preserve">///</w:t>
      </w:r>
      <w:r w:rsidDel="00000000" w:rsidR="00000000" w:rsidRPr="00000000">
        <w:rPr>
          <w:rtl w:val="0"/>
        </w:rPr>
        <w:t xml:space="preserve"> /Werkgroep Informatiemodel Slimme Subsidies/</w:t>
      </w:r>
    </w:p>
    <w:p w:rsidR="00000000" w:rsidDel="00000000" w:rsidP="00000000" w:rsidRDefault="00000000" w:rsidRPr="00000000" w14:paraId="0000000B">
      <w:pPr>
        <w:contextualSpacing w:val="0"/>
        <w:jc w:val="both"/>
        <w:rPr/>
      </w:pPr>
      <w:r w:rsidDel="00000000" w:rsidR="00000000" w:rsidRPr="00000000">
        <w:rPr>
          <w:b w:val="1"/>
          <w:color w:val="fff200"/>
          <w:rtl w:val="0"/>
        </w:rPr>
        <w:t xml:space="preserve">////////////////////////////////////////////////////////////////////////////////////////////////////////</w:t>
      </w: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Datum: 14/11/2017 – 13:00 – 14:30</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Locatie: </w:t>
      </w:r>
      <w:r w:rsidDel="00000000" w:rsidR="00000000" w:rsidRPr="00000000">
        <w:rPr/>
        <w:drawing>
          <wp:inline distB="0" distT="0" distL="0" distR="0">
            <wp:extent cx="139700" cy="139700"/>
            <wp:effectExtent b="0" l="0" r="0" t="0"/>
            <wp:docPr descr="Afbeeldingsresultaat voor map indicator icon" id="1" name="image2.png"/>
            <a:graphic>
              <a:graphicData uri="http://schemas.openxmlformats.org/drawingml/2006/picture">
                <pic:pic>
                  <pic:nvPicPr>
                    <pic:cNvPr descr="Afbeeldingsresultaat voor map indicator icon" id="0" name="image2.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rtl w:val="0"/>
        </w:rPr>
        <w:t xml:space="preserve">Boudewijngebouw Brussel</w:t>
      </w: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t xml:space="preserve">Aanwezig: Dorien Bauwens, </w:t>
      </w:r>
      <w:r w:rsidDel="00000000" w:rsidR="00000000" w:rsidRPr="00000000">
        <w:rPr>
          <w:rtl w:val="0"/>
        </w:rPr>
        <w:t xml:space="preserve">Sarah Spiessens, Michiel De Keyzer, Jens Scheerlinck</w:t>
      </w:r>
    </w:p>
    <w:p w:rsidR="00000000" w:rsidDel="00000000" w:rsidP="00000000" w:rsidRDefault="00000000" w:rsidRPr="00000000" w14:paraId="0000000F">
      <w:pPr>
        <w:contextualSpacing w:val="0"/>
        <w:jc w:val="both"/>
        <w:rPr/>
      </w:pPr>
      <w:r w:rsidDel="00000000" w:rsidR="00000000" w:rsidRPr="00000000">
        <w:rPr>
          <w:rtl w:val="0"/>
        </w:rPr>
        <w:t xml:space="preserve">Verslaggever: Jens Scheerlinck</w:t>
      </w:r>
    </w:p>
    <w:p w:rsidR="00000000" w:rsidDel="00000000" w:rsidP="00000000" w:rsidRDefault="00000000" w:rsidRPr="00000000" w14:paraId="00000010">
      <w:pPr>
        <w:contextualSpacing w:val="0"/>
        <w:jc w:val="both"/>
        <w:rPr>
          <w:color w:val="1155cc"/>
          <w:highlight w:val="white"/>
          <w:u w:val="single"/>
        </w:rPr>
      </w:pPr>
      <w:r w:rsidDel="00000000" w:rsidR="00000000" w:rsidRPr="00000000">
        <w:rPr>
          <w:rtl w:val="0"/>
        </w:rPr>
        <w:t xml:space="preserve">Bijlagen:</w:t>
      </w:r>
      <w:r w:rsidDel="00000000" w:rsidR="00000000" w:rsidRPr="00000000">
        <w:fldChar w:fldCharType="begin"/>
        <w:instrText xml:space="preserve"> HYPERLINK "https://drive.google.com/open?id=1DyT6eIptdiTW3u2o8mx3fyUdLs5_l9agKOL37fCB31o" </w:instrText>
        <w:fldChar w:fldCharType="separate"/>
      </w:r>
      <w:r w:rsidDel="00000000" w:rsidR="00000000" w:rsidRPr="00000000">
        <w:rPr>
          <w:rtl w:val="0"/>
        </w:rPr>
      </w:r>
    </w:p>
    <w:p w:rsidR="00000000" w:rsidDel="00000000" w:rsidP="00000000" w:rsidRDefault="00000000" w:rsidRPr="00000000" w14:paraId="00000011">
      <w:pPr>
        <w:numPr>
          <w:ilvl w:val="0"/>
          <w:numId w:val="3"/>
        </w:numPr>
        <w:ind w:left="940" w:hanging="360"/>
        <w:contextualSpacing w:val="1"/>
        <w:jc w:val="both"/>
        <w:rPr>
          <w:rFonts w:ascii="Calibri" w:cs="Calibri" w:eastAsia="Calibri" w:hAnsi="Calibri"/>
          <w:sz w:val="22"/>
          <w:szCs w:val="22"/>
        </w:rPr>
      </w:pPr>
      <w:r w:rsidDel="00000000" w:rsidR="00000000" w:rsidRPr="00000000">
        <w:fldChar w:fldCharType="end"/>
      </w:r>
      <w:hyperlink r:id="rId7">
        <w:r w:rsidDel="00000000" w:rsidR="00000000" w:rsidRPr="00000000">
          <w:rPr>
            <w:color w:val="1155cc"/>
            <w:u w:val="single"/>
            <w:rtl w:val="0"/>
          </w:rPr>
          <w:t xml:space="preserve">Besproken versie</w:t>
        </w:r>
      </w:hyperlink>
      <w:hyperlink r:id="rId8">
        <w:r w:rsidDel="00000000" w:rsidR="00000000" w:rsidRPr="00000000">
          <w:rPr>
            <w:color w:val="1155cc"/>
            <w:u w:val="single"/>
            <w:rtl w:val="0"/>
          </w:rPr>
          <w:t xml:space="preserve"> domeinmodel Slimme Subsidies</w:t>
        </w:r>
      </w:hyperlink>
      <w:r w:rsidDel="00000000" w:rsidR="00000000" w:rsidRPr="00000000">
        <w:rPr>
          <w:rtl w:val="0"/>
        </w:rPr>
      </w:r>
    </w:p>
    <w:p w:rsidR="00000000" w:rsidDel="00000000" w:rsidP="00000000" w:rsidRDefault="00000000" w:rsidRPr="00000000" w14:paraId="00000012">
      <w:pPr>
        <w:numPr>
          <w:ilvl w:val="0"/>
          <w:numId w:val="3"/>
        </w:numPr>
        <w:ind w:left="940" w:hanging="360"/>
        <w:contextualSpacing w:val="1"/>
        <w:jc w:val="both"/>
        <w:rPr>
          <w:u w:val="none"/>
        </w:rPr>
      </w:pPr>
      <w:hyperlink r:id="rId9">
        <w:r w:rsidDel="00000000" w:rsidR="00000000" w:rsidRPr="00000000">
          <w:rPr>
            <w:color w:val="1155cc"/>
            <w:u w:val="single"/>
            <w:rtl w:val="0"/>
          </w:rPr>
          <w:t xml:space="preserve">Actielijst</w:t>
        </w:r>
      </w:hyperlink>
      <w:r w:rsidDel="00000000" w:rsidR="00000000" w:rsidRPr="00000000">
        <w:rPr>
          <w:rtl w:val="0"/>
        </w:rPr>
      </w:r>
    </w:p>
    <w:p w:rsidR="00000000" w:rsidDel="00000000" w:rsidP="00000000" w:rsidRDefault="00000000" w:rsidRPr="00000000" w14:paraId="00000013">
      <w:pPr>
        <w:numPr>
          <w:ilvl w:val="0"/>
          <w:numId w:val="3"/>
        </w:numPr>
        <w:ind w:left="940" w:hanging="360"/>
        <w:contextualSpacing w:val="1"/>
        <w:jc w:val="both"/>
        <w:rPr/>
      </w:pPr>
      <w:r w:rsidDel="00000000" w:rsidR="00000000" w:rsidRPr="00000000">
        <w:fldChar w:fldCharType="begin"/>
        <w:instrText xml:space="preserve"> HYPERLINK "https://drive.google.com/open?id=1xgPRAFj3scQgjWv9MK4F5cb1gRBBgAZ5" </w:instrText>
        <w:fldChar w:fldCharType="separate"/>
      </w:r>
      <w:r w:rsidDel="00000000" w:rsidR="00000000" w:rsidRPr="00000000">
        <w:rPr>
          <w:rFonts w:ascii="Arial" w:cs="Arial" w:eastAsia="Arial" w:hAnsi="Arial"/>
          <w:color w:val="1155cc"/>
          <w:sz w:val="19"/>
          <w:szCs w:val="19"/>
          <w:highlight w:val="white"/>
          <w:u w:val="single"/>
          <w:rtl w:val="0"/>
        </w:rPr>
        <w:t xml:space="preserve">Voorbeeld use cases: een type 1 en een type 4 met gedeeltelijke uitbetaling én terugvordering</w:t>
      </w:r>
    </w:p>
    <w:p w:rsidR="00000000" w:rsidDel="00000000" w:rsidP="00000000" w:rsidRDefault="00000000" w:rsidRPr="00000000" w14:paraId="00000014">
      <w:pPr>
        <w:numPr>
          <w:ilvl w:val="0"/>
          <w:numId w:val="3"/>
        </w:numPr>
        <w:ind w:left="940" w:hanging="360"/>
        <w:contextualSpacing w:val="1"/>
        <w:jc w:val="both"/>
        <w:rPr/>
      </w:pPr>
      <w:r w:rsidDel="00000000" w:rsidR="00000000" w:rsidRPr="00000000">
        <w:fldChar w:fldCharType="end"/>
      </w:r>
      <w:r w:rsidDel="00000000" w:rsidR="00000000" w:rsidRPr="00000000">
        <w:fldChar w:fldCharType="begin"/>
        <w:instrText xml:space="preserve"> HYPERLINK "https://drive.google.com/open?id=1mDKZDdfsp7uzj7ALzOjSFk4m930roQcCw1CvAqAbTyE" </w:instrText>
        <w:fldChar w:fldCharType="separate"/>
      </w:r>
      <w:r w:rsidDel="00000000" w:rsidR="00000000" w:rsidRPr="00000000">
        <w:rPr>
          <w:rFonts w:ascii="Arial" w:cs="Arial" w:eastAsia="Arial" w:hAnsi="Arial"/>
          <w:color w:val="1155cc"/>
          <w:sz w:val="19"/>
          <w:szCs w:val="19"/>
          <w:highlight w:val="white"/>
          <w:u w:val="single"/>
          <w:rtl w:val="0"/>
        </w:rPr>
        <w:t xml:space="preserve">Mapping tussen Orafin en het informatiemodel Slimme Subsidies </w:t>
      </w:r>
    </w:p>
    <w:p w:rsidR="00000000" w:rsidDel="00000000" w:rsidP="00000000" w:rsidRDefault="00000000" w:rsidRPr="00000000" w14:paraId="00000015">
      <w:pPr>
        <w:numPr>
          <w:ilvl w:val="0"/>
          <w:numId w:val="3"/>
        </w:numPr>
        <w:ind w:left="940" w:hanging="360"/>
        <w:contextualSpacing w:val="1"/>
        <w:jc w:val="both"/>
        <w:rPr>
          <w:u w:val="none"/>
        </w:rPr>
      </w:pPr>
      <w:r w:rsidDel="00000000" w:rsidR="00000000" w:rsidRPr="00000000">
        <w:fldChar w:fldCharType="end"/>
      </w:r>
      <w:hyperlink r:id="rId10">
        <w:r w:rsidDel="00000000" w:rsidR="00000000" w:rsidRPr="00000000">
          <w:rPr>
            <w:rFonts w:ascii="Arial" w:cs="Arial" w:eastAsia="Arial" w:hAnsi="Arial"/>
            <w:color w:val="1155cc"/>
            <w:sz w:val="19"/>
            <w:szCs w:val="19"/>
            <w:highlight w:val="white"/>
            <w:u w:val="single"/>
            <w:rtl w:val="0"/>
          </w:rPr>
          <w:t xml:space="preserve">Mapping tussen European State Aid vocabulary en informatiemodel Slimme Subsidies </w:t>
        </w:r>
      </w:hyperlink>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b w:val="1"/>
          <w:color w:val="fff200"/>
          <w:rtl w:val="0"/>
        </w:rPr>
        <w:t xml:space="preserve">////////////////////////////////////////////////////////////////////////////////////////////////////////</w:t>
      </w:r>
      <w:r w:rsidDel="00000000" w:rsidR="00000000" w:rsidRPr="00000000">
        <w:rPr>
          <w:rtl w:val="0"/>
        </w:rPr>
      </w:r>
    </w:p>
    <w:p w:rsidR="00000000" w:rsidDel="00000000" w:rsidP="00000000" w:rsidRDefault="00000000" w:rsidRPr="00000000" w14:paraId="00000017">
      <w:pPr>
        <w:contextualSpacing w:val="0"/>
        <w:jc w:val="both"/>
        <w:rPr/>
        <w:sectPr>
          <w:headerReference r:id="rId11" w:type="default"/>
          <w:headerReference r:id="rId12" w:type="first"/>
          <w:footerReference r:id="rId13" w:type="default"/>
          <w:footerReference r:id="rId14" w:type="first"/>
          <w:pgSz w:h="16838" w:w="11906"/>
          <w:pgMar w:bottom="2552" w:top="2211" w:left="1134" w:right="851" w:header="0"/>
          <w:pgNumType w:start="1"/>
          <w:titlePg w:val="1"/>
        </w:sectPr>
      </w:pPr>
      <w:r w:rsidDel="00000000" w:rsidR="00000000" w:rsidRPr="00000000">
        <w:rPr>
          <w:rtl w:val="0"/>
        </w:rPr>
      </w:r>
    </w:p>
    <w:p w:rsidR="00000000" w:rsidDel="00000000" w:rsidP="00000000" w:rsidRDefault="00000000" w:rsidRPr="00000000" w14:paraId="00000018">
      <w:pPr>
        <w:pStyle w:val="Heading1"/>
        <w:numPr>
          <w:ilvl w:val="0"/>
          <w:numId w:val="4"/>
        </w:numPr>
        <w:pBdr>
          <w:top w:space="0" w:sz="0" w:val="nil"/>
          <w:left w:space="0" w:sz="0" w:val="nil"/>
          <w:bottom w:space="0" w:sz="0" w:val="nil"/>
          <w:right w:space="0" w:sz="0" w:val="nil"/>
          <w:between w:space="0" w:sz="0" w:val="nil"/>
        </w:pBdr>
        <w:shd w:fill="auto" w:val="clear"/>
        <w:ind w:left="432" w:hanging="432"/>
        <w:contextualSpacing w:val="0"/>
        <w:jc w:val="both"/>
        <w:rPr/>
      </w:pPr>
      <w:bookmarkStart w:colFirst="0" w:colLast="0" w:name="_y2myknm7edrq" w:id="0"/>
      <w:bookmarkEnd w:id="0"/>
      <w:r w:rsidDel="00000000" w:rsidR="00000000" w:rsidRPr="00000000">
        <w:rPr>
          <w:rtl w:val="0"/>
        </w:rPr>
        <w:t xml:space="preserve">Doelstelling</w:t>
      </w:r>
    </w:p>
    <w:p w:rsidR="00000000" w:rsidDel="00000000" w:rsidP="00000000" w:rsidRDefault="00000000" w:rsidRPr="00000000" w14:paraId="00000019">
      <w:pPr>
        <w:numPr>
          <w:ilvl w:val="0"/>
          <w:numId w:val="2"/>
        </w:numPr>
        <w:ind w:left="720" w:hanging="360"/>
        <w:contextualSpacing w:val="1"/>
        <w:rPr>
          <w:u w:val="none"/>
        </w:rPr>
      </w:pPr>
      <w:r w:rsidDel="00000000" w:rsidR="00000000" w:rsidRPr="00000000">
        <w:rPr>
          <w:rtl w:val="0"/>
        </w:rPr>
        <w:t xml:space="preserve">Toelichten van wijzigingen aan model </w:t>
      </w:r>
    </w:p>
    <w:p w:rsidR="00000000" w:rsidDel="00000000" w:rsidP="00000000" w:rsidRDefault="00000000" w:rsidRPr="00000000" w14:paraId="0000001A">
      <w:pPr>
        <w:numPr>
          <w:ilvl w:val="1"/>
          <w:numId w:val="2"/>
        </w:numPr>
        <w:ind w:left="1440" w:hanging="360"/>
        <w:contextualSpacing w:val="1"/>
        <w:rPr>
          <w:u w:val="none"/>
        </w:rPr>
      </w:pPr>
      <w:r w:rsidDel="00000000" w:rsidR="00000000" w:rsidRPr="00000000">
        <w:rPr>
          <w:rtl w:val="0"/>
        </w:rPr>
        <w:t xml:space="preserve">Op basis van vorig overleg</w:t>
      </w:r>
    </w:p>
    <w:p w:rsidR="00000000" w:rsidDel="00000000" w:rsidP="00000000" w:rsidRDefault="00000000" w:rsidRPr="00000000" w14:paraId="0000001B">
      <w:pPr>
        <w:numPr>
          <w:ilvl w:val="1"/>
          <w:numId w:val="2"/>
        </w:numPr>
        <w:ind w:left="1440" w:hanging="360"/>
        <w:contextualSpacing w:val="1"/>
        <w:rPr>
          <w:u w:val="none"/>
        </w:rPr>
      </w:pPr>
      <w:r w:rsidDel="00000000" w:rsidR="00000000" w:rsidRPr="00000000">
        <w:rPr>
          <w:rtl w:val="0"/>
        </w:rPr>
        <w:t xml:space="preserve">Afstemming met lokale besluiten </w:t>
      </w:r>
    </w:p>
    <w:p w:rsidR="00000000" w:rsidDel="00000000" w:rsidP="00000000" w:rsidRDefault="00000000" w:rsidRPr="00000000" w14:paraId="0000001C">
      <w:pPr>
        <w:numPr>
          <w:ilvl w:val="1"/>
          <w:numId w:val="2"/>
        </w:numPr>
        <w:ind w:left="1440" w:hanging="360"/>
        <w:contextualSpacing w:val="1"/>
        <w:rPr>
          <w:u w:val="none"/>
        </w:rPr>
      </w:pPr>
      <w:r w:rsidDel="00000000" w:rsidR="00000000" w:rsidRPr="00000000">
        <w:rPr>
          <w:rtl w:val="0"/>
        </w:rPr>
        <w:t xml:space="preserve">In de context van staatssteun </w:t>
      </w:r>
    </w:p>
    <w:p w:rsidR="00000000" w:rsidDel="00000000" w:rsidP="00000000" w:rsidRDefault="00000000" w:rsidRPr="00000000" w14:paraId="0000001D">
      <w:pPr>
        <w:numPr>
          <w:ilvl w:val="0"/>
          <w:numId w:val="2"/>
        </w:numPr>
        <w:ind w:left="720" w:hanging="360"/>
        <w:contextualSpacing w:val="1"/>
        <w:rPr>
          <w:u w:val="none"/>
        </w:rPr>
      </w:pPr>
      <w:r w:rsidDel="00000000" w:rsidR="00000000" w:rsidRPr="00000000">
        <w:rPr>
          <w:rtl w:val="0"/>
        </w:rPr>
        <w:t xml:space="preserve">Bespreken van openstaande punten a.d.h.v. de actielijst. </w:t>
        <w:br w:type="textWrapping"/>
        <w:t xml:space="preserve">Belangrijkste punten:</w:t>
      </w:r>
    </w:p>
    <w:p w:rsidR="00000000" w:rsidDel="00000000" w:rsidP="00000000" w:rsidRDefault="00000000" w:rsidRPr="00000000" w14:paraId="0000001E">
      <w:pPr>
        <w:numPr>
          <w:ilvl w:val="1"/>
          <w:numId w:val="2"/>
        </w:numPr>
        <w:ind w:left="1440" w:hanging="360"/>
        <w:contextualSpacing w:val="1"/>
        <w:rPr>
          <w:u w:val="none"/>
        </w:rPr>
      </w:pPr>
      <w:r w:rsidDel="00000000" w:rsidR="00000000" w:rsidRPr="00000000">
        <w:rPr>
          <w:rtl w:val="0"/>
        </w:rPr>
        <w:t xml:space="preserve">S1: bespreken van rollen die van belang zijn in de context van subsidies (zie ook bijgevoegde e-mail)</w:t>
      </w:r>
    </w:p>
    <w:p w:rsidR="00000000" w:rsidDel="00000000" w:rsidP="00000000" w:rsidRDefault="00000000" w:rsidRPr="00000000" w14:paraId="0000001F">
      <w:pPr>
        <w:numPr>
          <w:ilvl w:val="1"/>
          <w:numId w:val="2"/>
        </w:numPr>
        <w:ind w:left="1440" w:hanging="360"/>
        <w:contextualSpacing w:val="1"/>
        <w:rPr>
          <w:u w:val="none"/>
        </w:rPr>
      </w:pPr>
      <w:r w:rsidDel="00000000" w:rsidR="00000000" w:rsidRPr="00000000">
        <w:rPr>
          <w:rtl w:val="0"/>
        </w:rPr>
        <w:t xml:space="preserve">S18, S22, S23: use case rond rapportering van staatssteun (EU niveau) en nodige informatie in meer detail bespreken </w:t>
      </w:r>
    </w:p>
    <w:p w:rsidR="00000000" w:rsidDel="00000000" w:rsidP="00000000" w:rsidRDefault="00000000" w:rsidRPr="00000000" w14:paraId="00000020">
      <w:pPr>
        <w:numPr>
          <w:ilvl w:val="1"/>
          <w:numId w:val="2"/>
        </w:numPr>
        <w:ind w:left="1440" w:hanging="360"/>
        <w:contextualSpacing w:val="1"/>
        <w:rPr>
          <w:u w:val="none"/>
        </w:rPr>
      </w:pPr>
      <w:r w:rsidDel="00000000" w:rsidR="00000000" w:rsidRPr="00000000">
        <w:rPr>
          <w:rtl w:val="0"/>
        </w:rPr>
        <w:t xml:space="preserve">S20: bespreken van verschillende opties om bedragen (aangevraagd - toegekend - uitbetaald) weer te geven.</w:t>
      </w:r>
    </w:p>
    <w:p w:rsidR="00000000" w:rsidDel="00000000" w:rsidP="00000000" w:rsidRDefault="00000000" w:rsidRPr="00000000" w14:paraId="00000021">
      <w:pPr>
        <w:numPr>
          <w:ilvl w:val="1"/>
          <w:numId w:val="2"/>
        </w:numPr>
        <w:ind w:left="1440" w:hanging="360"/>
        <w:contextualSpacing w:val="1"/>
        <w:rPr>
          <w:u w:val="none"/>
        </w:rPr>
      </w:pPr>
      <w:r w:rsidDel="00000000" w:rsidR="00000000" w:rsidRPr="00000000">
        <w:rPr>
          <w:rtl w:val="0"/>
        </w:rPr>
        <w:t xml:space="preserve">S21: hoe capteren van voorwaarden die worden opgelegd bij een besluit </w:t>
      </w:r>
    </w:p>
    <w:p w:rsidR="00000000" w:rsidDel="00000000" w:rsidP="00000000" w:rsidRDefault="00000000" w:rsidRPr="00000000" w14:paraId="00000022">
      <w:pPr>
        <w:numPr>
          <w:ilvl w:val="0"/>
          <w:numId w:val="2"/>
        </w:numPr>
        <w:ind w:left="720" w:hanging="360"/>
        <w:contextualSpacing w:val="1"/>
        <w:rPr>
          <w:u w:val="none"/>
        </w:rPr>
      </w:pPr>
      <w:r w:rsidDel="00000000" w:rsidR="00000000" w:rsidRPr="00000000">
        <w:rPr>
          <w:rtl w:val="0"/>
        </w:rPr>
        <w:t xml:space="preserve">Overlopen van voorbeeld use cases. </w:t>
      </w:r>
    </w:p>
    <w:p w:rsidR="00000000" w:rsidDel="00000000" w:rsidP="00000000" w:rsidRDefault="00000000" w:rsidRPr="00000000" w14:paraId="00000023">
      <w:pPr>
        <w:numPr>
          <w:ilvl w:val="0"/>
          <w:numId w:val="2"/>
        </w:numPr>
        <w:ind w:left="720" w:hanging="360"/>
        <w:contextualSpacing w:val="1"/>
        <w:rPr>
          <w:u w:val="none"/>
        </w:rPr>
      </w:pPr>
      <w:r w:rsidDel="00000000" w:rsidR="00000000" w:rsidRPr="00000000">
        <w:rPr>
          <w:rtl w:val="0"/>
        </w:rPr>
        <w:t xml:space="preserve">Bespreken van informatie-elementen in het model</w:t>
      </w:r>
    </w:p>
    <w:p w:rsidR="00000000" w:rsidDel="00000000" w:rsidP="00000000" w:rsidRDefault="00000000" w:rsidRPr="00000000" w14:paraId="00000024">
      <w:pPr>
        <w:numPr>
          <w:ilvl w:val="1"/>
          <w:numId w:val="2"/>
        </w:numPr>
        <w:ind w:left="1440" w:hanging="360"/>
        <w:contextualSpacing w:val="1"/>
        <w:rPr>
          <w:u w:val="none"/>
        </w:rPr>
      </w:pPr>
      <w:r w:rsidDel="00000000" w:rsidR="00000000" w:rsidRPr="00000000">
        <w:rPr>
          <w:rtl w:val="0"/>
        </w:rPr>
        <w:t xml:space="preserve">Welke zijn nodig in de context van een subsidieregister en welke dienen opgenomen te worden als onderdeel van het dienstverleningsregister? </w:t>
      </w:r>
    </w:p>
    <w:p w:rsidR="00000000" w:rsidDel="00000000" w:rsidP="00000000" w:rsidRDefault="00000000" w:rsidRPr="00000000" w14:paraId="00000025">
      <w:pPr>
        <w:numPr>
          <w:ilvl w:val="1"/>
          <w:numId w:val="2"/>
        </w:numPr>
        <w:ind w:left="1440" w:hanging="360"/>
        <w:contextualSpacing w:val="1"/>
        <w:rPr>
          <w:u w:val="none"/>
        </w:rPr>
      </w:pPr>
      <w:r w:rsidDel="00000000" w:rsidR="00000000" w:rsidRPr="00000000">
        <w:rPr>
          <w:rtl w:val="0"/>
        </w:rPr>
        <w:t xml:space="preserve">Bespreken definities voor verschillende informatie-elementen</w:t>
      </w:r>
    </w:p>
    <w:p w:rsidR="00000000" w:rsidDel="00000000" w:rsidP="00000000" w:rsidRDefault="00000000" w:rsidRPr="00000000" w14:paraId="00000026">
      <w:pPr>
        <w:numPr>
          <w:ilvl w:val="0"/>
          <w:numId w:val="2"/>
        </w:numPr>
        <w:ind w:left="720" w:hanging="360"/>
        <w:contextualSpacing w:val="1"/>
        <w:rPr>
          <w:u w:val="none"/>
        </w:rPr>
      </w:pPr>
      <w:r w:rsidDel="00000000" w:rsidR="00000000" w:rsidRPr="00000000">
        <w:rPr>
          <w:rtl w:val="0"/>
        </w:rPr>
        <w:t xml:space="preserve">Formuleren van acties en vervolgstappen</w:t>
      </w:r>
    </w:p>
    <w:p w:rsidR="00000000" w:rsidDel="00000000" w:rsidP="00000000" w:rsidRDefault="00000000" w:rsidRPr="00000000" w14:paraId="00000027">
      <w:pPr>
        <w:pStyle w:val="Heading1"/>
        <w:numPr>
          <w:ilvl w:val="0"/>
          <w:numId w:val="4"/>
        </w:numPr>
        <w:ind w:left="432" w:hanging="432"/>
        <w:contextualSpacing w:val="0"/>
        <w:jc w:val="both"/>
        <w:rPr/>
      </w:pPr>
      <w:r w:rsidDel="00000000" w:rsidR="00000000" w:rsidRPr="00000000">
        <w:rPr>
          <w:rtl w:val="0"/>
        </w:rPr>
        <w:t xml:space="preserve">Verloop</w:t>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u w:val="none"/>
        </w:rPr>
      </w:pPr>
      <w:r w:rsidDel="00000000" w:rsidR="00000000" w:rsidRPr="00000000">
        <w:rPr>
          <w:rtl w:val="0"/>
        </w:rPr>
        <w:t xml:space="preserve">Bespreking van wijzigingen aan het model</w:t>
      </w:r>
    </w:p>
    <w:p w:rsidR="00000000" w:rsidDel="00000000" w:rsidP="00000000" w:rsidRDefault="00000000" w:rsidRPr="00000000" w14:paraId="0000002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De toevoeging van de klasse “Project” om zaken als bankrekeningnummer, aangevraagde looptijd van het project en het aangevraagd bedrag te capteren is overbodig. Dit kan vervat worden onder de klasse “Bewijs” (looptijd, aangevraagd bedrag) en Organisatie (bankrekeningnummer, analoog aan contactinfo). Momenteel is het niet nodig deze informatie gestructureerd op te nemen onder bewijs (kan vervat zitten in de beschrijving van het bewijs). In de toekomst kan dat in functie van de noden verder uitgewerkt worden zonder grote impact op het model. </w:t>
      </w:r>
    </w:p>
    <w:p w:rsidR="00000000" w:rsidDel="00000000" w:rsidP="00000000" w:rsidRDefault="00000000" w:rsidRPr="00000000" w14:paraId="0000002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Alignering met modellen voor besluiten en mandaten heeft ervoor gezorgd dat de klasse “Beslissing” uit eerdere versies van het model vervangen werd door “Besluit”, “Rechtsgrond Toekenning Subsidie” en “Bestuursorgaan”. Onder de klasse “Rechtsgrond Toekenning Subsidie” kan gestructureerd worden bijgehouden: welk bedrag werd toegekend, de inwerkingtreding en buitenwerkingtreding (de looptijd van de subsidie).</w:t>
      </w:r>
    </w:p>
    <w:p w:rsidR="00000000" w:rsidDel="00000000" w:rsidP="00000000" w:rsidRDefault="00000000" w:rsidRPr="00000000" w14:paraId="0000002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Toevoeging van attribuut “heeftAuthentiekeBron” voor “MeetbaarCriteriumVereiste” </w:t>
      </w:r>
    </w:p>
    <w:p w:rsidR="00000000" w:rsidDel="00000000" w:rsidP="00000000" w:rsidRDefault="00000000" w:rsidRPr="00000000" w14:paraId="0000002C">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both"/>
        <w:rPr>
          <w:u w:val="none"/>
        </w:rPr>
      </w:pPr>
      <w:r w:rsidDel="00000000" w:rsidR="00000000" w:rsidRPr="00000000">
        <w:rPr>
          <w:rtl w:val="0"/>
        </w:rPr>
        <w:t xml:space="preserve">Opmerking om “MeetbaarCriteriumVereiste” te wijzigen naar “ParametriseerbaarCriteriumVereiste”. </w:t>
      </w:r>
    </w:p>
    <w:p w:rsidR="00000000" w:rsidDel="00000000" w:rsidP="00000000" w:rsidRDefault="00000000" w:rsidRPr="00000000" w14:paraId="0000002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Toevoegen codelijst voor types van Financiële Output. Definities dienen uitgewerkt en vervolgens besproken te worden met partners voor de volgende waarden:</w:t>
      </w:r>
    </w:p>
    <w:p w:rsidR="00000000" w:rsidDel="00000000" w:rsidP="00000000" w:rsidRDefault="00000000" w:rsidRPr="00000000" w14:paraId="0000002E">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both"/>
        <w:rPr>
          <w:u w:val="none"/>
        </w:rPr>
      </w:pPr>
      <w:r w:rsidDel="00000000" w:rsidR="00000000" w:rsidRPr="00000000">
        <w:rPr>
          <w:rtl w:val="0"/>
        </w:rPr>
        <w:t xml:space="preserve">Voorschot</w:t>
      </w:r>
    </w:p>
    <w:p w:rsidR="00000000" w:rsidDel="00000000" w:rsidP="00000000" w:rsidRDefault="00000000" w:rsidRPr="00000000" w14:paraId="0000002F">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both"/>
        <w:rPr>
          <w:u w:val="none"/>
        </w:rPr>
      </w:pPr>
      <w:r w:rsidDel="00000000" w:rsidR="00000000" w:rsidRPr="00000000">
        <w:rPr>
          <w:rtl w:val="0"/>
        </w:rPr>
        <w:t xml:space="preserve">Schijf</w:t>
      </w:r>
    </w:p>
    <w:p w:rsidR="00000000" w:rsidDel="00000000" w:rsidP="00000000" w:rsidRDefault="00000000" w:rsidRPr="00000000" w14:paraId="00000030">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both"/>
        <w:rPr>
          <w:u w:val="none"/>
        </w:rPr>
      </w:pPr>
      <w:r w:rsidDel="00000000" w:rsidR="00000000" w:rsidRPr="00000000">
        <w:rPr>
          <w:rtl w:val="0"/>
        </w:rPr>
        <w:t xml:space="preserve">Saldo</w:t>
      </w:r>
    </w:p>
    <w:p w:rsidR="00000000" w:rsidDel="00000000" w:rsidP="00000000" w:rsidRDefault="00000000" w:rsidRPr="00000000" w14:paraId="00000031">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both"/>
        <w:rPr>
          <w:u w:val="none"/>
        </w:rPr>
      </w:pPr>
      <w:r w:rsidDel="00000000" w:rsidR="00000000" w:rsidRPr="00000000">
        <w:rPr>
          <w:rtl w:val="0"/>
        </w:rPr>
        <w:t xml:space="preserve">Terugvordering </w:t>
      </w:r>
    </w:p>
    <w:p w:rsidR="00000000" w:rsidDel="00000000" w:rsidP="00000000" w:rsidRDefault="00000000" w:rsidRPr="00000000" w14:paraId="00000032">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both"/>
        <w:rPr>
          <w:u w:val="none"/>
        </w:rPr>
      </w:pPr>
      <w:r w:rsidDel="00000000" w:rsidR="00000000" w:rsidRPr="00000000">
        <w:rPr>
          <w:rtl w:val="0"/>
        </w:rPr>
        <w:t xml:space="preserve">Volledig bedrag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both"/>
        <w:rPr/>
      </w:pPr>
      <w:r w:rsidDel="00000000" w:rsidR="00000000" w:rsidRPr="00000000">
        <w:rPr>
          <w:rtl w:val="0"/>
        </w:rPr>
        <w:t xml:space="preserve">Mogelijks moet niet elke van deze waarden behouden worden, bv. volledig bedrag kan overbodig lijken, idem voor voorschot of schijf. Michiel oppert dat naast terugvordering misschien enkel een waarde “uitbetaling” nodig is, maar Dorien en Sarah geven aan dat de extra nuance belangrijk kan zijn voor de interpretatie van de data.</w:t>
      </w:r>
    </w:p>
    <w:p w:rsidR="00000000" w:rsidDel="00000000" w:rsidP="00000000" w:rsidRDefault="00000000" w:rsidRPr="00000000" w14:paraId="0000003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u w:val="none"/>
        </w:rPr>
      </w:pPr>
      <w:r w:rsidDel="00000000" w:rsidR="00000000" w:rsidRPr="00000000">
        <w:rPr>
          <w:rtl w:val="0"/>
        </w:rPr>
        <w:t xml:space="preserve">In de context van rapportering naar EU (DG COMP) is het nodig volgende informatie mee te delen: staatssteun nummer, </w:t>
      </w:r>
      <w:hyperlink r:id="rId15">
        <w:r w:rsidDel="00000000" w:rsidR="00000000" w:rsidRPr="00000000">
          <w:rPr>
            <w:color w:val="1155cc"/>
            <w:u w:val="single"/>
            <w:rtl w:val="0"/>
          </w:rPr>
          <w:t xml:space="preserve">instrument (o.b.v. codelijst EU)</w:t>
        </w:r>
      </w:hyperlink>
      <w:r w:rsidDel="00000000" w:rsidR="00000000" w:rsidRPr="00000000">
        <w:rPr>
          <w:rtl w:val="0"/>
        </w:rPr>
        <w:t xml:space="preserve"> en </w:t>
      </w:r>
      <w:hyperlink r:id="rId16">
        <w:r w:rsidDel="00000000" w:rsidR="00000000" w:rsidRPr="00000000">
          <w:rPr>
            <w:color w:val="1155cc"/>
            <w:u w:val="single"/>
            <w:rtl w:val="0"/>
          </w:rPr>
          <w:t xml:space="preserve">doelstelling (o.b.v. codelijst EU).</w:t>
        </w:r>
      </w:hyperlink>
      <w:hyperlink r:id="rId17">
        <w:r w:rsidDel="00000000" w:rsidR="00000000" w:rsidRPr="00000000">
          <w:rPr>
            <w:rtl w:val="0"/>
          </w:rPr>
          <w:t xml:space="preserve"> Voorstel is om dit te positioneren op niveau van het Dienstverleningsregister. Michiel en Jens stemmen af met Thomas D’Haenens en An Taelemans.</w:t>
        </w:r>
      </w:hyperlink>
      <w:hyperlink r:id="rId1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u w:val="none"/>
        </w:rPr>
      </w:pPr>
      <w:r w:rsidDel="00000000" w:rsidR="00000000" w:rsidRPr="00000000">
        <w:rPr>
          <w:rtl w:val="0"/>
        </w:rPr>
        <w:t xml:space="preserve">Bespreken van openstaande punten in de actielijst:</w:t>
      </w:r>
    </w:p>
    <w:p w:rsidR="00000000" w:rsidDel="00000000" w:rsidP="00000000" w:rsidRDefault="00000000" w:rsidRPr="00000000" w14:paraId="0000003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tl w:val="0"/>
        </w:rPr>
        <w:t xml:space="preserve">S1: te bekijken welke "participaties" / "rollen" allemaal van belang zijn in het kader van Subsidies.</w:t>
      </w:r>
    </w:p>
    <w:p w:rsidR="00000000" w:rsidDel="00000000" w:rsidP="00000000" w:rsidRDefault="00000000" w:rsidRPr="00000000" w14:paraId="00000037">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both"/>
        <w:rPr/>
      </w:pPr>
      <w:r w:rsidDel="00000000" w:rsidR="00000000" w:rsidRPr="00000000">
        <w:rPr>
          <w:rtl w:val="0"/>
        </w:rPr>
        <w:t xml:space="preserve">Definitie van een begunstigde binnen de Vlaamse overheid verschilt van die van de EU, daar wordt de finale doelgroep bedoeld. Bij ons is dit de “betrokkene”.</w:t>
      </w:r>
    </w:p>
    <w:p w:rsidR="00000000" w:rsidDel="00000000" w:rsidP="00000000" w:rsidRDefault="00000000" w:rsidRPr="00000000" w14:paraId="00000038">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both"/>
        <w:rPr/>
      </w:pPr>
      <w:r w:rsidDel="00000000" w:rsidR="00000000" w:rsidRPr="00000000">
        <w:rPr>
          <w:rtl w:val="0"/>
        </w:rPr>
        <w:t xml:space="preserve">Onderscheid tussen interne expert die dossier behandeld en externe partijen, bv. als onderdeel van een adviescommissie, moet gemaakt worden.</w:t>
      </w:r>
    </w:p>
    <w:p w:rsidR="00000000" w:rsidDel="00000000" w:rsidP="00000000" w:rsidRDefault="00000000" w:rsidRPr="00000000" w14:paraId="00000039">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both"/>
        <w:rPr/>
      </w:pPr>
      <w:r w:rsidDel="00000000" w:rsidR="00000000" w:rsidRPr="00000000">
        <w:rPr>
          <w:rtl w:val="0"/>
        </w:rPr>
        <w:t xml:space="preserve">Volgende rollen worden overgenomen uit DOSIS:</w:t>
      </w:r>
    </w:p>
    <w:p w:rsidR="00000000" w:rsidDel="00000000" w:rsidP="00000000" w:rsidRDefault="00000000" w:rsidRPr="00000000" w14:paraId="0000003A">
      <w:pPr>
        <w:numPr>
          <w:ilvl w:val="3"/>
          <w:numId w:val="1"/>
        </w:numPr>
        <w:spacing w:after="0" w:before="0" w:line="259" w:lineRule="auto"/>
        <w:ind w:left="2880" w:hanging="360"/>
        <w:contextualSpacing w:val="1"/>
        <w:jc w:val="both"/>
        <w:rPr>
          <w:color w:val="222222"/>
        </w:rPr>
      </w:pPr>
      <w:r w:rsidDel="00000000" w:rsidR="00000000" w:rsidRPr="00000000">
        <w:rPr>
          <w:color w:val="222222"/>
          <w:rtl w:val="0"/>
        </w:rPr>
        <w:t xml:space="preserve">"Aanvrager": Agent die de maatregel of publieke dienstverlening aanvraagt. </w:t>
      </w:r>
    </w:p>
    <w:p w:rsidR="00000000" w:rsidDel="00000000" w:rsidP="00000000" w:rsidRDefault="00000000" w:rsidRPr="00000000" w14:paraId="0000003B">
      <w:pPr>
        <w:numPr>
          <w:ilvl w:val="3"/>
          <w:numId w:val="1"/>
        </w:numPr>
        <w:spacing w:after="0" w:before="0" w:line="259" w:lineRule="auto"/>
        <w:ind w:left="2880" w:hanging="360"/>
        <w:contextualSpacing w:val="1"/>
        <w:jc w:val="both"/>
        <w:rPr>
          <w:color w:val="222222"/>
        </w:rPr>
      </w:pPr>
      <w:r w:rsidDel="00000000" w:rsidR="00000000" w:rsidRPr="00000000">
        <w:rPr>
          <w:color w:val="222222"/>
          <w:rtl w:val="0"/>
        </w:rPr>
        <w:t xml:space="preserve">"Indiener": Agent die de aanvraag officieel indient bij de bevoegde instantie, kan bijvoorbeeld een notaris zijn in naam van zijn klant, of een bedrijf in naam van een ander bedrijf.</w:t>
      </w:r>
    </w:p>
    <w:p w:rsidR="00000000" w:rsidDel="00000000" w:rsidP="00000000" w:rsidRDefault="00000000" w:rsidRPr="00000000" w14:paraId="0000003C">
      <w:pPr>
        <w:numPr>
          <w:ilvl w:val="3"/>
          <w:numId w:val="1"/>
        </w:numPr>
        <w:spacing w:after="0" w:before="0" w:line="259" w:lineRule="auto"/>
        <w:ind w:left="2880" w:hanging="360"/>
        <w:contextualSpacing w:val="1"/>
        <w:jc w:val="both"/>
        <w:rPr>
          <w:color w:val="222222"/>
        </w:rPr>
      </w:pPr>
      <w:r w:rsidDel="00000000" w:rsidR="00000000" w:rsidRPr="00000000">
        <w:rPr>
          <w:color w:val="222222"/>
          <w:rtl w:val="0"/>
        </w:rPr>
        <w:t xml:space="preserve">"Begunstigde": Agent die de begunstigde is van de maatregel of publieke dienstverlening, bv. hij of zij die het financieel voordeel geniet.</w:t>
      </w:r>
    </w:p>
    <w:p w:rsidR="00000000" w:rsidDel="00000000" w:rsidP="00000000" w:rsidRDefault="00000000" w:rsidRPr="00000000" w14:paraId="0000003D">
      <w:pPr>
        <w:numPr>
          <w:ilvl w:val="3"/>
          <w:numId w:val="1"/>
        </w:numPr>
        <w:spacing w:after="0" w:before="0" w:line="259" w:lineRule="auto"/>
        <w:ind w:left="2880" w:hanging="360"/>
        <w:contextualSpacing w:val="1"/>
        <w:jc w:val="both"/>
        <w:rPr>
          <w:color w:val="222222"/>
        </w:rPr>
      </w:pPr>
      <w:r w:rsidDel="00000000" w:rsidR="00000000" w:rsidRPr="00000000">
        <w:rPr>
          <w:color w:val="222222"/>
          <w:rtl w:val="0"/>
        </w:rPr>
        <w:t xml:space="preserve">"Betrokkene": Een betrokkene is een Agent wie het rechtstreeks aangaat, zonder dat zijn belang daarbij een rol hoeft te spelen of actief deelneemt aan de dienstverlening </w:t>
      </w:r>
    </w:p>
    <w:p w:rsidR="00000000" w:rsidDel="00000000" w:rsidP="00000000" w:rsidRDefault="00000000" w:rsidRPr="00000000" w14:paraId="0000003E">
      <w:pPr>
        <w:numPr>
          <w:ilvl w:val="3"/>
          <w:numId w:val="1"/>
        </w:numPr>
        <w:spacing w:after="0" w:before="0" w:line="259" w:lineRule="auto"/>
        <w:ind w:left="2880" w:hanging="360"/>
        <w:contextualSpacing w:val="1"/>
        <w:jc w:val="both"/>
        <w:rPr>
          <w:color w:val="222222"/>
        </w:rPr>
      </w:pPr>
      <w:r w:rsidDel="00000000" w:rsidR="00000000" w:rsidRPr="00000000">
        <w:rPr>
          <w:color w:val="222222"/>
          <w:rtl w:val="0"/>
        </w:rPr>
        <w:t xml:space="preserve">"Raadpleger": iemand die het dossier mag inkijken, bv. in de context van DOSIS kan iemand zijn partner toelaten om informatie over een bepaald dossier te raadplegen. </w:t>
      </w:r>
    </w:p>
    <w:p w:rsidR="00000000" w:rsidDel="00000000" w:rsidP="00000000" w:rsidRDefault="00000000" w:rsidRPr="00000000" w14:paraId="0000003F">
      <w:pPr>
        <w:numPr>
          <w:ilvl w:val="2"/>
          <w:numId w:val="1"/>
        </w:numPr>
        <w:spacing w:after="0" w:before="0" w:line="259" w:lineRule="auto"/>
        <w:ind w:left="2160" w:hanging="360"/>
        <w:contextualSpacing w:val="1"/>
        <w:jc w:val="both"/>
        <w:rPr>
          <w:color w:val="222222"/>
        </w:rPr>
      </w:pPr>
      <w:r w:rsidDel="00000000" w:rsidR="00000000" w:rsidRPr="00000000">
        <w:rPr>
          <w:rtl w:val="0"/>
        </w:rPr>
        <w:t xml:space="preserve">Daarnaast worden volgende extra rollen gedefinieerd:</w:t>
      </w:r>
    </w:p>
    <w:p w:rsidR="00000000" w:rsidDel="00000000" w:rsidP="00000000" w:rsidRDefault="00000000" w:rsidRPr="00000000" w14:paraId="00000040">
      <w:pPr>
        <w:numPr>
          <w:ilvl w:val="3"/>
          <w:numId w:val="1"/>
        </w:numPr>
        <w:spacing w:after="0" w:before="0" w:line="259" w:lineRule="auto"/>
        <w:ind w:left="2880" w:hanging="360"/>
        <w:contextualSpacing w:val="1"/>
        <w:jc w:val="both"/>
        <w:rPr>
          <w:color w:val="222222"/>
        </w:rPr>
      </w:pPr>
      <w:r w:rsidDel="00000000" w:rsidR="00000000" w:rsidRPr="00000000">
        <w:rPr>
          <w:rtl w:val="0"/>
        </w:rPr>
        <w:t xml:space="preserve">Externe expert </w:t>
      </w:r>
    </w:p>
    <w:p w:rsidR="00000000" w:rsidDel="00000000" w:rsidP="00000000" w:rsidRDefault="00000000" w:rsidRPr="00000000" w14:paraId="00000041">
      <w:pPr>
        <w:numPr>
          <w:ilvl w:val="3"/>
          <w:numId w:val="1"/>
        </w:numPr>
        <w:spacing w:after="0" w:before="0" w:line="259" w:lineRule="auto"/>
        <w:ind w:left="2880" w:hanging="360"/>
        <w:contextualSpacing w:val="1"/>
        <w:jc w:val="both"/>
        <w:rPr>
          <w:color w:val="222222"/>
        </w:rPr>
      </w:pPr>
      <w:r w:rsidDel="00000000" w:rsidR="00000000" w:rsidRPr="00000000">
        <w:rPr>
          <w:rtl w:val="0"/>
        </w:rPr>
        <w:t xml:space="preserve">Behandelaar (in lijn met Generieke Terugmeldfaciliteit)</w:t>
      </w:r>
    </w:p>
    <w:p w:rsidR="00000000" w:rsidDel="00000000" w:rsidP="00000000" w:rsidRDefault="00000000" w:rsidRPr="00000000" w14:paraId="00000042">
      <w:pPr>
        <w:numPr>
          <w:ilvl w:val="3"/>
          <w:numId w:val="1"/>
        </w:numPr>
        <w:spacing w:after="0" w:before="0" w:line="259" w:lineRule="auto"/>
        <w:ind w:left="2880" w:hanging="360"/>
        <w:contextualSpacing w:val="1"/>
        <w:jc w:val="both"/>
        <w:rPr>
          <w:rFonts w:ascii="Arial" w:cs="Arial" w:eastAsia="Arial" w:hAnsi="Arial"/>
          <w:color w:val="222222"/>
          <w:sz w:val="19"/>
          <w:szCs w:val="19"/>
        </w:rPr>
      </w:pPr>
      <w:r w:rsidDel="00000000" w:rsidR="00000000" w:rsidRPr="00000000">
        <w:rPr>
          <w:rtl w:val="0"/>
        </w:rPr>
        <w:t xml:space="preserve">Beslisser (in praktijk het Bestuursorgaan in lijn met Lokale Besluiten) </w:t>
      </w:r>
    </w:p>
    <w:p w:rsidR="00000000" w:rsidDel="00000000" w:rsidP="00000000" w:rsidRDefault="00000000" w:rsidRPr="00000000" w14:paraId="00000043">
      <w:pPr>
        <w:numPr>
          <w:ilvl w:val="1"/>
          <w:numId w:val="1"/>
        </w:numPr>
        <w:spacing w:after="0" w:before="0" w:line="259" w:lineRule="auto"/>
        <w:ind w:left="1440" w:hanging="360"/>
        <w:contextualSpacing w:val="1"/>
        <w:jc w:val="both"/>
        <w:rPr>
          <w:rFonts w:ascii="Arial" w:cs="Arial" w:eastAsia="Arial" w:hAnsi="Arial"/>
          <w:color w:val="222222"/>
          <w:sz w:val="19"/>
          <w:szCs w:val="19"/>
        </w:rPr>
      </w:pPr>
      <w:r w:rsidDel="00000000" w:rsidR="00000000" w:rsidRPr="00000000">
        <w:rPr>
          <w:rtl w:val="0"/>
        </w:rPr>
        <w:t xml:space="preserve">S4: link met begrotingsakkoord en of deze dient opgenomen te worden moet afgestemd worden met Financiën en Begroting</w:t>
      </w:r>
    </w:p>
    <w:p w:rsidR="00000000" w:rsidDel="00000000" w:rsidP="00000000" w:rsidRDefault="00000000" w:rsidRPr="00000000" w14:paraId="00000044">
      <w:pPr>
        <w:numPr>
          <w:ilvl w:val="1"/>
          <w:numId w:val="1"/>
        </w:numPr>
        <w:spacing w:after="0" w:before="0" w:line="259" w:lineRule="auto"/>
        <w:ind w:left="1440" w:hanging="360"/>
        <w:contextualSpacing w:val="1"/>
        <w:jc w:val="both"/>
        <w:rPr>
          <w:rFonts w:ascii="Arial" w:cs="Arial" w:eastAsia="Arial" w:hAnsi="Arial"/>
          <w:color w:val="222222"/>
          <w:sz w:val="19"/>
          <w:szCs w:val="19"/>
        </w:rPr>
      </w:pPr>
      <w:r w:rsidDel="00000000" w:rsidR="00000000" w:rsidRPr="00000000">
        <w:rPr>
          <w:rtl w:val="0"/>
        </w:rPr>
        <w:t xml:space="preserve">S8: formeel kader dient opgenomen te worden als onderdeel van het Dienstverleningsregister, te bespreken met Thomas en An. </w:t>
      </w:r>
    </w:p>
    <w:p w:rsidR="00000000" w:rsidDel="00000000" w:rsidP="00000000" w:rsidRDefault="00000000" w:rsidRPr="00000000" w14:paraId="00000045">
      <w:pPr>
        <w:numPr>
          <w:ilvl w:val="1"/>
          <w:numId w:val="1"/>
        </w:numPr>
        <w:spacing w:after="0" w:before="0" w:line="259" w:lineRule="auto"/>
        <w:ind w:left="1440" w:hanging="360"/>
        <w:contextualSpacing w:val="1"/>
        <w:jc w:val="both"/>
        <w:rPr>
          <w:rFonts w:ascii="Arial" w:cs="Arial" w:eastAsia="Arial" w:hAnsi="Arial"/>
          <w:color w:val="222222"/>
          <w:sz w:val="19"/>
          <w:szCs w:val="19"/>
        </w:rPr>
      </w:pPr>
      <w:r w:rsidDel="00000000" w:rsidR="00000000" w:rsidRPr="00000000">
        <w:rPr>
          <w:rtl w:val="0"/>
        </w:rPr>
        <w:t xml:space="preserve">S21: voorwaarden die in de context van een besluit worden opgelegd zijn vaak juridisch getint en zullen niet gestructureerd als criterium vereisten worden opgeslagen, maar als onderdeel van de motivering van het besluit.</w:t>
        <w:br w:type="textWrapping"/>
      </w:r>
      <w:r w:rsidDel="00000000" w:rsidR="00000000" w:rsidRPr="00000000">
        <w:rPr>
          <w:rtl w:val="0"/>
        </w:rPr>
      </w:r>
    </w:p>
    <w:p w:rsidR="00000000" w:rsidDel="00000000" w:rsidP="00000000" w:rsidRDefault="00000000" w:rsidRPr="00000000" w14:paraId="00000046">
      <w:pPr>
        <w:pStyle w:val="Heading1"/>
        <w:numPr>
          <w:ilvl w:val="0"/>
          <w:numId w:val="4"/>
        </w:numPr>
        <w:pBdr>
          <w:top w:space="0" w:sz="0" w:val="nil"/>
          <w:left w:space="0" w:sz="0" w:val="nil"/>
          <w:bottom w:space="0" w:sz="0" w:val="nil"/>
          <w:right w:space="0" w:sz="0" w:val="nil"/>
          <w:between w:space="0" w:sz="0" w:val="nil"/>
        </w:pBdr>
        <w:shd w:fill="auto" w:val="clear"/>
        <w:ind w:left="432" w:hanging="432"/>
        <w:contextualSpacing w:val="0"/>
        <w:jc w:val="both"/>
        <w:rPr/>
      </w:pPr>
      <w:r w:rsidDel="00000000" w:rsidR="00000000" w:rsidRPr="00000000">
        <w:rPr>
          <w:rtl w:val="0"/>
        </w:rPr>
        <w:t xml:space="preserve">Besluit </w:t>
      </w:r>
      <w:r w:rsidDel="00000000" w:rsidR="00000000" w:rsidRPr="00000000">
        <w:rPr>
          <w:rtl w:val="0"/>
        </w:rPr>
        <w:t xml:space="preserve">en acties</w:t>
      </w:r>
    </w:p>
    <w:p w:rsidR="00000000" w:rsidDel="00000000" w:rsidP="00000000" w:rsidRDefault="00000000" w:rsidRPr="00000000" w14:paraId="00000047">
      <w:pPr>
        <w:numPr>
          <w:ilvl w:val="0"/>
          <w:numId w:val="5"/>
        </w:numPr>
        <w:ind w:left="720" w:hanging="360"/>
        <w:contextualSpacing w:val="1"/>
        <w:rPr>
          <w:u w:val="none"/>
        </w:rPr>
      </w:pPr>
      <w:r w:rsidDel="00000000" w:rsidR="00000000" w:rsidRPr="00000000">
        <w:rPr>
          <w:rtl w:val="0"/>
        </w:rPr>
        <w:t xml:space="preserve">PwC update informatiemodel en voorbeeld use cases op basis van overleg </w:t>
      </w:r>
    </w:p>
    <w:p w:rsidR="00000000" w:rsidDel="00000000" w:rsidP="00000000" w:rsidRDefault="00000000" w:rsidRPr="00000000" w14:paraId="00000048">
      <w:pPr>
        <w:numPr>
          <w:ilvl w:val="0"/>
          <w:numId w:val="5"/>
        </w:numPr>
        <w:ind w:left="720" w:hanging="360"/>
        <w:contextualSpacing w:val="1"/>
        <w:rPr>
          <w:u w:val="none"/>
        </w:rPr>
      </w:pPr>
      <w:r w:rsidDel="00000000" w:rsidR="00000000" w:rsidRPr="00000000">
        <w:rPr>
          <w:rtl w:val="0"/>
        </w:rPr>
        <w:t xml:space="preserve">Vervolgoverleg op 21/11 om model te finaliseren, alsook volgende punten te bespreken:</w:t>
      </w:r>
    </w:p>
    <w:p w:rsidR="00000000" w:rsidDel="00000000" w:rsidP="00000000" w:rsidRDefault="00000000" w:rsidRPr="00000000" w14:paraId="00000049">
      <w:pPr>
        <w:numPr>
          <w:ilvl w:val="1"/>
          <w:numId w:val="5"/>
        </w:numPr>
        <w:ind w:left="1440" w:hanging="360"/>
        <w:contextualSpacing w:val="1"/>
        <w:rPr/>
      </w:pPr>
      <w:r w:rsidDel="00000000" w:rsidR="00000000" w:rsidRPr="00000000">
        <w:rPr>
          <w:rtl w:val="0"/>
        </w:rPr>
        <w:t xml:space="preserve">Overlopen van voorbeeld use cases. </w:t>
      </w:r>
    </w:p>
    <w:p w:rsidR="00000000" w:rsidDel="00000000" w:rsidP="00000000" w:rsidRDefault="00000000" w:rsidRPr="00000000" w14:paraId="0000004A">
      <w:pPr>
        <w:numPr>
          <w:ilvl w:val="1"/>
          <w:numId w:val="5"/>
        </w:numPr>
        <w:ind w:left="1440" w:hanging="360"/>
        <w:contextualSpacing w:val="1"/>
        <w:rPr/>
      </w:pPr>
      <w:r w:rsidDel="00000000" w:rsidR="00000000" w:rsidRPr="00000000">
        <w:rPr>
          <w:rtl w:val="0"/>
        </w:rPr>
        <w:t xml:space="preserve">Bespreken van informatie-elementen in het model</w:t>
      </w:r>
    </w:p>
    <w:p w:rsidR="00000000" w:rsidDel="00000000" w:rsidP="00000000" w:rsidRDefault="00000000" w:rsidRPr="00000000" w14:paraId="0000004B">
      <w:pPr>
        <w:numPr>
          <w:ilvl w:val="2"/>
          <w:numId w:val="5"/>
        </w:numPr>
        <w:ind w:left="2160" w:hanging="360"/>
        <w:contextualSpacing w:val="1"/>
        <w:rPr/>
      </w:pPr>
      <w:r w:rsidDel="00000000" w:rsidR="00000000" w:rsidRPr="00000000">
        <w:rPr>
          <w:rtl w:val="0"/>
        </w:rPr>
        <w:t xml:space="preserve">Welke zijn nodig in de context van een subsidieregister en welke dienen opgenomen te worden als onderdeel van het dienstverleningsregister? </w:t>
      </w:r>
    </w:p>
    <w:p w:rsidR="00000000" w:rsidDel="00000000" w:rsidP="00000000" w:rsidRDefault="00000000" w:rsidRPr="00000000" w14:paraId="0000004C">
      <w:pPr>
        <w:numPr>
          <w:ilvl w:val="2"/>
          <w:numId w:val="5"/>
        </w:numPr>
        <w:ind w:left="2160" w:hanging="360"/>
        <w:contextualSpacing w:val="1"/>
        <w:rPr/>
      </w:pPr>
      <w:r w:rsidDel="00000000" w:rsidR="00000000" w:rsidRPr="00000000">
        <w:rPr>
          <w:rtl w:val="0"/>
        </w:rPr>
        <w:t xml:space="preserve">Bespreken definities voor verschillende informatie-elementen</w:t>
      </w:r>
    </w:p>
    <w:p w:rsidR="00000000" w:rsidDel="00000000" w:rsidP="00000000" w:rsidRDefault="00000000" w:rsidRPr="00000000" w14:paraId="0000004D">
      <w:pPr>
        <w:numPr>
          <w:ilvl w:val="0"/>
          <w:numId w:val="5"/>
        </w:numPr>
        <w:ind w:left="720" w:hanging="360"/>
        <w:contextualSpacing w:val="1"/>
        <w:rPr>
          <w:u w:val="none"/>
        </w:rPr>
      </w:pPr>
      <w:r w:rsidDel="00000000" w:rsidR="00000000" w:rsidRPr="00000000">
        <w:rPr>
          <w:rtl w:val="0"/>
        </w:rPr>
        <w:t xml:space="preserve">PwC stemt vragen/input m.b.t. Dienstverleningsregister af met Thomas D’Haenens en An Taelemans.</w:t>
      </w:r>
    </w:p>
    <w:p w:rsidR="00000000" w:rsidDel="00000000" w:rsidP="00000000" w:rsidRDefault="00000000" w:rsidRPr="00000000" w14:paraId="0000004E">
      <w:pPr>
        <w:numPr>
          <w:ilvl w:val="0"/>
          <w:numId w:val="5"/>
        </w:numPr>
        <w:ind w:left="720" w:hanging="360"/>
        <w:contextualSpacing w:val="1"/>
        <w:rPr>
          <w:u w:val="none"/>
        </w:rPr>
      </w:pPr>
      <w:r w:rsidDel="00000000" w:rsidR="00000000" w:rsidRPr="00000000">
        <w:rPr>
          <w:rtl w:val="0"/>
        </w:rPr>
        <w:t xml:space="preserve">Vastleggen van overleg met Financiën en Begroting om model te bespreken.</w:t>
      </w:r>
      <w:r w:rsidDel="00000000" w:rsidR="00000000" w:rsidRPr="00000000">
        <w:rPr>
          <w:rtl w:val="0"/>
        </w:rPr>
      </w:r>
    </w:p>
    <w:sectPr>
      <w:type w:val="continuous"/>
      <w:pgSz w:h="16838" w:w="11906"/>
      <w:pgMar w:bottom="2552" w:top="2211" w:left="1134" w:right="85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tabs>
        <w:tab w:val="right" w:pos="9923"/>
      </w:tabs>
      <w:spacing w:line="240" w:lineRule="auto"/>
      <w:contextualSpacing w:val="0"/>
      <w:rPr/>
    </w:pPr>
    <w:r w:rsidDel="00000000" w:rsidR="00000000" w:rsidRPr="00000000">
      <w:rPr>
        <w:b w:val="1"/>
        <w:color w:val="373636"/>
        <w:sz w:val="16"/>
        <w:szCs w:val="16"/>
        <w:rtl w:val="0"/>
      </w:rPr>
      <w:t xml:space="preserve">////////////////////////////////////////////////////////////////////////////////////////////////////////////////////////////////////////////////</w:t>
    </w:r>
    <w:r w:rsidDel="00000000" w:rsidR="00000000" w:rsidRPr="00000000">
      <w:rPr>
        <w:rtl w:val="0"/>
      </w:rPr>
    </w:r>
  </w:p>
  <w:p w:rsidR="00000000" w:rsidDel="00000000" w:rsidP="00000000" w:rsidRDefault="00000000" w:rsidRPr="00000000" w14:paraId="00000051">
    <w:pPr>
      <w:tabs>
        <w:tab w:val="right" w:pos="9923"/>
      </w:tabs>
      <w:spacing w:line="240" w:lineRule="auto"/>
      <w:contextualSpacing w:val="0"/>
      <w:rPr/>
    </w:pPr>
    <w:r w:rsidDel="00000000" w:rsidR="00000000" w:rsidRPr="00000000">
      <w:rPr>
        <w:rtl w:val="0"/>
      </w:rPr>
    </w:r>
  </w:p>
  <w:p w:rsidR="00000000" w:rsidDel="00000000" w:rsidP="00000000" w:rsidRDefault="00000000" w:rsidRPr="00000000" w14:paraId="00000052">
    <w:pPr>
      <w:tabs>
        <w:tab w:val="right" w:pos="9923"/>
      </w:tabs>
      <w:spacing w:line="240" w:lineRule="auto"/>
      <w:contextualSpacing w:val="0"/>
      <w:rPr/>
    </w:pPr>
    <w:r w:rsidDel="00000000" w:rsidR="00000000" w:rsidRPr="00000000">
      <w:rPr>
        <w:color w:val="373636"/>
        <w:sz w:val="16"/>
        <w:szCs w:val="16"/>
        <w:rtl w:val="0"/>
      </w:rPr>
      <w:t xml:space="preserve">/Werkgroep Informatiemodel Slimme Subsidies/ </w:t>
    </w:r>
    <w:r w:rsidDel="00000000" w:rsidR="00000000" w:rsidRPr="00000000">
      <w:rPr>
        <w:b w:val="1"/>
        <w:color w:val="373636"/>
        <w:sz w:val="16"/>
        <w:szCs w:val="16"/>
        <w:rtl w:val="0"/>
      </w:rPr>
      <w:t xml:space="preserve">///</w:t>
    </w:r>
    <w:r w:rsidDel="00000000" w:rsidR="00000000" w:rsidRPr="00000000">
      <w:rPr>
        <w:color w:val="373636"/>
        <w:sz w:val="16"/>
        <w:szCs w:val="16"/>
        <w:rtl w:val="0"/>
      </w:rPr>
      <w:t xml:space="preserve"> 14.11.17</w:t>
      <w:tab/>
    </w:r>
    <w:r w:rsidDel="00000000" w:rsidR="00000000" w:rsidRPr="00000000">
      <w:rPr/>
      <w:fldChar w:fldCharType="begin"/>
      <w:instrText xml:space="preserve">PAGE</w:instrText>
      <w:fldChar w:fldCharType="separate"/>
      <w:fldChar w:fldCharType="end"/>
    </w:r>
    <w:r w:rsidDel="00000000" w:rsidR="00000000" w:rsidRPr="00000000">
      <w:rPr>
        <w:color w:val="373636"/>
        <w:sz w:val="16"/>
        <w:szCs w:val="16"/>
        <w:rtl w:val="0"/>
      </w:rPr>
      <w:t xml:space="preserve"> </w:t>
    </w:r>
    <w:r w:rsidDel="00000000" w:rsidR="00000000" w:rsidRPr="00000000">
      <w:rPr>
        <w:b w:val="1"/>
        <w:color w:val="373636"/>
        <w:sz w:val="16"/>
        <w:szCs w:val="16"/>
        <w:rtl w:val="0"/>
      </w:rPr>
      <w:t xml:space="preserve">///</w:t>
    </w:r>
    <w:r w:rsidDel="00000000" w:rsidR="00000000" w:rsidRPr="00000000">
      <w:rPr>
        <w:color w:val="373636"/>
        <w:sz w:val="16"/>
        <w:szCs w:val="16"/>
        <w:rtl w:val="0"/>
      </w:rPr>
      <w:t xml:space="preserve">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3">
    <w:pPr>
      <w:tabs>
        <w:tab w:val="right" w:pos="9923"/>
      </w:tabs>
      <w:spacing w:after="720" w:line="240" w:lineRule="auto"/>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tabs>
        <w:tab w:val="right" w:pos="9923"/>
      </w:tabs>
      <w:spacing w:after="720" w:line="240" w:lineRule="auto"/>
      <w:contextualSpacing w:val="0"/>
      <w:rPr/>
    </w:pPr>
    <w:r w:rsidDel="00000000" w:rsidR="00000000" w:rsidRPr="00000000">
      <w:rPr/>
      <w:drawing>
        <wp:inline distB="0" distT="0" distL="114300" distR="114300">
          <wp:extent cx="1170000" cy="540000"/>
          <wp:effectExtent b="0" l="0" r="0" t="0"/>
          <wp:docPr id="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170000" cy="540000"/>
                  </a:xfrm>
                  <a:prstGeom prst="rect"/>
                  <a:ln/>
                </pic:spPr>
              </pic:pic>
            </a:graphicData>
          </a:graphic>
        </wp:inline>
      </w:drawing>
    </w:r>
    <w:r w:rsidDel="00000000" w:rsidR="00000000" w:rsidRPr="00000000">
      <w:rPr>
        <w:color w:val="373636"/>
        <w:sz w:val="16"/>
        <w:szCs w:val="16"/>
        <w:rtl w:val="0"/>
      </w:rPr>
      <w:tab/>
      <w:t xml:space="preserve">www.vlaanderen.be/informatievlaanderen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tabs>
        <w:tab w:val="right" w:pos="9923"/>
      </w:tabs>
      <w:spacing w:before="0" w:lineRule="auto"/>
      <w:contextualSpacing w:val="0"/>
      <w:rPr/>
    </w:pPr>
    <w:r w:rsidDel="00000000" w:rsidR="00000000" w:rsidRPr="00000000">
      <w:rPr>
        <w:color w:val="373636"/>
        <w:sz w:val="32"/>
        <w:szCs w:val="32"/>
        <w:rtl w:val="0"/>
      </w:rPr>
      <w:tab/>
      <w:t xml:space="preserve"> </w:t>
    </w:r>
    <w:r w:rsidDel="00000000" w:rsidR="00000000" w:rsidRPr="00000000">
      <w:rPr>
        <w:b w:val="1"/>
        <w:color w:val="fff200"/>
        <w:sz w:val="32"/>
        <w:szCs w:val="32"/>
        <w:rtl w:val="0"/>
      </w:rPr>
      <w:t xml:space="preserve">///</w:t>
    </w:r>
    <w:r w:rsidDel="00000000" w:rsidR="00000000" w:rsidRPr="00000000">
      <w:rPr>
        <w:color w:val="fff200"/>
        <w:sz w:val="32"/>
        <w:szCs w:val="32"/>
        <w:rtl w:val="0"/>
      </w:rPr>
      <w:t xml:space="preserve"> </w:t>
    </w:r>
    <w:r w:rsidDel="00000000" w:rsidR="00000000" w:rsidRPr="00000000">
      <w:rPr>
        <w:b w:val="1"/>
        <w:color w:val="373636"/>
        <w:sz w:val="32"/>
        <w:szCs w:val="32"/>
        <w:rtl w:val="0"/>
      </w:rPr>
      <w:t xml:space="preserve">Informatie</w:t>
    </w:r>
    <w:r w:rsidDel="00000000" w:rsidR="00000000" w:rsidRPr="00000000">
      <w:rPr>
        <w:color w:val="373636"/>
        <w:sz w:val="32"/>
        <w:szCs w:val="32"/>
        <w:rtl w:val="0"/>
      </w:rPr>
      <w:t xml:space="preserve"> Vlaanderen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tabs>
        <w:tab w:val="right" w:pos="9923"/>
      </w:tabs>
      <w:spacing w:before="0" w:lineRule="auto"/>
      <w:contextualSpacing w:val="0"/>
      <w:rPr/>
    </w:pPr>
    <w:r w:rsidDel="00000000" w:rsidR="00000000" w:rsidRPr="00000000">
      <w:rPr/>
      <w:drawing>
        <wp:inline distB="0" distT="0" distL="114300" distR="114300">
          <wp:extent cx="3213473" cy="658399"/>
          <wp:effectExtent b="0" l="0" r="0" t="0"/>
          <wp:docPr id="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3213473" cy="658399"/>
                  </a:xfrm>
                  <a:prstGeom prst="rect"/>
                  <a:ln/>
                </pic:spPr>
              </pic:pic>
            </a:graphicData>
          </a:graphic>
        </wp:inline>
      </w:drawing>
    </w:r>
    <w:r w:rsidDel="00000000" w:rsidR="00000000" w:rsidRPr="00000000">
      <w:rPr>
        <w:color w:val="373636"/>
        <w:sz w:val="32"/>
        <w:szCs w:val="32"/>
        <w:rtl w:val="0"/>
      </w:rPr>
      <w:tab/>
    </w:r>
    <w:r w:rsidDel="00000000" w:rsidR="00000000" w:rsidRPr="00000000">
      <w:rPr>
        <w:b w:val="1"/>
        <w:color w:val="fff200"/>
        <w:sz w:val="32"/>
        <w:szCs w:val="32"/>
        <w:rtl w:val="0"/>
      </w:rPr>
      <w:t xml:space="preserve">///</w:t>
    </w:r>
    <w:r w:rsidDel="00000000" w:rsidR="00000000" w:rsidRPr="00000000">
      <w:rPr>
        <w:color w:val="fff200"/>
        <w:sz w:val="32"/>
        <w:szCs w:val="32"/>
        <w:rtl w:val="0"/>
      </w:rPr>
      <w:t xml:space="preserve"> </w:t>
    </w:r>
    <w:r w:rsidDel="00000000" w:rsidR="00000000" w:rsidRPr="00000000">
      <w:rPr>
        <w:color w:val="373636"/>
        <w:sz w:val="32"/>
        <w:szCs w:val="32"/>
        <w:rtl w:val="0"/>
      </w:rPr>
      <w:t xml:space="preserve">Verslag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19"/>
        <w:szCs w:val="19"/>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firstLine="0"/>
      </w:pPr>
      <w:rPr>
        <w:b w:val="1"/>
        <w:i w:val="0"/>
        <w:sz w:val="36"/>
        <w:szCs w:val="36"/>
      </w:rPr>
    </w:lvl>
    <w:lvl w:ilvl="1">
      <w:start w:val="1"/>
      <w:numFmt w:val="lowerLetter"/>
      <w:lvlText w:val="%2."/>
      <w:lvlJc w:val="left"/>
      <w:pPr>
        <w:ind w:left="576" w:firstLine="0"/>
      </w:pPr>
      <w:rPr/>
    </w:lvl>
    <w:lvl w:ilvl="2">
      <w:start w:val="1"/>
      <w:numFmt w:val="lowerRoman"/>
      <w:lvlText w:val="%3."/>
      <w:lvlJc w:val="right"/>
      <w:pPr>
        <w:ind w:left="720" w:firstLine="0"/>
      </w:pPr>
      <w:rPr/>
    </w:lvl>
    <w:lvl w:ilvl="3">
      <w:start w:val="1"/>
      <w:numFmt w:val="decimal"/>
      <w:lvlText w:val="%4."/>
      <w:lvlJc w:val="left"/>
      <w:pPr>
        <w:ind w:left="864" w:firstLine="0"/>
      </w:pPr>
      <w:rPr/>
    </w:lvl>
    <w:lvl w:ilvl="4">
      <w:start w:val="1"/>
      <w:numFmt w:val="lowerLetter"/>
      <w:lvlText w:val="%5."/>
      <w:lvlJc w:val="left"/>
      <w:pPr>
        <w:ind w:left="1008" w:firstLine="0"/>
      </w:pPr>
      <w:rPr/>
    </w:lvl>
    <w:lvl w:ilvl="5">
      <w:start w:val="1"/>
      <w:numFmt w:val="lowerRoman"/>
      <w:lvlText w:val="%6."/>
      <w:lvlJc w:val="right"/>
      <w:pPr>
        <w:ind w:left="1152" w:firstLine="0"/>
      </w:pPr>
      <w:rPr/>
    </w:lvl>
    <w:lvl w:ilvl="6">
      <w:start w:val="1"/>
      <w:numFmt w:val="decimal"/>
      <w:lvlText w:val="%7."/>
      <w:lvlJc w:val="left"/>
      <w:pPr>
        <w:ind w:left="1296" w:firstLine="0"/>
      </w:pPr>
      <w:rPr/>
    </w:lvl>
    <w:lvl w:ilvl="7">
      <w:start w:val="1"/>
      <w:numFmt w:val="lowerLetter"/>
      <w:lvlText w:val="%8."/>
      <w:lvlJc w:val="left"/>
      <w:pPr>
        <w:ind w:left="1440" w:firstLine="0"/>
      </w:pPr>
      <w:rPr/>
    </w:lvl>
    <w:lvl w:ilvl="8">
      <w:start w:val="1"/>
      <w:numFmt w:val="lowerRoman"/>
      <w:lvlText w:val="%9."/>
      <w:lvlJc w:val="right"/>
      <w:pPr>
        <w:ind w:left="1584" w:firstLine="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widowControl w:val="0"/>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60" w:before="480" w:line="432" w:lineRule="auto"/>
      <w:ind w:left="431" w:right="0" w:hanging="431"/>
      <w:contextualSpacing w:val="0"/>
      <w:jc w:val="left"/>
    </w:pPr>
    <w:rPr>
      <w:rFonts w:ascii="Calibri" w:cs="Calibri" w:eastAsia="Calibri" w:hAnsi="Calibri"/>
      <w:b w:val="1"/>
      <w:i w:val="0"/>
      <w:smallCaps w:val="1"/>
      <w:strike w:val="0"/>
      <w:color w:val="373636"/>
      <w:sz w:val="36"/>
      <w:szCs w:val="36"/>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360" w:line="400" w:lineRule="auto"/>
      <w:ind w:left="578" w:right="0" w:hanging="578"/>
      <w:contextualSpacing w:val="0"/>
      <w:jc w:val="left"/>
    </w:pPr>
    <w:rPr>
      <w:rFonts w:ascii="Calibri" w:cs="Calibri" w:eastAsia="Calibri" w:hAnsi="Calibri"/>
      <w:b w:val="1"/>
      <w:i w:val="0"/>
      <w:smallCaps w:val="1"/>
      <w:strike w:val="0"/>
      <w:color w:val="373636"/>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240" w:line="288" w:lineRule="auto"/>
      <w:ind w:left="720" w:right="0" w:hanging="720"/>
      <w:contextualSpacing w:val="0"/>
      <w:jc w:val="left"/>
    </w:pPr>
    <w:rPr>
      <w:rFonts w:ascii="Calibri" w:cs="Calibri" w:eastAsia="Calibri" w:hAnsi="Calibri"/>
      <w:b w:val="1"/>
      <w:i w:val="0"/>
      <w:smallCaps w:val="0"/>
      <w:strike w:val="0"/>
      <w:color w:val="6b6b6b"/>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00" w:line="276" w:lineRule="auto"/>
      <w:ind w:left="862" w:right="0" w:hanging="862"/>
      <w:contextualSpacing w:val="0"/>
      <w:jc w:val="left"/>
    </w:pPr>
    <w:rPr>
      <w:rFonts w:ascii="Calibri" w:cs="Calibri" w:eastAsia="Calibri" w:hAnsi="Calibri"/>
      <w:b w:val="1"/>
      <w:i w:val="0"/>
      <w:smallCaps w:val="0"/>
      <w:strike w:val="0"/>
      <w:color w:val="6b6b6b"/>
      <w:sz w:val="22"/>
      <w:szCs w:val="22"/>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00" w:line="276" w:lineRule="auto"/>
      <w:ind w:left="1009" w:right="0" w:hanging="1009"/>
      <w:contextualSpacing w:val="0"/>
      <w:jc w:val="left"/>
    </w:pPr>
    <w:rPr>
      <w:rFonts w:ascii="Calibri" w:cs="Calibri" w:eastAsia="Calibri" w:hAnsi="Calibri"/>
      <w:b w:val="0"/>
      <w:i w:val="0"/>
      <w:smallCaps w:val="0"/>
      <w:strike w:val="0"/>
      <w:color w:val="6b6b6b"/>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200" w:line="276" w:lineRule="auto"/>
      <w:ind w:left="1151" w:right="0" w:hanging="1151"/>
      <w:contextualSpacing w:val="0"/>
      <w:jc w:val="left"/>
    </w:pPr>
    <w:rPr>
      <w:rFonts w:ascii="Calibri" w:cs="Calibri" w:eastAsia="Calibri" w:hAnsi="Calibri"/>
      <w:b w:val="0"/>
      <w:i w:val="0"/>
      <w:smallCaps w:val="0"/>
      <w:strike w:val="0"/>
      <w:color w:val="6b6b6b"/>
      <w:sz w:val="22"/>
      <w:szCs w:val="22"/>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840" w:before="720" w:line="240" w:lineRule="auto"/>
      <w:ind w:left="0" w:right="0" w:firstLine="0"/>
      <w:contextualSpacing w:val="0"/>
      <w:jc w:val="right"/>
    </w:pPr>
    <w:rPr>
      <w:rFonts w:ascii="Calibri" w:cs="Calibri" w:eastAsia="Calibri" w:hAnsi="Calibri"/>
      <w:b w:val="1"/>
      <w:i w:val="0"/>
      <w:smallCaps w:val="1"/>
      <w:strike w:val="0"/>
      <w:color w:val="000000"/>
      <w:sz w:val="72"/>
      <w:szCs w:val="72"/>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right"/>
    </w:pPr>
    <w:rPr>
      <w:rFonts w:ascii="Calibri" w:cs="Calibri" w:eastAsia="Calibri" w:hAnsi="Calibri"/>
      <w:b w:val="0"/>
      <w:i w:val="0"/>
      <w:smallCaps w:val="0"/>
      <w:strike w:val="0"/>
      <w:color w:val="6b6b6b"/>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rive.google.com/open?id=1h9a1DUa2fGxYICVz52CHwsTUxlwXL2ZjQ97KQqeooRk"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8SzyvKXkR8aAASFMkE8FZAv81OqH3jjbjPgGmvRCGWg" TargetMode="External"/><Relationship Id="rId15" Type="http://schemas.openxmlformats.org/officeDocument/2006/relationships/hyperlink" Target="http://ec.europa.eu/competition/state_aid/studies_reports/conceptual_remarks.html#categ_aid" TargetMode="External"/><Relationship Id="rId14" Type="http://schemas.openxmlformats.org/officeDocument/2006/relationships/footer" Target="footer2.xml"/><Relationship Id="rId17" Type="http://schemas.openxmlformats.org/officeDocument/2006/relationships/hyperlink" Target="http://ec.europa.eu/competition/state_aid/register/user_guide.html#annex1" TargetMode="External"/><Relationship Id="rId16" Type="http://schemas.openxmlformats.org/officeDocument/2006/relationships/hyperlink" Target="http://ec.europa.eu/competition/state_aid/register/user_guide.html#annex1"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ec.europa.eu/competition/state_aid/register/user_guide.html#annex1" TargetMode="External"/><Relationship Id="rId7" Type="http://schemas.openxmlformats.org/officeDocument/2006/relationships/hyperlink" Target="https://drive.google.com/open?id=1x8zOoBd-ACvaleO9ye4p7JPPe_WGrtmN" TargetMode="External"/><Relationship Id="rId8" Type="http://schemas.openxmlformats.org/officeDocument/2006/relationships/hyperlink" Target="https://drive.google.com/open?id=1x8zOoBd-ACvaleO9ye4p7JPPe_WGrtmN"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