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sectPr>
          <w:headerReference r:id="rId8" w:type="default"/>
          <w:headerReference r:id="rId9" w:type="first"/>
          <w:headerReference r:id="rId10" w:type="even"/>
          <w:footerReference r:id="rId11" w:type="default"/>
          <w:footerReference r:id="rId12" w:type="first"/>
          <w:footerReference r:id="rId13" w:type="even"/>
          <w:pgSz w:h="16838" w:w="11906"/>
          <w:pgMar w:bottom="2552" w:top="2211" w:left="1134" w:right="851" w:header="0"/>
          <w:pgNumType w:start="1"/>
          <w:titlePg w:val="1"/>
        </w:sectPr>
      </w:pPr>
      <w:r w:rsidDel="00000000" w:rsidR="00000000" w:rsidRPr="00000000">
        <w:rPr>
          <w:b w:val="1"/>
          <w:color w:val="fff200"/>
          <w:rtl w:val="0"/>
        </w:rPr>
        <w:t xml:space="preserve">///</w:t>
      </w:r>
      <w:r w:rsidDel="00000000" w:rsidR="00000000" w:rsidRPr="00000000">
        <w:rPr>
          <w:rtl w:val="0"/>
        </w:rPr>
        <w:t xml:space="preserve"> OSLO Generieke Hypermedia Standaard</w:t>
      </w:r>
    </w:p>
    <w:p w:rsidR="00000000" w:rsidDel="00000000" w:rsidP="00000000" w:rsidRDefault="00000000" w:rsidRPr="00000000" w14:paraId="00000001">
      <w:pPr>
        <w:pStyle w:val="Heading1"/>
        <w:numPr>
          <w:ilvl w:val="0"/>
          <w:numId w:val="1"/>
        </w:numPr>
        <w:ind w:left="432" w:hanging="432"/>
        <w:contextualSpacing w:val="0"/>
        <w:rPr/>
      </w:pPr>
      <w:r w:rsidDel="00000000" w:rsidR="00000000" w:rsidRPr="00000000">
        <w:rPr>
          <w:rtl w:val="0"/>
        </w:rPr>
        <w:t xml:space="preserve">Overzicht</w:t>
      </w: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590"/>
        <w:tblGridChange w:id="0">
          <w:tblGrid>
            <w:gridCol w:w="2340"/>
            <w:gridCol w:w="7590"/>
          </w:tblGrid>
        </w:tblGridChange>
      </w:tblGrid>
      <w:tr>
        <w:trPr>
          <w:trHeight w:val="42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01/05/2018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Einddatum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31/12/2018</w:t>
            </w:r>
          </w:p>
        </w:tc>
      </w:tr>
      <w:tr>
        <w:trPr>
          <w:trHeight w:val="3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Voorzitter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Raf Buyle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contextualSpacing w:val="0"/>
              <w:rPr/>
            </w:pPr>
            <w:r w:rsidDel="00000000" w:rsidR="00000000" w:rsidRPr="00000000">
              <w:rPr>
                <w:rFonts w:ascii="Georgia" w:cs="Georgia" w:eastAsia="Georgia" w:hAnsi="Georgia"/>
                <w:sz w:val="20"/>
                <w:szCs w:val="20"/>
                <w:rtl w:val="0"/>
              </w:rPr>
              <w:t xml:space="preserve">Bert Van Nuffelen, David Cumps, Jens Scheerlinck, Pieter Colpaert, Raf Buyle, Raf Lauriks</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Geplande overlegmomenten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Drie publieke werkgroep sessies tussen mei en september</w:t>
            </w:r>
          </w:p>
          <w:p w:rsidR="00000000" w:rsidDel="00000000" w:rsidP="00000000" w:rsidRDefault="00000000" w:rsidRPr="00000000" w14:paraId="0000000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Webcast na de publieke reviewperiode</w:t>
              <w:tab/>
              <w:tab/>
              <w:tab/>
              <w:tab/>
              <w:tab/>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Beslissingscriterium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Unanimiteit minus één (U-1)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Licentie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4">
              <w:r w:rsidDel="00000000" w:rsidR="00000000" w:rsidRPr="00000000">
                <w:rPr>
                  <w:color w:val="1155cc"/>
                  <w:u w:val="single"/>
                  <w:rtl w:val="0"/>
                </w:rPr>
                <w:t xml:space="preserve">Modellicentie gratis hergebruik v1.0</w:t>
              </w:r>
            </w:hyperlink>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5">
              <w:r w:rsidDel="00000000" w:rsidR="00000000" w:rsidRPr="00000000">
                <w:rPr>
                  <w:color w:val="1155cc"/>
                  <w:u w:val="single"/>
                  <w:rtl w:val="0"/>
                </w:rPr>
                <w:t xml:space="preserve">http://data.vlaanderen.be</w:t>
              </w:r>
            </w:hyperlink>
            <w:r w:rsidDel="00000000" w:rsidR="00000000" w:rsidRPr="00000000">
              <w:rPr>
                <w:rtl w:val="0"/>
              </w:rPr>
              <w:t xml:space="preserve">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Issue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6">
              <w:r w:rsidDel="00000000" w:rsidR="00000000" w:rsidRPr="00000000">
                <w:rPr>
                  <w:color w:val="1155cc"/>
                  <w:u w:val="single"/>
                  <w:rtl w:val="0"/>
                </w:rPr>
                <w:t xml:space="preserve">https://github.com/Informatievlaanderen/OSLO-Public-Discussion/issues</w:t>
              </w:r>
            </w:hyperlink>
            <w:r w:rsidDel="00000000" w:rsidR="00000000" w:rsidRPr="00000000">
              <w:rPr>
                <w:rtl w:val="0"/>
              </w:rPr>
              <w:t xml:space="preserve"> </w:t>
            </w:r>
          </w:p>
        </w:tc>
      </w:tr>
    </w:tbl>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r w:rsidDel="00000000" w:rsidR="00000000" w:rsidRPr="00000000">
        <w:rPr>
          <w:rtl w:val="0"/>
        </w:rPr>
        <w:t xml:space="preserve">Context</w:t>
      </w:r>
    </w:p>
    <w:p w:rsidR="00000000" w:rsidDel="00000000" w:rsidP="00000000" w:rsidRDefault="00000000" w:rsidRPr="00000000" w14:paraId="00000017">
      <w:pPr>
        <w:contextualSpacing w:val="0"/>
        <w:jc w:val="both"/>
        <w:rPr/>
      </w:pPr>
      <w:r w:rsidDel="00000000" w:rsidR="00000000" w:rsidRPr="00000000">
        <w:rPr>
          <w:rtl w:val="0"/>
        </w:rPr>
        <w:t xml:space="preserve">De afgelopen jaren heeft de Vlaamse overheid met het programma Open Standaarden voor Linkende Organisaties (OSLO) ingezet op semantische interoperabiliteit. Dit resulteerde in een aantal vocabularia en applicatieprofielen, gebaseerd op Europese en internationale standaarden zoals de ISA² Core Vocabularies en W3C Recommendations. Door deze te implementeren is de data die wordt ontsloten door web application programming interfaces (API’s) reeds interoperabel. </w:t>
      </w:r>
    </w:p>
    <w:p w:rsidR="00000000" w:rsidDel="00000000" w:rsidP="00000000" w:rsidRDefault="00000000" w:rsidRPr="00000000" w14:paraId="00000018">
      <w:pPr>
        <w:contextualSpacing w:val="0"/>
        <w:jc w:val="both"/>
        <w:rPr/>
      </w:pPr>
      <w:r w:rsidDel="00000000" w:rsidR="00000000" w:rsidRPr="00000000">
        <w:rPr>
          <w:rtl w:val="0"/>
        </w:rPr>
        <w:t xml:space="preserve">Met honderden lokale besturen en overheden die duizenden verschillende producten of diensten leveren aan burgers en ondernemingen met behulp van honderden verschillende toepassingen is er naast semantische interoperabiliteit van data ook nood aan interoperabiliteit van API’s zelf, en de methoden en operaties die gebruikt worden om de data die erdoor ontsloten wordt te bevragen en bewerken. Dit om tegemoet te komen aan de toegenomen vraag voor uitwisseling van informatie; tussen overheidsdiensten in het kader van het ‘only once’ principe</w:t>
      </w:r>
      <w:r w:rsidDel="00000000" w:rsidR="00000000" w:rsidRPr="00000000">
        <w:rPr>
          <w:vertAlign w:val="superscript"/>
        </w:rPr>
        <w:footnoteReference w:customMarkFollows="0" w:id="0"/>
      </w:r>
      <w:r w:rsidDel="00000000" w:rsidR="00000000" w:rsidRPr="00000000">
        <w:rPr>
          <w:rtl w:val="0"/>
        </w:rPr>
        <w:t xml:space="preserve"> – waarbij data van burgers en ondernemers slechts één keer gecapteerd wordt en daarna gedeeld wordt met entiteiten die deze informatie nodig hebben – en naar het brede publiek in de context van de Europese ‘PSI’ richtlijn voor het delen van overheidsinformatie</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19">
      <w:pPr>
        <w:contextualSpacing w:val="0"/>
        <w:jc w:val="both"/>
        <w:rPr/>
      </w:pPr>
      <w:r w:rsidDel="00000000" w:rsidR="00000000" w:rsidRPr="00000000">
        <w:rPr>
          <w:rtl w:val="0"/>
        </w:rPr>
        <w:t xml:space="preserve">Een logische volgende stap is om ook deze operaties en methodes interoperabel te maken op zowel semantisch als technisch vlak, door het implementeren van hypermedia. De notie van hypermedia in de context van API’s verwijst naar het toevoegen van links (metadata) aan de API response die een generieke client op een eenduidige manier doorverwijzen naar andere relevante operaties, bijvoorbeeld de vorige of volgende pagina en een gepagineerde collectie. </w:t>
      </w:r>
    </w:p>
    <w:p w:rsidR="00000000" w:rsidDel="00000000" w:rsidP="00000000" w:rsidRDefault="00000000" w:rsidRPr="00000000" w14:paraId="0000001A">
      <w:pPr>
        <w:pStyle w:val="Heading1"/>
        <w:numPr>
          <w:ilvl w:val="0"/>
          <w:numId w:val="1"/>
        </w:numPr>
        <w:ind w:left="432" w:hanging="432"/>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doelstelling van deze werkgroep is om een vrijwillig toe te passen specificatie neer te leggen voor het ontwerpen en bouwen van hypermedia-driven API’s bij de werkgroep datastandaarden en het stuurorgaan Vlaams informatie en ICT-beleid. De specificatie zal een ‘generieke client’ definiëren aan de hand van een aantal regels en best practices. API’s die volgens deze regels en best practices zijn opgebouwd, zullen door een dergelijke generieke client kunnen aangeroepen en gebruikt worden om operaties uit te voeren op de data die ontsloten wordt, zonder dat er in een manueel geprogrammeerde koppeling moet voorzien worden tussen de client en de API. De ambitie van de specificatie is om alle ‘create’, ‘read’, ‘update’ en ‘delete’ (CRUD) operaties te belichten, met een sterke focus op interoperabiliteit rond ‘read’ operaties.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implementatie van deze specificatie moet er voor zorgen dat de integratiekosten tussen verschillende web services die los van elkaar ontwikkeld werden sterk worden gereduceerd. Enkele use cases zijn:</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integratie van een bestaande API in een nieuwe webservice gedeeltelijk automatiseren.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API en client toepassing los van elkaar laten evolueren, zonder nood aan nieuwe integratie-oefening bij elke nieuwe versie van de API.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commentRangeStart w:id="0"/>
      <w:r w:rsidDel="00000000" w:rsidR="00000000" w:rsidRPr="00000000">
        <w:rPr>
          <w:rtl w:val="0"/>
        </w:rPr>
        <w:t xml:space="preserve">Vlot vinden en combineren van data uit verschillende API’s voor data analyse.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pStyle w:val="Heading2"/>
        <w:spacing w:after="240" w:before="0" w:lineRule="auto"/>
        <w:contextualSpacing w:val="0"/>
        <w:jc w:val="both"/>
        <w:rPr/>
      </w:pPr>
      <w:bookmarkStart w:colFirst="0" w:colLast="0" w:name="_8znuv9nd2pmu" w:id="0"/>
      <w:bookmarkEnd w:id="0"/>
      <w:r w:rsidDel="00000000" w:rsidR="00000000" w:rsidRPr="00000000">
        <w:rPr>
          <w:rtl w:val="0"/>
        </w:rPr>
        <w:t xml:space="preserve">3.1 Stakeholders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contextualSpacing w:val="0"/>
        <w:jc w:val="both"/>
        <w:rPr/>
      </w:pPr>
      <w:r w:rsidDel="00000000" w:rsidR="00000000" w:rsidRPr="00000000">
        <w:rPr>
          <w:rtl w:val="0"/>
        </w:rPr>
        <w:t xml:space="preserve">De belanghebbenden van dit traject zijn onder meer:</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Alle entiteiten van de Vlaamse overheid en de lokale besturen</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federale overheidsdienst Beleid en Ondersteuning (BOSA)</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Europese Commissie, in het bijzonder het ISA² programma</w:t>
      </w:r>
      <w:r w:rsidDel="00000000" w:rsidR="00000000" w:rsidRPr="00000000">
        <w:rPr>
          <w:vertAlign w:val="superscript"/>
        </w:rPr>
        <w:footnoteReference w:customMarkFollows="0" w:id="2"/>
      </w:r>
      <w:r w:rsidDel="00000000" w:rsidR="00000000" w:rsidRPr="00000000">
        <w:rPr>
          <w:rtl w:val="0"/>
        </w:rPr>
        <w:t xml:space="preserve"> dat inzet op interoperabiliteit tussen overheden, ondernemingen en burgers.</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private sector en in het bijzonder de e-Government werkgroep van de werkgeversorganisatie AGORIA.</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academische sector, voornamelijk onderzoekers in de domeinen e-Government, hypermedia en semantiek.</w:t>
      </w:r>
    </w:p>
    <w:p w:rsidR="00000000" w:rsidDel="00000000" w:rsidP="00000000" w:rsidRDefault="00000000" w:rsidRPr="00000000" w14:paraId="00000027">
      <w:pPr>
        <w:pStyle w:val="Heading2"/>
        <w:spacing w:after="240" w:before="0" w:lineRule="auto"/>
        <w:contextualSpacing w:val="0"/>
        <w:jc w:val="both"/>
        <w:rPr/>
      </w:pPr>
      <w:bookmarkStart w:colFirst="0" w:colLast="0" w:name="_6zzx7ifu48pn" w:id="1"/>
      <w:bookmarkEnd w:id="1"/>
      <w:r w:rsidDel="00000000" w:rsidR="00000000" w:rsidRPr="00000000">
        <w:rPr>
          <w:rtl w:val="0"/>
        </w:rPr>
        <w:t xml:space="preserve">3.2 Succes criteria</w:t>
      </w:r>
    </w:p>
    <w:p w:rsidR="00000000" w:rsidDel="00000000" w:rsidP="00000000" w:rsidRDefault="00000000" w:rsidRPr="00000000" w14:paraId="00000028">
      <w:pPr>
        <w:contextualSpacing w:val="0"/>
        <w:rPr/>
      </w:pPr>
      <w:r w:rsidDel="00000000" w:rsidR="00000000" w:rsidRPr="00000000">
        <w:rPr>
          <w:rtl w:val="0"/>
        </w:rPr>
        <w:t xml:space="preserve">Deze werkgroep zal als een succes worden beschouwd wanneer de deliverables wijdverspreid gebruikt en toegepast worden, in eerste instantie binnen de Vlaamse overheid maar ook daarbuiten (bijvoorbeeld op Europees niveau). In het bijzonder lijsten we volgende criteria op:</w:t>
      </w:r>
    </w:p>
    <w:p w:rsidR="00000000" w:rsidDel="00000000" w:rsidP="00000000" w:rsidRDefault="00000000" w:rsidRPr="00000000" w14:paraId="00000029">
      <w:pPr>
        <w:numPr>
          <w:ilvl w:val="0"/>
          <w:numId w:val="4"/>
        </w:numPr>
        <w:ind w:left="720" w:hanging="360"/>
        <w:contextualSpacing w:val="1"/>
        <w:rPr>
          <w:u w:val="none"/>
        </w:rPr>
      </w:pPr>
      <w:r w:rsidDel="00000000" w:rsidR="00000000" w:rsidRPr="00000000">
        <w:rPr>
          <w:rtl w:val="0"/>
        </w:rPr>
        <w:t xml:space="preserve">Alle stakeholders zijn vertegenwoordigd in minstens één van de werkgroep sessies.</w:t>
      </w:r>
    </w:p>
    <w:p w:rsidR="00000000" w:rsidDel="00000000" w:rsidP="00000000" w:rsidRDefault="00000000" w:rsidRPr="00000000" w14:paraId="0000002A">
      <w:pPr>
        <w:numPr>
          <w:ilvl w:val="0"/>
          <w:numId w:val="4"/>
        </w:numPr>
        <w:ind w:left="720" w:hanging="360"/>
        <w:contextualSpacing w:val="1"/>
        <w:rPr>
          <w:u w:val="none"/>
        </w:rPr>
      </w:pPr>
      <w:r w:rsidDel="00000000" w:rsidR="00000000" w:rsidRPr="00000000">
        <w:rPr>
          <w:rtl w:val="0"/>
        </w:rPr>
        <w:t xml:space="preserve">De werkgroep sessies resulteren in een stabiele specificatie die een consensus vertegenwoordigd van alle deelnemers. </w:t>
      </w:r>
    </w:p>
    <w:p w:rsidR="00000000" w:rsidDel="00000000" w:rsidP="00000000" w:rsidRDefault="00000000" w:rsidRPr="00000000" w14:paraId="0000002B">
      <w:pPr>
        <w:numPr>
          <w:ilvl w:val="0"/>
          <w:numId w:val="4"/>
        </w:numPr>
        <w:ind w:left="720" w:hanging="360"/>
        <w:contextualSpacing w:val="1"/>
        <w:rPr>
          <w:u w:val="none"/>
        </w:rPr>
      </w:pPr>
      <w:r w:rsidDel="00000000" w:rsidR="00000000" w:rsidRPr="00000000">
        <w:rPr>
          <w:rtl w:val="0"/>
        </w:rPr>
        <w:t xml:space="preserve">De specificatie wordt aanvaard door de werkgroep datastandaarden en het stuurorgaan Vlaams informatie- en ICT beleid.</w:t>
      </w:r>
    </w:p>
    <w:p w:rsidR="00000000" w:rsidDel="00000000" w:rsidP="00000000" w:rsidRDefault="00000000" w:rsidRPr="00000000" w14:paraId="0000002C">
      <w:pPr>
        <w:numPr>
          <w:ilvl w:val="0"/>
          <w:numId w:val="4"/>
        </w:numPr>
        <w:ind w:left="720" w:hanging="360"/>
        <w:contextualSpacing w:val="1"/>
        <w:rPr>
          <w:u w:val="none"/>
        </w:rPr>
      </w:pPr>
      <w:r w:rsidDel="00000000" w:rsidR="00000000" w:rsidRPr="00000000">
        <w:rPr>
          <w:rtl w:val="0"/>
        </w:rPr>
        <w:t xml:space="preserve">Er zijn tools ter beschikking om implementaties te valideren.</w:t>
      </w:r>
    </w:p>
    <w:p w:rsidR="00000000" w:rsidDel="00000000" w:rsidP="00000000" w:rsidRDefault="00000000" w:rsidRPr="00000000" w14:paraId="0000002D">
      <w:pPr>
        <w:numPr>
          <w:ilvl w:val="0"/>
          <w:numId w:val="4"/>
        </w:numPr>
        <w:ind w:left="720" w:hanging="360"/>
        <w:contextualSpacing w:val="1"/>
        <w:rPr>
          <w:u w:val="none"/>
        </w:rPr>
      </w:pPr>
      <w:r w:rsidDel="00000000" w:rsidR="00000000" w:rsidRPr="00000000">
        <w:rPr>
          <w:rtl w:val="0"/>
        </w:rPr>
        <w:t xml:space="preserve">De specificatie werd geïmplementeerd in minstens één proof-of-concept die de meerwaarde van de specificatie in de praktijk bewijzen. </w:t>
      </w:r>
    </w:p>
    <w:p w:rsidR="00000000" w:rsidDel="00000000" w:rsidP="00000000" w:rsidRDefault="00000000" w:rsidRPr="00000000" w14:paraId="0000002E">
      <w:pPr>
        <w:pStyle w:val="Heading1"/>
        <w:numPr>
          <w:ilvl w:val="0"/>
          <w:numId w:val="1"/>
        </w:numPr>
        <w:ind w:left="432" w:hanging="432"/>
        <w:contextualSpacing w:val="0"/>
        <w:rPr/>
      </w:pPr>
      <w:r w:rsidDel="00000000" w:rsidR="00000000" w:rsidRPr="00000000">
        <w:rPr>
          <w:rtl w:val="0"/>
        </w:rPr>
        <w:t xml:space="preserve">Deliverables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De werkgroep zal de volgende deliverables opleveren:</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Specificatiedocument met te volgen regels (normatief).</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Richtlijnen documenten met aanbevelingen die niet normatief zijn van aard.</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Een generieke client die kan gebruikt worden voor conformiteit tests.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Implementatierapport van één concrete end-to-end implementatie van de specificatie.</w:t>
      </w:r>
      <w:r w:rsidDel="00000000" w:rsidR="00000000" w:rsidRPr="00000000">
        <w:rPr>
          <w:rtl w:val="0"/>
        </w:rPr>
      </w:r>
    </w:p>
    <w:p w:rsidR="00000000" w:rsidDel="00000000" w:rsidP="00000000" w:rsidRDefault="00000000" w:rsidRPr="00000000" w14:paraId="00000034">
      <w:pPr>
        <w:pStyle w:val="Heading1"/>
        <w:numPr>
          <w:ilvl w:val="0"/>
          <w:numId w:val="1"/>
        </w:numPr>
        <w:ind w:left="432" w:hanging="432"/>
        <w:contextualSpacing w:val="0"/>
        <w:rPr/>
      </w:pPr>
      <w:r w:rsidDel="00000000" w:rsidR="00000000" w:rsidRPr="00000000">
        <w:rPr>
          <w:rtl w:val="0"/>
        </w:rPr>
        <w:t xml:space="preserve">Mijlpalen en timing</w:t>
      </w: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920"/>
        <w:tblGridChange w:id="0">
          <w:tblGrid>
            <w:gridCol w:w="2010"/>
            <w:gridCol w:w="79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Mijlpaal</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Interne voorbereiding traject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Evaluatie werkgroep charter door werkgroep datastandaarden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Visie workshop met stakeholders:</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Verfijnen business case en user stories</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Verzamelen van vereisten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werkgroepsessie 1</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contextualSpacing w:val="0"/>
              <w:rPr>
                <w:b w:val="1"/>
              </w:rPr>
            </w:pPr>
            <w:r w:rsidDel="00000000" w:rsidR="00000000" w:rsidRPr="00000000">
              <w:rPr>
                <w:rtl w:val="0"/>
              </w:rPr>
              <w:t xml:space="preserve">Publieke werkgroepsessie 2</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Augustus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contextualSpacing w:val="0"/>
              <w:rPr>
                <w:b w:val="1"/>
              </w:rPr>
            </w:pPr>
            <w:r w:rsidDel="00000000" w:rsidR="00000000" w:rsidRPr="00000000">
              <w:rPr>
                <w:rtl w:val="0"/>
              </w:rPr>
              <w:t xml:space="preserve">Publieke werkgroepsessie 3</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Publieke review</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Oktober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04/10 - validatie door werkgroep datastandaarden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27/11 - validatie stuurorgaan</w:t>
            </w:r>
          </w:p>
        </w:tc>
      </w:tr>
    </w:tbl>
    <w:p w:rsidR="00000000" w:rsidDel="00000000" w:rsidP="00000000" w:rsidRDefault="00000000" w:rsidRPr="00000000" w14:paraId="0000004A">
      <w:pPr>
        <w:spacing w:after="240" w:before="0" w:lineRule="auto"/>
        <w:contextualSpacing w:val="0"/>
        <w:jc w:val="both"/>
        <w:rPr>
          <w:b w:val="1"/>
        </w:r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contextualSpacing w:val="0"/>
        <w:rPr/>
      </w:pPr>
      <w:r w:rsidDel="00000000" w:rsidR="00000000" w:rsidRPr="00000000">
        <w:rPr>
          <w:rtl w:val="0"/>
        </w:rPr>
        <w:t xml:space="preserve">Afhankelijkheden</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contextualSpacing w:val="0"/>
        <w:jc w:val="both"/>
        <w:rPr/>
      </w:pPr>
      <w:r w:rsidDel="00000000" w:rsidR="00000000" w:rsidRPr="00000000">
        <w:rPr>
          <w:rtl w:val="0"/>
        </w:rPr>
        <w:t xml:space="preserve">Tijdens dit traject zal afgestemd worden met de volgende bestaande initiatieven:</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bestaande Burgerloket API Standaard</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REST Guidelines van G-Cloud: </w:t>
      </w:r>
      <w:hyperlink r:id="rId17">
        <w:r w:rsidDel="00000000" w:rsidR="00000000" w:rsidRPr="00000000">
          <w:rPr>
            <w:color w:val="1155cc"/>
            <w:u w:val="single"/>
            <w:rtl w:val="0"/>
          </w:rPr>
          <w:t xml:space="preserve">https://www.gcloud.belgium.be/rest/</w:t>
        </w:r>
      </w:hyperlink>
      <w:r w:rsidDel="00000000" w:rsidR="00000000" w:rsidRPr="00000000">
        <w:rPr>
          <w:rtl w:val="0"/>
        </w:rPr>
        <w:t xml:space="preserve"> </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Hydra - een vocabularium (in ontwikkeling) voor Hypermedia: </w:t>
      </w:r>
      <w:hyperlink r:id="rId18">
        <w:r w:rsidDel="00000000" w:rsidR="00000000" w:rsidRPr="00000000">
          <w:rPr>
            <w:color w:val="1155cc"/>
            <w:u w:val="single"/>
            <w:rtl w:val="0"/>
          </w:rPr>
          <w:t xml:space="preserve">http://www.hydra-cg.com/</w:t>
        </w:r>
      </w:hyperlink>
      <w:r w:rsidDel="00000000" w:rsidR="00000000" w:rsidRPr="00000000">
        <w:rPr>
          <w:rtl w:val="0"/>
        </w:rPr>
        <w:t xml:space="preserve">. Waar mogelijk zullen reeds gedefinieerde termen en concepten hergebruikt worden.</w:t>
      </w:r>
      <w:r w:rsidDel="00000000" w:rsidR="00000000" w:rsidRPr="00000000">
        <w:rPr>
          <w:rtl w:val="0"/>
        </w:rPr>
        <w:t xml:space="preserve"> </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OpenAPI (</w:t>
      </w:r>
      <w:hyperlink r:id="rId19">
        <w:r w:rsidDel="00000000" w:rsidR="00000000" w:rsidRPr="00000000">
          <w:rPr>
            <w:color w:val="1155cc"/>
            <w:u w:val="single"/>
            <w:rtl w:val="0"/>
          </w:rPr>
          <w:t xml:space="preserve">https://github.com/OAI/OpenAPI-Specification</w:t>
        </w:r>
      </w:hyperlink>
      <w:r w:rsidDel="00000000" w:rsidR="00000000" w:rsidRPr="00000000">
        <w:rPr>
          <w:rtl w:val="0"/>
        </w:rPr>
        <w:t xml:space="preserve">), een specificatie voor het beschrijving van API’s. Er zal voorzien worden in een mapping van Hydra en de OSLO Generic Hypermedia Standard met de OpenAPI specificatie om in kaart te brengen welke aspecten worden afgedekt door de standaard en welke niet. </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De Smart Flanders Technische principes: </w:t>
      </w:r>
      <w:hyperlink r:id="rId20">
        <w:r w:rsidDel="00000000" w:rsidR="00000000" w:rsidRPr="00000000">
          <w:rPr>
            <w:color w:val="1155cc"/>
            <w:u w:val="single"/>
            <w:rtl w:val="0"/>
          </w:rPr>
          <w:t xml:space="preserve">https://smart.flanders.be/resources/</w:t>
        </w:r>
      </w:hyperlink>
      <w:r w:rsidDel="00000000" w:rsidR="00000000" w:rsidRPr="00000000">
        <w:rPr>
          <w:rtl w:val="0"/>
        </w:rPr>
        <w:t xml:space="preserve"> </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u w:val="none"/>
        </w:rPr>
      </w:pPr>
      <w:r w:rsidDel="00000000" w:rsidR="00000000" w:rsidRPr="00000000">
        <w:rPr>
          <w:rtl w:val="0"/>
        </w:rPr>
        <w:t xml:space="preserve">Het SmartAPI project: </w:t>
      </w:r>
      <w:hyperlink r:id="rId21">
        <w:r w:rsidDel="00000000" w:rsidR="00000000" w:rsidRPr="00000000">
          <w:rPr>
            <w:color w:val="1155cc"/>
            <w:u w:val="single"/>
            <w:rtl w:val="0"/>
          </w:rPr>
          <w:t xml:space="preserve">http://smart-api.info/</w:t>
        </w:r>
      </w:hyperlink>
      <w:r w:rsidDel="00000000" w:rsidR="00000000" w:rsidRPr="00000000">
        <w:rPr>
          <w:rtl w:val="0"/>
        </w:rPr>
        <w:t xml:space="preserve">. Definieert een API specificatie op basis van OpenAPI en JSON-LD voor het ontwerpen en bouwen van Linked Data enabled API’s.</w:t>
      </w:r>
      <w:r w:rsidDel="00000000" w:rsidR="00000000" w:rsidRPr="00000000">
        <w:rPr>
          <w:rtl w:val="0"/>
        </w:rPr>
      </w:r>
    </w:p>
    <w:p w:rsidR="00000000" w:rsidDel="00000000" w:rsidP="00000000" w:rsidRDefault="00000000" w:rsidRPr="00000000" w14:paraId="00000053">
      <w:pPr>
        <w:spacing w:after="200" w:before="0" w:line="276"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ectPr>
      <w:type w:val="continuous"/>
      <w:pgSz w:h="16838" w:w="11906"/>
      <w:pgMar w:bottom="2552" w:top="2211" w:left="1134" w:right="85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Van den Brande" w:id="0" w:date="2018-04-16T06:56:44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is een bad-practice om applicatieve REST API's te gebruiken om data voor data analyse  doeleinden op te vragen.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stuurorgaan Vlaams informatie- en ICT-beleid – voorstel standaardenbeleid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28.09.17</w:t>
      <w:tab/>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www.vlaanderen.be/informatievlaanderen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ab/>
      <w:t xml:space="preserve">28.09.17 </w:t>
    </w:r>
    <w:r w:rsidDel="00000000" w:rsidR="00000000" w:rsidRPr="00000000">
      <w:rPr>
        <w:rFonts w:ascii="Calibri" w:cs="Calibri" w:eastAsia="Calibri" w:hAnsi="Calibri"/>
        <w:b w:val="1"/>
        <w:i w:val="0"/>
        <w:smallCaps w:val="0"/>
        <w:strike w:val="0"/>
        <w:color w:val="373636"/>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73636"/>
        <w:sz w:val="16"/>
        <w:szCs w:val="16"/>
        <w:u w:val="none"/>
        <w:shd w:fill="auto" w:val="clear"/>
        <w:vertAlign w:val="baseline"/>
        <w:rtl w:val="0"/>
      </w:rPr>
      <w:t xml:space="preserve"> stuurorgaan Vlaams informatie- en ICT-beleid – voorstel standaardenbeleid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911" w:before="60" w:line="240" w:lineRule="auto"/>
      <w:ind w:left="0" w:right="0" w:firstLine="0"/>
      <w:contextualSpacing w:val="0"/>
      <w:jc w:val="left"/>
      <w:rPr>
        <w:rFonts w:ascii="Calibri" w:cs="Calibri" w:eastAsia="Calibri" w:hAnsi="Calibri"/>
        <w:b w:val="0"/>
        <w:i w:val="0"/>
        <w:smallCaps w:val="0"/>
        <w:strike w:val="0"/>
        <w:color w:val="373636"/>
        <w:sz w:val="16"/>
        <w:szCs w:val="1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0">
      <w:pPr>
        <w:spacing w:after="0"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https://overheid.vlaanderen.be/regelgeving-hergebruik-van-overheidsinformatie</w:t>
        </w:r>
      </w:hyperlink>
      <w:r w:rsidDel="00000000" w:rsidR="00000000" w:rsidRPr="00000000">
        <w:rPr>
          <w:sz w:val="20"/>
          <w:szCs w:val="20"/>
          <w:rtl w:val="0"/>
        </w:rPr>
        <w:t xml:space="preserve"> </w:t>
      </w:r>
    </w:p>
  </w:footnote>
  <w:footnote w:id="0">
    <w:p w:rsidR="00000000" w:rsidDel="00000000" w:rsidP="00000000" w:rsidRDefault="00000000" w:rsidRPr="00000000" w14:paraId="00000061">
      <w:pPr>
        <w:spacing w:after="0"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https://overheid.vlaanderen.be/vraag-niet-wat-je-al-weet</w:t>
        </w:r>
      </w:hyperlink>
      <w:r w:rsidDel="00000000" w:rsidR="00000000" w:rsidRPr="00000000">
        <w:rPr>
          <w:sz w:val="20"/>
          <w:szCs w:val="20"/>
          <w:rtl w:val="0"/>
        </w:rPr>
        <w:t xml:space="preserve"> </w:t>
      </w:r>
    </w:p>
  </w:footnote>
  <w:footnote w:id="2">
    <w:p w:rsidR="00000000" w:rsidDel="00000000" w:rsidP="00000000" w:rsidRDefault="00000000" w:rsidRPr="00000000" w14:paraId="00000062">
      <w:pPr>
        <w:spacing w:after="0"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https://ec.europa.eu/isa2/home_en</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f200"/>
        <w:sz w:val="32"/>
        <w:szCs w:val="32"/>
        <w:u w:val="none"/>
        <w:shd w:fill="auto" w:val="clear"/>
        <w:vertAlign w:val="baseline"/>
        <w:rtl w:val="0"/>
      </w:rPr>
      <w:t xml:space="preserve"> </w:t>
    </w:r>
    <w:r w:rsidDel="00000000" w:rsidR="00000000" w:rsidRPr="00000000">
      <w:rPr>
        <w:color w:val="373636"/>
        <w:sz w:val="32"/>
        <w:szCs w:val="32"/>
        <w:rtl w:val="0"/>
      </w:rPr>
      <w:t xml:space="preserve">Werkgroep Charter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118829</wp:posOffset>
          </wp:positionH>
          <wp:positionV relativeFrom="paragraph">
            <wp:posOffset>544706</wp:posOffset>
          </wp:positionV>
          <wp:extent cx="3213473" cy="658399"/>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13473" cy="658399"/>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923"/>
      </w:tabs>
      <w:spacing w:after="60" w:before="911" w:line="276" w:lineRule="auto"/>
      <w:ind w:left="0" w:right="0" w:firstLine="0"/>
      <w:contextualSpacing w:val="0"/>
      <w:jc w:val="left"/>
      <w:rPr>
        <w:rFonts w:ascii="Calibri" w:cs="Calibri" w:eastAsia="Calibri" w:hAnsi="Calibri"/>
        <w:b w:val="0"/>
        <w:i w:val="0"/>
        <w:smallCaps w:val="0"/>
        <w:strike w:val="0"/>
        <w:color w:val="373636"/>
        <w:sz w:val="32"/>
        <w:szCs w:val="32"/>
        <w:u w:val="none"/>
        <w:shd w:fill="auto" w:val="clear"/>
        <w:vertAlign w:val="baseline"/>
      </w:rPr>
    </w:pPr>
    <w:r w:rsidDel="00000000" w:rsidR="00000000" w:rsidRPr="00000000">
      <w:rPr>
        <w:rFonts w:ascii="Calibri" w:cs="Calibri" w:eastAsia="Calibri" w:hAnsi="Calibri"/>
        <w:b w:val="1"/>
        <w:i w:val="0"/>
        <w:smallCaps w:val="0"/>
        <w:strike w:val="0"/>
        <w:color w:val="373636"/>
        <w:sz w:val="32"/>
        <w:szCs w:val="32"/>
        <w:u w:val="none"/>
        <w:shd w:fill="auto" w:val="clear"/>
        <w:vertAlign w:val="baseline"/>
        <w:rtl w:val="0"/>
      </w:rPr>
      <w:t xml:space="preserve">Informatie</w:t>
    </w:r>
    <w:r w:rsidDel="00000000" w:rsidR="00000000" w:rsidRPr="00000000">
      <w:rPr>
        <w:rFonts w:ascii="Calibri" w:cs="Calibri" w:eastAsia="Calibri" w:hAnsi="Calibri"/>
        <w:b w:val="0"/>
        <w:i w:val="0"/>
        <w:smallCaps w:val="0"/>
        <w:strike w:val="0"/>
        <w:color w:val="373636"/>
        <w:sz w:val="32"/>
        <w:szCs w:val="32"/>
        <w:u w:val="none"/>
        <w:shd w:fill="auto" w:val="clear"/>
        <w:vertAlign w:val="baseline"/>
        <w:rtl w:val="0"/>
      </w:rPr>
      <w:t xml:space="preserve"> Vlaanderen </w:t>
    </w:r>
    <w:r w:rsidDel="00000000" w:rsidR="00000000" w:rsidRPr="00000000">
      <w:rPr>
        <w:rFonts w:ascii="Calibri" w:cs="Calibri" w:eastAsia="Calibri" w:hAnsi="Calibri"/>
        <w:b w:val="1"/>
        <w:i w:val="0"/>
        <w:smallCaps w:val="0"/>
        <w:strike w:val="0"/>
        <w:color w:val="fff200"/>
        <w:sz w:val="32"/>
        <w:szCs w:val="3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2" w:hanging="432"/>
      <w:contextualSpacing w:val="0"/>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6" w:hanging="576"/>
      <w:contextualSpacing w:val="0"/>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contextualSpacing w:val="0"/>
    </w:pPr>
    <w:rPr>
      <w:b w:val="1"/>
      <w:color w:val="6b6b6b"/>
      <w:sz w:val="24"/>
      <w:szCs w:val="24"/>
    </w:rPr>
  </w:style>
  <w:style w:type="paragraph" w:styleId="Heading4">
    <w:name w:val="heading 4"/>
    <w:basedOn w:val="Normal"/>
    <w:next w:val="Normal"/>
    <w:pPr>
      <w:keepNext w:val="1"/>
      <w:keepLines w:val="1"/>
      <w:spacing w:before="200" w:lineRule="auto"/>
      <w:ind w:left="864" w:hanging="864"/>
      <w:contextualSpacing w:val="0"/>
    </w:pPr>
    <w:rPr>
      <w:b w:val="1"/>
      <w:color w:val="6b6b6b"/>
    </w:rPr>
  </w:style>
  <w:style w:type="paragraph" w:styleId="Heading5">
    <w:name w:val="heading 5"/>
    <w:basedOn w:val="Normal"/>
    <w:next w:val="Normal"/>
    <w:pPr>
      <w:keepNext w:val="1"/>
      <w:keepLines w:val="1"/>
      <w:spacing w:before="200" w:lineRule="auto"/>
      <w:ind w:left="1008" w:hanging="1008"/>
      <w:contextualSpacing w:val="0"/>
    </w:pPr>
    <w:rPr>
      <w:color w:val="6b6b6b"/>
    </w:rPr>
  </w:style>
  <w:style w:type="paragraph" w:styleId="Heading6">
    <w:name w:val="heading 6"/>
    <w:basedOn w:val="Normal"/>
    <w:next w:val="Normal"/>
    <w:pPr>
      <w:keepNext w:val="1"/>
      <w:keepLines w:val="1"/>
      <w:spacing w:before="200" w:lineRule="auto"/>
      <w:ind w:left="1152" w:hanging="1152"/>
      <w:contextualSpacing w:val="0"/>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mart.flanders.be/resources/" TargetMode="External"/><Relationship Id="rId11" Type="http://schemas.openxmlformats.org/officeDocument/2006/relationships/footer" Target="footer1.xml"/><Relationship Id="rId10" Type="http://schemas.openxmlformats.org/officeDocument/2006/relationships/header" Target="header3.xml"/><Relationship Id="rId21" Type="http://schemas.openxmlformats.org/officeDocument/2006/relationships/hyperlink" Target="http://smart-api.info/" TargetMode="Externa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yperlink" Target="http://data.vlaanderen.be" TargetMode="External"/><Relationship Id="rId14" Type="http://schemas.openxmlformats.org/officeDocument/2006/relationships/hyperlink" Target="https://overheid.vlaanderen.be/sites/default/files/documenten/ict-egov/licenties/hergebruik/modellicentie_gratis_hergebruik_v1_0.html" TargetMode="External"/><Relationship Id="rId17" Type="http://schemas.openxmlformats.org/officeDocument/2006/relationships/hyperlink" Target="https://www.gcloud.belgium.be/rest/" TargetMode="External"/><Relationship Id="rId16" Type="http://schemas.openxmlformats.org/officeDocument/2006/relationships/hyperlink" Target="https://github.com/Informatievlaanderen/OSLO-Public-Discussion/issues" TargetMode="External"/><Relationship Id="rId5" Type="http://schemas.openxmlformats.org/officeDocument/2006/relationships/footnotes" Target="footnotes.xml"/><Relationship Id="rId19" Type="http://schemas.openxmlformats.org/officeDocument/2006/relationships/hyperlink" Target="https://github.com/OAI/OpenAPI-Specification" TargetMode="External"/><Relationship Id="rId6" Type="http://schemas.openxmlformats.org/officeDocument/2006/relationships/numbering" Target="numbering.xml"/><Relationship Id="rId18" Type="http://schemas.openxmlformats.org/officeDocument/2006/relationships/hyperlink" Target="http://www.hydra-cg.com/" TargetMode="External"/><Relationship Id="rId7" Type="http://schemas.openxmlformats.org/officeDocument/2006/relationships/styles" Target="styl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verheid.vlaanderen.be/regelgeving-hergebruik-van-overheidsinformatie" TargetMode="External"/><Relationship Id="rId2" Type="http://schemas.openxmlformats.org/officeDocument/2006/relationships/hyperlink" Target="https://overheid.vlaanderen.be/vraag-niet-wat-je-al-weet" TargetMode="External"/><Relationship Id="rId3" Type="http://schemas.openxmlformats.org/officeDocument/2006/relationships/hyperlink" Target="https://ec.europa.eu/isa2/home_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