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jc w:val="both"/>
        <w:rPr/>
      </w:pPr>
      <w:r w:rsidDel="00000000" w:rsidR="00000000" w:rsidRPr="00000000">
        <w:rPr>
          <w:rtl w:val="0"/>
        </w:rPr>
        <w:t xml:space="preserve">9000 Gent </w:t>
      </w:r>
    </w:p>
    <w:p w:rsidR="00000000" w:rsidDel="00000000" w:rsidP="00000000" w:rsidRDefault="00000000" w:rsidRPr="00000000" w14:paraId="00000007">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Slimme Subsidies/</w:t>
      </w:r>
    </w:p>
    <w:p w:rsidR="00000000" w:rsidDel="00000000" w:rsidP="00000000" w:rsidRDefault="00000000" w:rsidRPr="00000000" w14:paraId="0000000A">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Datum: 31/08/2017 – 13:00 – 14:30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2.png"/>
            <a:graphic>
              <a:graphicData uri="http://schemas.openxmlformats.org/drawingml/2006/picture">
                <pic:pic>
                  <pic:nvPicPr>
                    <pic:cNvPr descr="Afbeeldingsresultaat voor map indicator icon" id="0" name="image2.png"/>
                    <pic:cNvPicPr preferRelativeResize="0"/>
                  </pic:nvPicPr>
                  <pic:blipFill>
                    <a:blip r:embed="rId6"/>
                    <a:srcRect b="0" l="0" r="0" t="0"/>
                    <a:stretch>
                      <a:fillRect/>
                    </a:stretch>
                  </pic:blipFill>
                  <pic:spPr>
                    <a:xfrm>
                      <a:off x="0" y="0"/>
                      <a:ext cx="139700" cy="139700"/>
                    </a:xfrm>
                    <a:prstGeom prst="rect"/>
                    <a:ln/>
                  </pic:spPr>
                </pic:pic>
              </a:graphicData>
            </a:graphic>
          </wp:inline>
        </w:drawing>
      </w:r>
      <w:hyperlink r:id="rId7">
        <w:r w:rsidDel="00000000" w:rsidR="00000000" w:rsidRPr="00000000">
          <w:rPr>
            <w:color w:val="3c96be"/>
            <w:u w:val="single"/>
            <w:rtl w:val="0"/>
          </w:rPr>
          <w:t xml:space="preserve">VAC Gent</w:t>
        </w:r>
      </w:hyperlink>
      <w:r w:rsidDel="00000000" w:rsidR="00000000" w:rsidRPr="00000000">
        <w:fldChar w:fldCharType="begin"/>
        <w:instrText xml:space="preserve"> HYPERLINK "https://www.google.be/maps/place/Boudewijngebouw/@50.8567731,4.3526172,17z/data=!3m1!4b1!4m5!3m4!1s0x47c3c38369503633:0xe176454918e1b130!8m2!3d50.8567731!4d4.3548059?hl=nl" </w:instrText>
        <w:fldChar w:fldCharType="separate"/>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fldChar w:fldCharType="end"/>
      </w:r>
      <w:r w:rsidDel="00000000" w:rsidR="00000000" w:rsidRPr="00000000">
        <w:rPr>
          <w:rtl w:val="0"/>
        </w:rPr>
        <w:t xml:space="preserve">Aanwezig: Dorien Bauwens</w:t>
      </w:r>
      <w:r w:rsidDel="00000000" w:rsidR="00000000" w:rsidRPr="00000000">
        <w:rPr>
          <w:rtl w:val="0"/>
        </w:rPr>
        <w:t xml:space="preserve">, Michiel De Keyzer, Jens Scheerlinck</w:t>
      </w:r>
    </w:p>
    <w:p w:rsidR="00000000" w:rsidDel="00000000" w:rsidP="00000000" w:rsidRDefault="00000000" w:rsidRPr="00000000" w14:paraId="0000000E">
      <w:pPr>
        <w:contextualSpacing w:val="0"/>
        <w:jc w:val="both"/>
        <w:rPr/>
      </w:pPr>
      <w:r w:rsidDel="00000000" w:rsidR="00000000" w:rsidRPr="00000000">
        <w:rPr>
          <w:rtl w:val="0"/>
        </w:rPr>
        <w:t xml:space="preserve">Verslaggever: Jens Scheerlinck</w:t>
      </w:r>
    </w:p>
    <w:p w:rsidR="00000000" w:rsidDel="00000000" w:rsidP="00000000" w:rsidRDefault="00000000" w:rsidRPr="00000000" w14:paraId="0000000F">
      <w:pPr>
        <w:contextualSpacing w:val="0"/>
        <w:jc w:val="both"/>
        <w:rPr>
          <w:color w:val="1155cc"/>
          <w:highlight w:val="white"/>
          <w:u w:val="single"/>
        </w:rPr>
      </w:pPr>
      <w:r w:rsidDel="00000000" w:rsidR="00000000" w:rsidRPr="00000000">
        <w:rPr>
          <w:rtl w:val="0"/>
        </w:rPr>
        <w:t xml:space="preserve">Bijlagen:</w:t>
      </w:r>
      <w:r w:rsidDel="00000000" w:rsidR="00000000" w:rsidRPr="00000000">
        <w:fldChar w:fldCharType="begin"/>
        <w:instrText xml:space="preserve"> HYPERLINK "https://drive.google.com/open?id=1DyT6eIptdiTW3u2o8mx3fyUdLs5_l9agKOL37fCB31o" </w:instrText>
        <w:fldChar w:fldCharType="separate"/>
      </w:r>
      <w:r w:rsidDel="00000000" w:rsidR="00000000" w:rsidRPr="00000000">
        <w:rPr>
          <w:rtl w:val="0"/>
        </w:rPr>
      </w:r>
    </w:p>
    <w:p w:rsidR="00000000" w:rsidDel="00000000" w:rsidP="00000000" w:rsidRDefault="00000000" w:rsidRPr="00000000" w14:paraId="00000010">
      <w:pPr>
        <w:numPr>
          <w:ilvl w:val="0"/>
          <w:numId w:val="2"/>
        </w:numPr>
        <w:ind w:left="940" w:hanging="360"/>
        <w:contextualSpacing w:val="1"/>
        <w:jc w:val="both"/>
        <w:rPr>
          <w:rFonts w:ascii="Calibri" w:cs="Calibri" w:eastAsia="Calibri" w:hAnsi="Calibri"/>
          <w:sz w:val="22"/>
          <w:szCs w:val="22"/>
        </w:rPr>
      </w:pPr>
      <w:r w:rsidDel="00000000" w:rsidR="00000000" w:rsidRPr="00000000">
        <w:fldChar w:fldCharType="end"/>
      </w:r>
      <w:hyperlink r:id="rId8">
        <w:r w:rsidDel="00000000" w:rsidR="00000000" w:rsidRPr="00000000">
          <w:rPr>
            <w:color w:val="1155cc"/>
            <w:u w:val="single"/>
            <w:rtl w:val="0"/>
          </w:rPr>
          <w:t xml:space="preserve">Eerste aanzet domeinmodel Slimme Subsidies</w:t>
        </w:r>
      </w:hyperlink>
      <w:r w:rsidDel="00000000" w:rsidR="00000000" w:rsidRPr="00000000">
        <w:rPr>
          <w:rtl w:val="0"/>
        </w:rPr>
      </w:r>
    </w:p>
    <w:p w:rsidR="00000000" w:rsidDel="00000000" w:rsidP="00000000" w:rsidRDefault="00000000" w:rsidRPr="00000000" w14:paraId="00000011">
      <w:pPr>
        <w:numPr>
          <w:ilvl w:val="0"/>
          <w:numId w:val="2"/>
        </w:numPr>
        <w:ind w:left="940" w:hanging="360"/>
        <w:contextualSpacing w:val="1"/>
        <w:jc w:val="both"/>
        <w:rPr>
          <w:u w:val="none"/>
        </w:rPr>
      </w:pPr>
      <w:hyperlink r:id="rId9">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2">
      <w:pPr>
        <w:numPr>
          <w:ilvl w:val="0"/>
          <w:numId w:val="2"/>
        </w:numPr>
        <w:ind w:left="940" w:hanging="360"/>
        <w:contextualSpacing w:val="1"/>
        <w:jc w:val="both"/>
        <w:rPr>
          <w:u w:val="none"/>
        </w:rPr>
      </w:pPr>
      <w:hyperlink r:id="rId10">
        <w:r w:rsidDel="00000000" w:rsidR="00000000" w:rsidRPr="00000000">
          <w:rPr>
            <w:color w:val="1155cc"/>
            <w:u w:val="single"/>
            <w:rtl w:val="0"/>
          </w:rPr>
          <w:t xml:space="preserve">Mapping domeinmodel op proces</w:t>
        </w:r>
      </w:hyperlink>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4">
      <w:pPr>
        <w:contextualSpacing w:val="0"/>
        <w:jc w:val="both"/>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5">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bookmarkStart w:colFirst="0" w:colLast="0" w:name="_we5p3hp1bjgz" w:id="0"/>
      <w:bookmarkEnd w:id="0"/>
      <w:r w:rsidDel="00000000" w:rsidR="00000000" w:rsidRPr="00000000">
        <w:rPr>
          <w:rtl w:val="0"/>
        </w:rPr>
        <w:t xml:space="preserve">Doelstelling</w:t>
      </w:r>
    </w:p>
    <w:p w:rsidR="00000000" w:rsidDel="00000000" w:rsidP="00000000" w:rsidRDefault="00000000" w:rsidRPr="00000000" w14:paraId="00000016">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Een korte inleiding waarbij we even toelichten wat we tot nu toe gedaan hebben en hoe we te werk zijn gegaan (Michiel, Jens).</w:t>
      </w:r>
    </w:p>
    <w:p w:rsidR="00000000" w:rsidDel="00000000" w:rsidP="00000000" w:rsidRDefault="00000000" w:rsidRPr="00000000" w14:paraId="00000017">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Een update rond het Project Slimme Subsidies (Dorien).</w:t>
      </w:r>
    </w:p>
    <w:p w:rsidR="00000000" w:rsidDel="00000000" w:rsidP="00000000" w:rsidRDefault="00000000" w:rsidRPr="00000000" w14:paraId="00000018">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Een introductie hoe het domeinmodel linkt met een procesmodel, a.d.h.v. een voorbeeld, en hoe dit, met een procesmodel in gedachten, kan gelezen worden.</w:t>
      </w:r>
    </w:p>
    <w:p w:rsidR="00000000" w:rsidDel="00000000" w:rsidP="00000000" w:rsidRDefault="00000000" w:rsidRPr="00000000" w14:paraId="00000019">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Bespreking van het model en de vragen, openstaande punten en actiepunten, inclusief hoe dit mapt op de niveaus die we besproken hadden tijdens de kick-off (dienstencatalogus, subsidieregister, dossieropvolging).</w:t>
      </w:r>
    </w:p>
    <w:p w:rsidR="00000000" w:rsidDel="00000000" w:rsidP="00000000" w:rsidRDefault="00000000" w:rsidRPr="00000000" w14:paraId="0000001A">
      <w:pPr>
        <w:numPr>
          <w:ilvl w:val="0"/>
          <w:numId w:val="3"/>
        </w:numPr>
        <w:ind w:left="720" w:hanging="360"/>
        <w:contextualSpacing w:val="1"/>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Bespreking volgende stappen.</w:t>
      </w:r>
      <w:r w:rsidDel="00000000" w:rsidR="00000000" w:rsidRPr="00000000">
        <w:rPr>
          <w:rtl w:val="0"/>
        </w:rPr>
      </w:r>
    </w:p>
    <w:p w:rsidR="00000000" w:rsidDel="00000000" w:rsidP="00000000" w:rsidRDefault="00000000" w:rsidRPr="00000000" w14:paraId="0000001B">
      <w:pPr>
        <w:pStyle w:val="Heading1"/>
        <w:numPr>
          <w:ilvl w:val="0"/>
          <w:numId w:val="4"/>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Context</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draft domeinmodel is gebaseerd op het </w:t>
      </w:r>
      <w:hyperlink r:id="rId15">
        <w:r w:rsidDel="00000000" w:rsidR="00000000" w:rsidRPr="00000000">
          <w:rPr>
            <w:color w:val="1155cc"/>
            <w:u w:val="single"/>
            <w:rtl w:val="0"/>
          </w:rPr>
          <w:t xml:space="preserve">OSLO² model voor Publieke Dienstverlening</w:t>
        </w:r>
      </w:hyperlink>
      <w:r w:rsidDel="00000000" w:rsidR="00000000" w:rsidRPr="00000000">
        <w:rPr>
          <w:rtl w:val="0"/>
        </w:rPr>
        <w:t xml:space="preserve"> en het </w:t>
      </w:r>
      <w:hyperlink r:id="rId16">
        <w:r w:rsidDel="00000000" w:rsidR="00000000" w:rsidRPr="00000000">
          <w:rPr>
            <w:color w:val="1155cc"/>
            <w:u w:val="single"/>
            <w:rtl w:val="0"/>
          </w:rPr>
          <w:t xml:space="preserve">applicatieprofiel Dienst Transactiemodel</w:t>
        </w:r>
      </w:hyperlink>
      <w:r w:rsidDel="00000000" w:rsidR="00000000" w:rsidRPr="00000000">
        <w:rPr>
          <w:rtl w:val="0"/>
        </w:rPr>
        <w:t xml:space="preserve"> met een verdere uitdieping in de context van subsidies</w:t>
      </w:r>
      <w:r w:rsidDel="00000000" w:rsidR="00000000" w:rsidRPr="00000000">
        <w:rPr>
          <w:rtl w:val="0"/>
        </w:rPr>
        <w:t xml:space="preserve">. </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OSLO² model is op zijn beurt gebaseerd op de </w:t>
      </w:r>
      <w:hyperlink r:id="rId17">
        <w:r w:rsidDel="00000000" w:rsidR="00000000" w:rsidRPr="00000000">
          <w:rPr>
            <w:color w:val="1155cc"/>
            <w:u w:val="single"/>
            <w:rtl w:val="0"/>
          </w:rPr>
          <w:t xml:space="preserve">Core Public Service Vocabulary</w:t>
        </w:r>
      </w:hyperlink>
      <w:r w:rsidDel="00000000" w:rsidR="00000000" w:rsidRPr="00000000">
        <w:rPr>
          <w:rtl w:val="0"/>
        </w:rPr>
        <w:t xml:space="preserve"> van de Europese Commissie en afgestemd overheen de verschillende lidstaten.</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Het project Slimme Subsidies</w:t>
      </w:r>
      <w:r w:rsidDel="00000000" w:rsidR="00000000" w:rsidRPr="00000000">
        <w:rPr>
          <w:rtl w:val="0"/>
        </w:rPr>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project zet in op digitalisering, stroomlijnen en vereenvoudiging van de subsidie processen.</w:t>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Opzetten van een subsidieregister, waar alle toegekende subsidies in worden opgelijst samen met de bedragen die reeds werden uitbetaald. Een subsidie zal worden toegevoegd aan het register van zodra een “beslissing” werd genomen.</w:t>
      </w:r>
    </w:p>
    <w:p w:rsidR="00000000" w:rsidDel="00000000" w:rsidP="00000000" w:rsidRDefault="00000000" w:rsidRPr="00000000" w14:paraId="0000002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tl w:val="0"/>
        </w:rPr>
        <w:t xml:space="preserve">Omvat alle premies, toelagen en steun. Deze vallen allemaal onder de noemer "subsidie", in principe dus alle vormen van publieke dienstverlening die resulteren in een financieel voordeel naar een </w:t>
      </w:r>
      <w:r w:rsidDel="00000000" w:rsidR="00000000" w:rsidRPr="00000000">
        <w:rPr>
          <w:b w:val="1"/>
          <w:rtl w:val="0"/>
        </w:rPr>
        <w:t xml:space="preserve">niet-overheid</w:t>
      </w:r>
      <w:r w:rsidDel="00000000" w:rsidR="00000000" w:rsidRPr="00000000">
        <w:rPr>
          <w:rtl w:val="0"/>
        </w:rPr>
        <w:t xml:space="preserve"> partij.</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Projectinfo te vinden op </w:t>
      </w:r>
      <w:hyperlink r:id="rId18">
        <w:r w:rsidDel="00000000" w:rsidR="00000000" w:rsidRPr="00000000">
          <w:rPr>
            <w:color w:val="1155cc"/>
            <w:u w:val="single"/>
            <w:rtl w:val="0"/>
          </w:rPr>
          <w:t xml:space="preserve">https://overheid.vlaanderen.be/slimmesubsidies-basisbegrippen</w:t>
        </w:r>
      </w:hyperlink>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Link procesmodel en domeinmodel - rol van OSLO en data standaardisatie</w:t>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Procesmodel zorgt voor interoperabiliteit in manier van werken, domeinmodel zorgt voor interoperabiliteit van informatie en een gedeeld begrippenkader. Het datamodel heeft een andere view op de materie dan het procesmodel: het achterliggende verhaal is hetzelfde maar waar het procesmodel focust op activiteiten en stappen, focust het datamodel op welke informatie er aangeraakt, gecreëerd, opgehaald, gewijzigd, uitgewisseld… wordt doorheen de verschillende stappen.</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Een onderdeel van het werk, waar ook gegevens standaardisatie een rol kan spelen, is het opmaken van templates voor formulieren. Bv. voor het invoeren van bewijs. </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Het is een balancering oefening tussen zaken die generiek zijn - ze gelden voor alle subsidieaanvragen - en zaken die specifiek zijn voor een bepaalde subsidie.</w:t>
      </w:r>
    </w:p>
    <w:p w:rsidR="00000000" w:rsidDel="00000000" w:rsidP="00000000" w:rsidRDefault="00000000" w:rsidRPr="00000000" w14:paraId="0000002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Ook op vlak van data standaardisatie zal de scheiding tussen generiek en specifiek gevonden moeten worden. </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Belangrijk aspect zal zijn het standaardiseren van de gebruikte terminologie door definities vast te leggen voor een eenduidig begrip. Momenteel worden “beslissing” en “toewijzing” bijvoorbeeld vaak uitwisselbaar gebruikt.</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Opmerkingen draft </w:t>
      </w:r>
      <w:r w:rsidDel="00000000" w:rsidR="00000000" w:rsidRPr="00000000">
        <w:rPr>
          <w:rtl w:val="0"/>
        </w:rPr>
        <w:t xml:space="preserve">domeinmodel</w:t>
      </w:r>
      <w:r w:rsidDel="00000000" w:rsidR="00000000" w:rsidRPr="00000000">
        <w:rPr>
          <w:rtl w:val="0"/>
        </w:rPr>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“aangevraagdBedrag” lijkt niet op juiste klasse te zitten, misschien hoort dit eerder thuis op Bewijs of op Output, als verwachtte of gehoopte output van de subsidie.</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Subsidieverstrekker is "wordtUitgevoerdDoor", heeftAanvrager is "subsidieaanvrager"</w:t>
      </w:r>
      <w:r w:rsidDel="00000000" w:rsidR="00000000" w:rsidRPr="00000000">
        <w:rPr>
          <w:rtl w:val="0"/>
        </w:rPr>
        <w:t xml:space="preserve">. Deze verfijning van terminologie is mogelijk onder OSLO² indien Subsidie wordt uitgewerkt als applicatieprofiel van het Dienst model.</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CriteriumVereiste: onderscheid tussen kwantificeerbare en voor interpretatie vatbare criteria maken. Te bekijken of dit al dan niet subklassen worden en zo ja, welke specifieke  attributen er zijn voor elk van deze subklassen.</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Participatie: zaken als externe experten kunnen interessant zijn hiervoor. Te bekijken of dit moet uitgewerkt worden als expliciete relatie in het model. Expert hoeft niet specifiek gelinkt te worden aan een Bewijs of een Criterium, enkel aan de Subsidie.</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Beslissing moet een link hebben met Output. Te bekijken of deze link expliciet dient gemaakt worden in het model d.m.v. een rechtstreekse associatie of indien het voldoende is dat de relatie over Publieke Dienstverlening verloopt.</w:t>
      </w:r>
    </w:p>
    <w:p w:rsidR="00000000" w:rsidDel="00000000" w:rsidP="00000000" w:rsidRDefault="00000000" w:rsidRPr="00000000" w14:paraId="0000003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Statusveld moet worden toegevoegd bij beslissing om aan te duiden of het over een ontwerpbeslissing, de finale beslissing…</w:t>
      </w:r>
      <w:r w:rsidDel="00000000" w:rsidR="00000000" w:rsidRPr="00000000">
        <w:rPr>
          <w:rtl w:val="0"/>
        </w:rPr>
        <w:t xml:space="preserve"> gaat.</w:t>
      </w:r>
      <w:r w:rsidDel="00000000" w:rsidR="00000000" w:rsidRPr="00000000">
        <w:rPr>
          <w:rtl w:val="0"/>
        </w:rPr>
        <w:t xml:space="preserve"> </w:t>
      </w:r>
    </w:p>
    <w:p w:rsidR="00000000" w:rsidDel="00000000" w:rsidP="00000000" w:rsidRDefault="00000000" w:rsidRPr="00000000" w14:paraId="0000003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Output: toevoegen type bedrag -&gt; bv. voorschot, tweede schijf, uitbetaald.</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Output klasse kan specifieker gemaakt worden, namelijk “FinancieelVoordeel”. Niet elk financieel voordeel vloeit voort uit een subsidie, maar elke subsidie resulteert wel in een financieel voordeel.</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De omschrijving van de subsidie komt overeen met “doelstelling”</w:t>
      </w:r>
      <w:r w:rsidDel="00000000" w:rsidR="00000000" w:rsidRPr="00000000">
        <w:rPr>
          <w:rtl w:val="0"/>
        </w:rPr>
        <w:t xml:space="preserve">. Voor doelstelling is bijgevolg geen apart attribuut nodig. </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Alle attributen van de klasse Subsidie worden vervangen door die van Publieke Dienstverlening. Dorien geeft aan welke al dan niet nodig zijn en wat er ontbreekt. De zaken die we doorheen de documentatie tegengekomen zijn, worden apart opgelijst als “inspiratie” voor eventuele bijkomende informatie-elementen (objecten of attributen).</w:t>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Bij een “Beslissing” is toekenning onder voorwaarden mogelijk. Deze voorwaarden moeten gecapteerd kunnen worden. Te bekijken of dit kan via CriteriumVereiste of indien we hier iets afzonderlijk moeten voorzien.</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De motivatie van een beslissing kan een vrij tekstveld zijn, dit is niet gebaseerd op een codelijst. </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Verbintenis(type) wordt niet mee opgenomen in het domeinmodel aangezien er geen consensus is over de betekenis hiervan noch de noodzaak.</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Vervolgstappen</w:t>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Domeinmodel afstemmen met Raf Buyle, Thomas D’Haenens en An Taelemans in kader van Dienstverleningsregister.</w:t>
      </w:r>
    </w:p>
    <w:p w:rsidR="00000000" w:rsidDel="00000000" w:rsidP="00000000" w:rsidRDefault="00000000" w:rsidRPr="00000000" w14:paraId="0000003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Eind september: domeinmodel klaar om te bespreken met partners.</w:t>
      </w:r>
    </w:p>
    <w:p w:rsidR="00000000" w:rsidDel="00000000" w:rsidP="00000000" w:rsidRDefault="00000000" w:rsidRPr="00000000" w14:paraId="0000003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Model toetsen aan use cases Cultuur Jeugd &amp; Media, Natuur en Bos en Binnenlands Bestuur.</w:t>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Publieke werkgroepen starten 19 oktober, daar zal eerste feedback op model worden verzameld.</w:t>
      </w:r>
      <w:r w:rsidDel="00000000" w:rsidR="00000000" w:rsidRPr="00000000">
        <w:rPr>
          <w:rtl w:val="0"/>
        </w:rPr>
      </w:r>
    </w:p>
    <w:p w:rsidR="00000000" w:rsidDel="00000000" w:rsidP="00000000" w:rsidRDefault="00000000" w:rsidRPr="00000000" w14:paraId="0000003D">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r w:rsidDel="00000000" w:rsidR="00000000" w:rsidRPr="00000000">
        <w:rPr>
          <w:rtl w:val="0"/>
        </w:rPr>
        <w:t xml:space="preserve">Besluit </w:t>
      </w:r>
      <w:r w:rsidDel="00000000" w:rsidR="00000000" w:rsidRPr="00000000">
        <w:rPr>
          <w:rtl w:val="0"/>
        </w:rPr>
        <w:t xml:space="preserve">en acties</w:t>
      </w:r>
    </w:p>
    <w:p w:rsidR="00000000" w:rsidDel="00000000" w:rsidP="00000000" w:rsidRDefault="00000000" w:rsidRPr="00000000" w14:paraId="0000003E">
      <w:pPr>
        <w:numPr>
          <w:ilvl w:val="0"/>
          <w:numId w:val="5"/>
        </w:numPr>
        <w:ind w:left="720" w:hanging="360"/>
        <w:contextualSpacing w:val="1"/>
        <w:rPr>
          <w:u w:val="none"/>
        </w:rPr>
      </w:pPr>
      <w:r w:rsidDel="00000000" w:rsidR="00000000" w:rsidRPr="00000000">
        <w:rPr>
          <w:rtl w:val="0"/>
        </w:rPr>
        <w:t xml:space="preserve">PwC update domeinmodel o.b.v. overleg.</w:t>
      </w:r>
    </w:p>
    <w:p w:rsidR="00000000" w:rsidDel="00000000" w:rsidP="00000000" w:rsidRDefault="00000000" w:rsidRPr="00000000" w14:paraId="0000003F">
      <w:pPr>
        <w:numPr>
          <w:ilvl w:val="0"/>
          <w:numId w:val="5"/>
        </w:numPr>
        <w:ind w:left="720" w:hanging="360"/>
        <w:contextualSpacing w:val="1"/>
        <w:rPr>
          <w:u w:val="none"/>
        </w:rPr>
      </w:pPr>
      <w:r w:rsidDel="00000000" w:rsidR="00000000" w:rsidRPr="00000000">
        <w:rPr>
          <w:rtl w:val="0"/>
        </w:rPr>
        <w:t xml:space="preserve">Dorien deelt use cases Cultuur Jeugd &amp; Media, Natuur en Bos en Binnenlands Bestuur met PwC</w:t>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PwC toetst model aan use cases.</w:t>
      </w:r>
    </w:p>
    <w:p w:rsidR="00000000" w:rsidDel="00000000" w:rsidP="00000000" w:rsidRDefault="00000000" w:rsidRPr="00000000" w14:paraId="00000041">
      <w:pPr>
        <w:numPr>
          <w:ilvl w:val="0"/>
          <w:numId w:val="5"/>
        </w:numPr>
        <w:ind w:left="720" w:hanging="360"/>
        <w:contextualSpacing w:val="1"/>
        <w:rPr>
          <w:u w:val="none"/>
        </w:rPr>
      </w:pPr>
      <w:r w:rsidDel="00000000" w:rsidR="00000000" w:rsidRPr="00000000">
        <w:rPr>
          <w:rtl w:val="0"/>
        </w:rPr>
        <w:t xml:space="preserve">Dorien plant meeting met Raf Buyle, Thomas D’Haenens en An Taelemans (voorstel: 19 september).</w:t>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44">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45">
    <w:pPr>
      <w:tabs>
        <w:tab w:val="right" w:pos="9923"/>
      </w:tabs>
      <w:spacing w:line="240" w:lineRule="auto"/>
      <w:contextualSpacing w:val="0"/>
      <w:rPr/>
    </w:pPr>
    <w:r w:rsidDel="00000000" w:rsidR="00000000" w:rsidRPr="00000000">
      <w:rPr>
        <w:color w:val="373636"/>
        <w:sz w:val="16"/>
        <w:szCs w:val="16"/>
        <w:rtl w:val="0"/>
      </w:rPr>
      <w:t xml:space="preserve">/Werkgroep Informatiemodel Slimme Subsidies/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31.08.17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6">
    <w:pPr>
      <w:tabs>
        <w:tab w:val="right" w:pos="9923"/>
      </w:tabs>
      <w:spacing w:after="72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right" w:pos="9923"/>
      </w:tabs>
      <w:spacing w:after="72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0B3DdQTFc4B-VeUgxQlE1clIyd1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8SzyvKXkR8aAASFMkE8FZAv81OqH3jjbjPgGmvRCGWg" TargetMode="External"/><Relationship Id="rId15" Type="http://schemas.openxmlformats.org/officeDocument/2006/relationships/hyperlink" Target="http://data.vlaanderen.be/doc/applicatieprofiel/dienstencataloog" TargetMode="External"/><Relationship Id="rId14" Type="http://schemas.openxmlformats.org/officeDocument/2006/relationships/footer" Target="footer2.xml"/><Relationship Id="rId17" Type="http://schemas.openxmlformats.org/officeDocument/2006/relationships/hyperlink" Target="https://joinup.ec.europa.eu/asset/cpsv-ap/description" TargetMode="External"/><Relationship Id="rId16" Type="http://schemas.openxmlformats.org/officeDocument/2006/relationships/hyperlink" Target="https://pwc-technology-be.github.io/oslo/dienst/dienst-transactie-ap.html"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overheid.vlaanderen.be/slimmesubsidies-basisbegrippen" TargetMode="External"/><Relationship Id="rId7" Type="http://schemas.openxmlformats.org/officeDocument/2006/relationships/hyperlink" Target="https://www.google.be/maps/place/VAC+Gent/@51.0371235,3.7065649,17z/data=!3m1!4b1!4m5!3m4!1s0x47c37162c6c82103:0xad3dbba6a7c4cc90!8m2!3d51.0371201!4d3.7087536?hl=nl&amp;dg=dbrw&amp;newdg=1" TargetMode="External"/><Relationship Id="rId8" Type="http://schemas.openxmlformats.org/officeDocument/2006/relationships/hyperlink" Target="https://drive.google.com/open?id=0B9xuT7WhNhvWQTN5aWZMaUhyVH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