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for Good Sandbox Hackathon – Ancestral Land Story Pipeline</w:t>
      </w:r>
    </w:p>
    <w:p>
      <w:pPr>
        <w:spacing w:after="200"/>
      </w:pPr>
      <w:r>
        <w:rPr>
          <w:i/>
          <w:iCs/>
          <w:color w:val="555555"/>
        </w:rPr>
        <w:t xml:space="preserve">Full report</w:t>
      </w:r>
    </w:p>
    <w:p>
      <w:pPr>
        <w:spacing w:after="40"/>
      </w:pPr>
      <w:r>
        <w:rPr>
          <w:b/>
          <w:bCs/>
        </w:rPr>
        <w:t xml:space="preserve">Team leader:</w:t>
      </w:r>
      <w:r>
        <w:t xml:space="preserve"> [name]</w:t>
      </w:r>
    </w:p>
    <w:p>
      <w:pPr>
        <w:spacing w:after="40"/>
      </w:pPr>
      <w:r>
        <w:rPr>
          <w:b/>
          <w:bCs/>
        </w:rPr>
        <w:t xml:space="preserve">Team members:</w:t>
      </w:r>
      <w:r>
        <w:t xml:space="preserve"> Paul Alvarez, Kahlil de Silva</w:t>
      </w:r>
    </w:p>
    <w:p>
      <w:pPr>
        <w:spacing w:after="40"/>
      </w:pPr>
      <w:r>
        <w:rPr>
          <w:b/>
          <w:bCs/>
        </w:rPr>
        <w:t xml:space="preserve">Contact details:</w:t>
      </w:r>
      <w:r>
        <w:t xml:space="preserve"> pevalvarez@gmail.com</w:t>
      </w:r>
    </w:p>
    <w:p>
      <w:pPr>
        <w:spacing w:after="40"/>
      </w:pPr>
      <w:r>
        <w:rPr>
          <w:b/>
          <w:bCs/>
        </w:rPr>
        <w:t xml:space="preserve">GitHub link:</w:t>
      </w:r>
      <w:r>
        <w:t xml:space="preserve"> </w:t>
      </w:r>
      <w:hyperlink w:history="1" r:id="rIdks6wp3ryor1k0pnp8ler2">
        <w:r>
          <w:rPr>
            <w:rStyle w:val="Hyperlink"/>
          </w:rPr>
          <w:t xml:space="preserve">github.com/pwdrkg/ITUAIIP</w:t>
        </w:r>
      </w:hyperlink>
    </w:p>
    <w:p>
      <w:pPr>
        <w:spacing w:after="40"/>
      </w:pPr>
      <w:r>
        <w:rPr>
          <w:b/>
          <w:bCs/>
        </w:rPr>
        <w:t xml:space="preserve">Domain:</w:t>
      </w:r>
      <w:r>
        <w:t xml:space="preserve"> Public services (ancestral land rights). </w:t>
      </w:r>
      <w:r>
        <w:rPr>
          <w:b/>
          <w:bCs/>
        </w:rPr>
        <w:t xml:space="preserve">Country:</w:t>
      </w:r>
      <w:r>
        <w:t xml:space="preserve"> Philippines.</w:t>
      </w:r>
    </w:p>
    <w:p>
      <w:pPr>
        <w:spacing w:after="60"/>
      </w:pPr>
    </w:p>
    <w:p>
      <w:pPr>
        <w:pStyle w:val="Heading1"/>
      </w:pPr>
      <w:r>
        <w:t xml:space="preserve">1. Introduction</w:t>
      </w:r>
    </w:p>
    <w:p>
      <w:pPr>
        <w:spacing w:after="120"/>
      </w:pPr>
      <w:r>
        <w:t xml:space="preserve">Indigenous communities in the Philippines prove ancestral land claims largely through oral testimony. That testimony can rest mainly on a few appointed representatives, who may be biased, and it spans many languages.</w:t>
      </w:r>
    </w:p>
    <w:p>
      <w:pPr>
        <w:spacing w:after="120"/>
      </w:pPr>
      <w:r>
        <w:t xml:space="preserve">We propose an AI pipeline that records stories from many community members, reads their written documents, matches the accounts, and returns a consensus story for the community to confirm. A team of AI agents, each playing a government institution, tests the solution against realistic error scenarios released step by step. Every agent decision is logged with its reasoning and the clause it relies on.</w:t>
      </w:r>
    </w:p>
    <w:p>
      <w:pPr>
        <w:spacing w:after="120"/>
      </w:pPr>
      <w:r>
        <w:t xml:space="preserve">The solution follows the ITU-T Y.3172 pipeline, reflects the ITU AI Readiness Framework 2.0, adheres to Philippine law, and maps each domain gap to a global policy example.</w:t>
      </w:r>
    </w:p>
    <w:p>
      <w:pPr>
        <w:pStyle w:val="Heading1"/>
      </w:pPr>
      <w:r>
        <w:t xml:space="preserve">2. Description of the use case</w:t>
      </w:r>
    </w:p>
    <w:p>
      <w:pPr>
        <w:pStyle w:val="Heading2"/>
      </w:pPr>
      <w:r>
        <w:t xml:space="preserve">2.1 Problem</w:t>
      </w:r>
    </w:p>
    <w:p>
      <w:pPr>
        <w:spacing w:after="120"/>
      </w:pPr>
      <w:r>
        <w:t xml:space="preserve">Ancestral land claims rest on oral testimony, which can rest mainly on a few appointed representatives who may be biased.</w:t>
      </w:r>
    </w:p>
    <w:p>
      <w:pPr>
        <w:pStyle w:val="ListParagraph"/>
        <w:numPr>
          <w:ilvl w:val="0"/>
          <w:numId w:val="2"/>
        </w:numPr>
        <w:spacing w:after="60"/>
      </w:pPr>
      <w:r>
        <w:t xml:space="preserve">Under the Indigenous Peoples' Rights Act (IPRA, RA 8371) s52(d), proof for a Certificate of Ancestral Domain Title (CADT) must include sworn testimony of elders or the community, plus at least one authentic document such as maps, genealogies or landmark histories.</w:t>
      </w:r>
    </w:p>
    <w:p>
      <w:pPr>
        <w:pStyle w:val="ListParagraph"/>
        <w:numPr>
          <w:ilvl w:val="0"/>
          <w:numId w:val="2"/>
        </w:numPr>
        <w:spacing w:after="60"/>
      </w:pPr>
      <w:r>
        <w:t xml:space="preserve">Testimony is spoken, often in the community's own language, and is hard to check against other accounts.</w:t>
      </w:r>
    </w:p>
    <w:p>
      <w:pPr>
        <w:pStyle w:val="ListParagraph"/>
        <w:numPr>
          <w:ilvl w:val="0"/>
          <w:numId w:val="2"/>
        </w:numPr>
        <w:spacing w:after="60"/>
      </w:pPr>
      <w:r>
        <w:t xml:space="preserve">If only a few representatives speak, private agendas could shape the claim, and women, youth and remote members may go unheard.</w:t>
      </w:r>
    </w:p>
    <w:p>
      <w:pPr>
        <w:spacing w:after="120"/>
      </w:pPr>
      <w:r>
        <w:rPr>
          <w:b/>
          <w:bCs/>
        </w:rPr>
        <w:t xml:space="preserve">The scale.</w:t>
      </w:r>
      <w:r>
        <w:t xml:space="preserve"> The 2020 census counted 9.46 million indigenous people, about 8.7% of the population (8.21 million IPs plus 1.25 million counted as both IP and Muslim); the census classified 228 of 268 ethnic groups as indigenous; NCIP estimates more than 15 million. By early 2023, 257 ancestral domains had approved CADTs, but only 55 (22%) were fully registered. CADTs cover about 20.5% of the country's land, and conflict can increase when titling is delayed. About 37% of indigenous people (2.9 million) live in geographically isolated areas (</w:t>
      </w:r>
      <w:hyperlink w:history="1" r:id="rId4mei0mew_1m3mytgrjjqn">
        <w:r>
          <w:rPr>
            <w:rStyle w:val="Hyperlink"/>
          </w:rPr>
          <w:t xml:space="preserve">World Bank, 2024</w:t>
        </w:r>
      </w:hyperlink>
      <w:r>
        <w:t xml:space="preserve">). The Philippine Statistics Authority reports 9.84 million from the same 2020 census, and a 2025 government–World Bank workshop cited NCIP's database of 222 indigenous groups and 110 languages.</w:t>
      </w:r>
    </w:p>
    <w:p>
      <w:pPr>
        <w:pStyle w:val="Heading2"/>
      </w:pPr>
      <w:r>
        <w:t xml:space="preserve">2.2 Gaps in existing solutions</w:t>
      </w:r>
    </w:p>
    <w:p>
      <w:pPr>
        <w:pStyle w:val="ListParagraph"/>
        <w:numPr>
          <w:ilvl w:val="0"/>
          <w:numId w:val="2"/>
        </w:numPr>
        <w:spacing w:after="60"/>
      </w:pPr>
      <w:r>
        <w:t xml:space="preserve">Testimony can rest on a few representatives, so private agendas could shape the claim.</w:t>
      </w:r>
    </w:p>
    <w:p>
      <w:pPr>
        <w:pStyle w:val="ListParagraph"/>
        <w:numPr>
          <w:ilvl w:val="0"/>
          <w:numId w:val="2"/>
        </w:numPr>
        <w:spacing w:after="60"/>
      </w:pPr>
      <w:r>
        <w:t xml:space="preserve">Women, youth and remote members risk being left out.</w:t>
      </w:r>
    </w:p>
    <w:p>
      <w:pPr>
        <w:pStyle w:val="ListParagraph"/>
        <w:numPr>
          <w:ilvl w:val="0"/>
          <w:numId w:val="2"/>
        </w:numPr>
        <w:spacing w:after="60"/>
      </w:pPr>
      <w:r>
        <w:t xml:space="preserve">Recording, translating and checking testimony across many languages is slow and hard to verify.</w:t>
      </w:r>
    </w:p>
    <w:p>
      <w:pPr>
        <w:pStyle w:val="ListParagraph"/>
        <w:numPr>
          <w:ilvl w:val="0"/>
          <w:numId w:val="2"/>
        </w:numPr>
        <w:spacing w:after="60"/>
      </w:pPr>
      <w:r>
        <w:t xml:space="preserve">Nothing links what different tellers say, or checks stories against the documents.</w:t>
      </w:r>
    </w:p>
    <w:p>
      <w:pPr>
        <w:pStyle w:val="ListParagraph"/>
        <w:numPr>
          <w:ilvl w:val="0"/>
          <w:numId w:val="2"/>
        </w:numPr>
        <w:spacing w:after="60"/>
      </w:pPr>
      <w:r>
        <w:t xml:space="preserve">Indigenous people are largely invisible in national data: the main income, labour, poverty and health surveys have no ethnicity questions (World Bank, 2024).</w:t>
      </w:r>
    </w:p>
    <w:p>
      <w:pPr>
        <w:pStyle w:val="Heading2"/>
      </w:pPr>
      <w:r>
        <w:t xml:space="preserve">2.3 Our solution</w:t>
      </w:r>
    </w:p>
    <w:p>
      <w:pPr>
        <w:spacing w:after="120"/>
      </w:pPr>
      <w:r>
        <w:t xml:space="preserve">A web pipeline that records stories from many community members, matches them, and returns a consensus account for the community to verify.</w:t>
      </w:r>
    </w:p>
    <w:p>
      <w:pPr>
        <w:pStyle w:val="ListParagraph"/>
        <w:numPr>
          <w:ilvl w:val="0"/>
          <w:numId w:val="3"/>
        </w:numPr>
        <w:spacing w:after="60"/>
      </w:pPr>
      <w:r>
        <w:rPr>
          <w:b/>
          <w:bCs/>
        </w:rPr>
        <w:t xml:space="preserve">Record.</w:t>
      </w:r>
      <w:r>
        <w:t xml:space="preserve"> Each member tells their story in a separate session, in their own language, after consent is explained in that language. Each teller names their own group (self-identification).</w:t>
      </w:r>
    </w:p>
    <w:p>
      <w:pPr>
        <w:pStyle w:val="ListParagraph"/>
        <w:numPr>
          <w:ilvl w:val="0"/>
          <w:numId w:val="3"/>
        </w:numPr>
        <w:spacing w:after="60"/>
      </w:pPr>
      <w:r>
        <w:rPr>
          <w:b/>
          <w:bCs/>
        </w:rPr>
        <w:t xml:space="preserve">Read and translate.</w:t>
      </w:r>
      <w:r>
        <w:t xml:space="preserve"> A voice reader (speech-to-text) handles recordings; a text reader (OCR) handles written accounts, maps and genealogies. Both are translated and checked by community translators.</w:t>
      </w:r>
    </w:p>
    <w:p>
      <w:pPr>
        <w:pStyle w:val="ListParagraph"/>
        <w:numPr>
          <w:ilvl w:val="0"/>
          <w:numId w:val="3"/>
        </w:numPr>
        <w:spacing w:after="60"/>
      </w:pPr>
      <w:r>
        <w:rPr>
          <w:b/>
          <w:bCs/>
        </w:rPr>
        <w:t xml:space="preserve">Match.</w:t>
      </w:r>
      <w:r>
        <w:t xml:space="preserve"> Extract places, landmarks, events and family lines, then link them across tellers and documents.</w:t>
      </w:r>
    </w:p>
    <w:p>
      <w:pPr>
        <w:pStyle w:val="ListParagraph"/>
        <w:numPr>
          <w:ilvl w:val="0"/>
          <w:numId w:val="3"/>
        </w:numPr>
        <w:spacing w:after="60"/>
      </w:pPr>
      <w:r>
        <w:rPr>
          <w:b/>
          <w:bCs/>
        </w:rPr>
        <w:t xml:space="preserve">Check for bias.</w:t>
      </w:r>
      <w:r>
        <w:t xml:space="preserve"> Flag claims made by only one teller, or only by representatives, for human review. Nothing is rejected automatically.</w:t>
      </w:r>
    </w:p>
    <w:p>
      <w:pPr>
        <w:pStyle w:val="ListParagraph"/>
        <w:numPr>
          <w:ilvl w:val="0"/>
          <w:numId w:val="3"/>
        </w:numPr>
        <w:spacing w:after="60"/>
      </w:pPr>
      <w:r>
        <w:rPr>
          <w:b/>
          <w:bCs/>
        </w:rPr>
        <w:t xml:space="preserve">Read back.</w:t>
      </w:r>
      <w:r>
        <w:t xml:space="preserve"> The model retells the consensus story to the community, which confirms or corrects it.</w:t>
      </w:r>
    </w:p>
    <w:p>
      <w:pPr>
        <w:pStyle w:val="ListParagraph"/>
        <w:numPr>
          <w:ilvl w:val="0"/>
          <w:numId w:val="3"/>
        </w:numPr>
        <w:spacing w:after="60"/>
      </w:pPr>
      <w:r>
        <w:rPr>
          <w:b/>
          <w:bCs/>
        </w:rPr>
        <w:t xml:space="preserve">Dossier.</w:t>
      </w:r>
      <w:r>
        <w:t xml:space="preserve"> Package the verified story, agreement scores and sources as a sample dossier structured like the s52(d) proof requirements. It is a demo output; a real filing still needs sworn, signed statements.</w:t>
      </w:r>
    </w:p>
    <w:p>
      <w:pPr>
        <w:pStyle w:val="Heading2"/>
      </w:pPr>
      <w:r>
        <w:t xml:space="preserve">2.4 Solution architecture (ITU-T Y.3172)</w:t>
      </w:r>
    </w:p>
    <w:p>
      <w:pPr>
        <w:jc w:val="center"/>
      </w:pPr>
      <w:r>
        <w:drawing>
          <wp:inline distT="0" distB="0" distL="0" distR="0">
            <wp:extent cx="5715000" cy="4752975"/>
            <wp:effectExtent t="0" r="0" b="0" l="0"/>
            <wp:docPr id="1" name="arch" descr="Y.3172 pipeline from sources to outputs with orchestrator, sandbox and audit log"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52975"/>
                    </a:xfrm>
                    <a:prstGeom prst="rect">
                      <a:avLst/>
                    </a:prstGeom>
                  </pic:spPr>
                </pic:pic>
              </a:graphicData>
            </a:graphic>
          </wp:inline>
        </w:drawing>
      </w:r>
    </w:p>
    <w:p>
      <w:pPr>
        <w:spacing w:after="200"/>
        <w:jc w:val="center"/>
      </w:pPr>
      <w:r>
        <w:rPr>
          <w:i/>
          <w:iCs/>
          <w:color w:val="555555"/>
          <w:sz w:val="18"/>
          <w:szCs w:val="18"/>
        </w:rPr>
        <w:t xml:space="preserve">Figure 1. Y.3172 pipeline: seven stages plus orchestrator, sandbox and audit log</w:t>
      </w:r>
    </w:p>
    <w:p>
      <w:pPr>
        <w:spacing w:after="120"/>
      </w:pPr>
      <w:r>
        <w:t xml:space="preserve">The pipeline follows Y.3172 from source (SRC) to output (SINK). A voice reader and a text reader feed the same matcher, so written proofs under IPRA s52(d) are checked against the stories. The orchestrator (MLFO) runs the agents and scenarios, and every step writes to the audit log.</w:t>
      </w:r>
    </w:p>
    <w:p>
      <w:pPr>
        <w:pStyle w:val="Heading1"/>
      </w:pPr>
      <w:r>
        <w:t xml:space="preserve">3. Use case requirements</w:t>
      </w:r>
    </w:p>
    <w:p>
      <w:pPr>
        <w:spacing w:after="120"/>
      </w:pPr>
      <w:r>
        <w:t xml:space="preserve">Targets below are our design choices for the demo.</w:t>
      </w:r>
    </w:p>
    <w:p>
      <w:pPr>
        <w:pStyle w:val="ListParagraph"/>
        <w:numPr>
          <w:ilvl w:val="0"/>
          <w:numId w:val="2"/>
        </w:numPr>
        <w:spacing w:after="60"/>
      </w:pPr>
      <w:r>
        <w:rPr>
          <w:b/>
          <w:bCs/>
        </w:rPr>
        <w:t xml:space="preserve">SRC (sources).</w:t>
      </w:r>
      <w:r>
        <w:t xml:space="preserve"> At least 20 tellers per claim, including women, youth and members from each settlement. Each teller self-identifies their group. At least one authentic document per claim, as s52(d) requires.</w:t>
      </w:r>
    </w:p>
    <w:p>
      <w:pPr>
        <w:pStyle w:val="ListParagraph"/>
        <w:numPr>
          <w:ilvl w:val="0"/>
          <w:numId w:val="2"/>
        </w:numPr>
        <w:spacing w:after="60"/>
      </w:pPr>
      <w:r>
        <w:rPr>
          <w:b/>
          <w:bCs/>
        </w:rPr>
        <w:t xml:space="preserve">C (collector).</w:t>
      </w:r>
      <w:r>
        <w:t xml:space="preserve"> Recording works offline on a phone and uploads when there is signal, since about 37% of indigenous people live in isolated areas. Consent is explained in the teller's language before recording, given separately for each purpose, and can be withdrawn as easily as it was given (NPC Circular 2023-04).</w:t>
      </w:r>
    </w:p>
    <w:p>
      <w:pPr>
        <w:pStyle w:val="ListParagraph"/>
        <w:numPr>
          <w:ilvl w:val="0"/>
          <w:numId w:val="2"/>
        </w:numPr>
        <w:spacing w:after="60"/>
      </w:pPr>
      <w:r>
        <w:rPr>
          <w:b/>
          <w:bCs/>
        </w:rPr>
        <w:t xml:space="preserve">PP (preprocessor).</w:t>
      </w:r>
      <w:r>
        <w:t xml:space="preserve"> Speech-to-text and OCR output is checked by community translators. Text is translated into Filipino and English, keeping the original.</w:t>
      </w:r>
    </w:p>
    <w:p>
      <w:pPr>
        <w:pStyle w:val="ListParagraph"/>
        <w:numPr>
          <w:ilvl w:val="0"/>
          <w:numId w:val="2"/>
        </w:numPr>
        <w:spacing w:after="60"/>
      </w:pPr>
      <w:r>
        <w:rPr>
          <w:b/>
          <w:bCs/>
        </w:rPr>
        <w:t xml:space="preserve">M (models).</w:t>
      </w:r>
      <w:r>
        <w:t xml:space="preserve"> Every match and flag points to the exact tellers and documents behind it. Agents cite the clause they rely on.</w:t>
      </w:r>
    </w:p>
    <w:p>
      <w:pPr>
        <w:pStyle w:val="ListParagraph"/>
        <w:numPr>
          <w:ilvl w:val="0"/>
          <w:numId w:val="2"/>
        </w:numPr>
        <w:spacing w:after="60"/>
      </w:pPr>
      <w:r>
        <w:rPr>
          <w:b/>
          <w:bCs/>
        </w:rPr>
        <w:t xml:space="preserve">P (policy).</w:t>
      </w:r>
      <w:r>
        <w:t xml:space="preserve"> Each teller marks parts of their story as private or shareable. Use for a claim follows community consent, defined in IPRA s3(g) as the consensus of all members. A human can override any AI output.</w:t>
      </w:r>
    </w:p>
    <w:p>
      <w:pPr>
        <w:pStyle w:val="ListParagraph"/>
        <w:numPr>
          <w:ilvl w:val="0"/>
          <w:numId w:val="2"/>
        </w:numPr>
        <w:spacing w:after="60"/>
      </w:pPr>
      <w:r>
        <w:rPr>
          <w:b/>
          <w:bCs/>
        </w:rPr>
        <w:t xml:space="preserve">D (distributor).</w:t>
      </w:r>
      <w:r>
        <w:t xml:space="preserve"> Private community data never enters the open knowledge base. Outputs go only to roles the community has approved.</w:t>
      </w:r>
    </w:p>
    <w:p>
      <w:pPr>
        <w:pStyle w:val="ListParagraph"/>
        <w:numPr>
          <w:ilvl w:val="0"/>
          <w:numId w:val="2"/>
        </w:numPr>
        <w:spacing w:after="60"/>
      </w:pPr>
      <w:r>
        <w:rPr>
          <w:b/>
          <w:bCs/>
        </w:rPr>
        <w:t xml:space="preserve">SINK (outputs).</w:t>
      </w:r>
      <w:r>
        <w:t xml:space="preserve"> Every step is written to a tamper-evident audit log with sources and reasoning.</w:t>
      </w:r>
    </w:p>
    <w:p>
      <w:pPr>
        <w:pStyle w:val="Heading1"/>
      </w:pPr>
      <w:r>
        <w:t xml:space="preserve">4. Mapping with ITU-T Y.3172, Readiness 2.0 Report and domain-specific policies</w:t>
      </w:r>
    </w:p>
    <w:p>
      <w:pPr>
        <w:pStyle w:val="Heading2"/>
      </w:pPr>
      <w:r>
        <w:t xml:space="preserve">4.1 Pipeline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2410"/>
        <w:gridCol w:w="3566"/>
      </w:tblGrid>
      <w:tr>
        <w:trPr>
          <w:tblHeader/>
        </w:trPr>
        <w:tc>
          <w:tcPr>
            <w:tcW w:type="dxa" w:w="77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Node</w:t>
            </w:r>
          </w:p>
        </w:tc>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Use case (public services: ancestral land rights)</w:t>
            </w:r>
          </w:p>
        </w:tc>
        <w:tc>
          <w:tcPr>
            <w:tcW w:type="dxa" w:w="2410"/>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Readiness 2.0 dimension</w:t>
            </w:r>
          </w:p>
        </w:tc>
        <w:tc>
          <w:tcPr>
            <w:tcW w:type="dxa" w:w="3566"/>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Documents</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SRC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Stories from many members; community documents; policy corpus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Data/model marketplace; AI for inclusion</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s51, s52(d); Data Privacy Act (RA 10173) on consent; World Bank (2024) on self-identification</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and phone recorder, offline-first; separate sessions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Digital infrastructure; Human interface</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 Act; NPC Circular 2023-04 on consent; NCIP AO 1 s.2012 on documenting indigenous knowledge; National Cybersecurity Plan 2023–2028 (EO 58); World Bank (2024) on isolated areas</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PP</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Voice reader, text reader (OCR), translation, entity extraction; policy knowledge base built with the ITU reference code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Contextualization and regional impact; Generated content marketplace</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Advisory 2024-04 (accuracy, bias); IPRA s52(g) on translation into the native language</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matcher, bias check, policy adviser and institutional agents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Cross-domain correlation analysis; Level of integration of AI in workflows</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Advisory 2024-04; </w:t>
            </w:r>
            <w:r>
              <w:rPr>
                <w:i/>
                <w:iCs/>
                <w:sz w:val="18"/>
                <w:szCs w:val="18"/>
              </w:rPr>
              <w:t xml:space="preserve">Delgamuukw</w:t>
            </w:r>
            <w:r>
              <w:rPr>
                <w:sz w:val="18"/>
                <w:szCs w:val="18"/>
              </w:rPr>
              <w:t xml:space="preserve"> (Canada) on oral evidence; EU AI Act Art. 14</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Consent, private or shareable marks, human review and override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and policies; Collaboration with AI; Impacts of humans in AI integration</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s3(g), s34; CARE Principles; Te Mana Raraunga; EU AI Act Art. 14</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Routes outputs by role and consent; keeps private data out of the open knowledge base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Strategy alignment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s34 and s45; NPC Advisory 2024-04; National AI Strategy Roadmap 2.0</w:t>
            </w:r>
          </w:p>
        </w:tc>
      </w:tr>
      <w:tr>
        <w:trPr>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SINK</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Consensus read-back, sample dossier, multi-agent simulation with a simulated timeline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and policies (policy sandbox); Granular priorities</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s52(d), s52(k), s54, s59, s62; NCIP AO 4 s.2012 (delineation); Mining Act s16; UNDRIP Art. 32(2)</w:t>
            </w:r>
          </w:p>
        </w:tc>
      </w:tr>
    </w:tbl>
    <w:p>
      <w:pPr>
        <w:spacing w:after="60"/>
      </w:pPr>
    </w:p>
    <w:p>
      <w:pPr>
        <w:pStyle w:val="Heading2"/>
      </w:pPr>
      <w:r>
        <w:t xml:space="preserve">4.2 Country documents by category</w:t>
      </w:r>
    </w:p>
    <w:p>
      <w:pPr>
        <w:spacing w:after="120"/>
      </w:pPr>
      <w:r>
        <w:t xml:space="preserve">Each category of country document named in the brief, and how the solution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8"/>
        <w:gridCol w:w="3470"/>
      </w:tblGrid>
      <w:tr>
        <w:trPr>
          <w:tblHeader/>
        </w:trPr>
        <w:tc>
          <w:tcPr>
            <w:tcW w:type="dxa" w:w="2120"/>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Category</w:t>
            </w:r>
          </w:p>
        </w:tc>
        <w:tc>
          <w:tcPr>
            <w:tcW w:type="dxa" w:w="404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Document</w:t>
            </w:r>
          </w:p>
        </w:tc>
        <w:tc>
          <w:tcPr>
            <w:tcW w:type="dxa" w:w="3470"/>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How we use it</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Laws and regulations</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(RA 8371) and its implementing rules; NCIP rules on FPIC, delineation and documenting indigenous knowledge (2012); NCIP Rules of Procedure (2018); Expanded NIPAS Act (RA 11038); Cybercrime Prevention Act (RA 10175)</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Proof rules (s52(d)), title registration (s52(k)), fraud review (s54), disputes (s62), permits only after NCIP certification (s59); protected-area overlaps; data-leak scenario</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digital and cybersecurity strategies</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AI Strategy Roadmap 2.0 (DTI, July 2024); National Cybersecurity Plan 2023–2028 (EO 58)</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governance with the NPC; agencies align their cybersecurity plans with the national plan</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protection</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 Act (RA 10173) and its implementing rules (ethnic origin is sensitive personal information); NPC Circular 2023-04 on consent; NPC Advisory No. 2024-04 on AI (19 December 2024)</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Consent per purpose and easy withdrawal; stricter handling of self-identified group; bias monitoring</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Institutional mandates</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(IPRA s44, s46, s66); DENR and its Mines and Geosciences Bureau (Mining Act); NPC; LGUs (Local Government Code, RA 7160); DAR, DENR, LRA and NCIP joint order on overlapping claims (JAO 1, s.2012); </w:t>
            </w:r>
            <w:r>
              <w:rPr>
                <w:i/>
                <w:iCs/>
                <w:sz w:val="18"/>
                <w:szCs w:val="18"/>
              </w:rPr>
              <w:t xml:space="preserve">Lim v. Gamosa</w:t>
            </w:r>
            <w:r>
              <w:rPr>
                <w:sz w:val="18"/>
                <w:szCs w:val="18"/>
              </w:rPr>
              <w:t xml:space="preserve"> (2015) on NCIP jurisdiction</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Each agent's mandate; coordination rules for overlapping claims</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Economic and industrial</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Mining Act (RA 7942) s16: no mining on ancestral land without the community's prior consent</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scenario script</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Intellectual property</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 Code (RA 8293) s176: no copyright in government works (prior approval needed only to exploit them for profit); IPRA s32 and s34 on community knowledge</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community owns its recordings; Philippine laws can be published in the open knowledge base</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Treaties and multilateral commitments</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UNDRIP (voted for in 2007; not a treaty); Convention on Biological Diversity (ratified 1993); ILO Convention 169 (not ratified; used as benchmark)</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Global benchmarks for consent</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Statistics and data</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Community-Based Monitoring System Act (RA 11315); PSA 2020 census ethnicity notes; 2025 government–World Bank IP data workshop</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Self-identification field; aligns with the planned national IP data standards</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Education and language</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DepEd Order 62, s.2011 (Indigenous Peoples Education Policy Framework)</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Follows its call for rights-based consultation and participation of indigenous communities</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Labour market</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Bank (2024): agriculture dominates indigenous employment; gender gaps are larger, and women's share in unpaid family work is over three times that of non-indigenous women</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Community members, including women, paid as translators and recorders</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Energy and infrastructure</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Bank (2024): about 37% of indigenous people live in geographically isolated areas, and more indigenous households lack electric lighting</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Offline recording on phones, upload when there is signal</w:t>
            </w:r>
          </w:p>
        </w:tc>
      </w:tr>
    </w:tbl>
    <w:p>
      <w:pPr>
        <w:spacing w:after="60"/>
      </w:pPr>
    </w:p>
    <w:p>
      <w:pPr>
        <w:pStyle w:val="Heading2"/>
      </w:pPr>
      <w:r>
        <w:t xml:space="preserve">4.3 ITU AI Readiness perspectives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Perspective</w:t>
            </w:r>
          </w:p>
        </w:tc>
        <w:tc>
          <w:tcPr>
            <w:tcW w:type="dxa" w:w="6265"/>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How we address it</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 data and open source</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 knowledge base built with the ITU reference code; community data stays private</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Generative AI content ecosystem</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Read-back story, always confirmed by the community</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Contextualization and regional focus</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Local languages (222 indigenous groups and 110 languages in NCIP's database) and customary law</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integration and cross-domain analysis</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Land, data protection, environment and mining, local government</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interaction and supervision</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review and override at the policy gate</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Policy and implementation opportunities</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Gap table in Section 6</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AI for social inclusion</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Many voices: women, youth, remote members; self-identification</w:t>
            </w:r>
          </w:p>
        </w:tc>
      </w:tr>
      <w:tr>
        <w:trPr>
          <w:tblHeader w:val="false"/>
        </w:trP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Digital infrastructure and energy</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Offline recording on mobile, sync later</w:t>
            </w:r>
          </w:p>
        </w:tc>
      </w:tr>
    </w:tbl>
    <w:p>
      <w:pPr>
        <w:pStyle w:val="Heading1"/>
      </w:pPr>
      <w:r>
        <w:t xml:space="preserve">5. Error scenarios</w:t>
      </w:r>
    </w:p>
    <w:p>
      <w:pPr>
        <w:pStyle w:val="Heading2"/>
      </w:pPr>
      <w:r>
        <w:t xml:space="preserve">5.1 Agents and mandates</w:t>
      </w:r>
    </w:p>
    <w:p>
      <w:pPr>
        <w:spacing w:after="120"/>
      </w:pPr>
      <w:r>
        <w:t xml:space="preserve">Separate agents play the institutions involved. Each receives different information and works under its own mandate; the orchestrator coordinates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rPr>
          <w:tblHeader/>
        </w:trPr>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Agent</w:t>
            </w:r>
          </w:p>
        </w:tc>
        <w:tc>
          <w:tcPr>
            <w:tcW w:type="dxa" w:w="2410"/>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Role</w:t>
            </w:r>
          </w:p>
        </w:tc>
        <w:tc>
          <w:tcPr>
            <w:tcW w:type="dxa" w:w="4337"/>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Mandate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Matching, read-back, dossier</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agent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Lead regulator</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CADT process, FPIC, indigenous peoples' rights, indigenous data</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agent (LMB, MGB)</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Land and mining agency</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Surveys, land records, mining permits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agent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protection</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Consent, data privacy, breach response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LGU agent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Local government</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Local records, zoning, local cybersecurity plan, sectoral representation</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Legal adviser</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Policy adviser</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Law, gaps, global examples</w:t>
            </w:r>
          </w:p>
        </w:tc>
      </w:tr>
    </w:tbl>
    <w:p>
      <w:pPr>
        <w:spacing w:after="60"/>
      </w:pPr>
    </w:p>
    <w:p>
      <w:pPr>
        <w:pStyle w:val="Heading2"/>
      </w:pPr>
      <w:r>
        <w:t xml:space="preserve">5.2 Scenario script: mining overlap</w:t>
      </w:r>
    </w:p>
    <w:p>
      <w:pPr>
        <w:spacing w:after="120"/>
      </w:pPr>
      <w:r>
        <w:t xml:space="preserve">The orchestrator releases events one at a time over a simulated 40 days. Each event goes only to the agents that would receive it in real life, so no agent sees the whole picture at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78"/>
        <w:gridCol w:w="2699"/>
        <w:gridCol w:w="1542"/>
        <w:gridCol w:w="4241"/>
      </w:tblGrid>
      <w:tr>
        <w:trPr>
          <w:tblHeader/>
        </w:trPr>
        <w:tc>
          <w:tcPr>
            <w:tcW w:type="dxa" w:w="57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Step</w:t>
            </w:r>
          </w:p>
        </w:tc>
        <w:tc>
          <w:tcPr>
            <w:tcW w:type="dxa" w:w="578"/>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Day</w:t>
            </w:r>
          </w:p>
        </w:tc>
        <w:tc>
          <w:tcPr>
            <w:tcW w:type="dxa" w:w="2699"/>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Event</w:t>
            </w:r>
          </w:p>
        </w:tc>
        <w:tc>
          <w:tcPr>
            <w:tcW w:type="dxa" w:w="1542"/>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Released to</w:t>
            </w:r>
          </w:p>
        </w:tc>
        <w:tc>
          <w:tcPr>
            <w:tcW w:type="dxa" w:w="424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Expected handling</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community files a petition. 40 members are recorded; most name a river and a ridge as the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NCIP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drafts a boundary from the matched stories. NCIP opens delineation (IPRA s52(b)–(c))</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mining company applies for an exploration permit over part of the claimed area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agent only</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must get NCIP certification of no overlap before granting (IPRA s59). Test: does DENR ask NCIP?</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25</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Two appointed representatives change their accounts: the ridge is no longer the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Story agent only</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Bias check flags a change made only by representatives. Nothing changes automatically; it goes to human review</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recording describing a sacred site leaks online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agent, LGU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runs breach response under the Data Privacy Act; illegal access is a crime under the Cybercrime Prevention Act. The audit log shows the file was marked private and who accessed it</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35</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neighbouring community claims the same river as its boundary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agent</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Customary process comes first (s62, s66); NCIP's Ancestral Domains Office helps the parties reach a preliminary resolution (s52(h)); unresolved disputes go to NCIP adjudication under its 2018 Rules of Procedure</w:t>
            </w:r>
          </w:p>
        </w:tc>
      </w:tr>
      <w:tr>
        <w:trPr>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w:t>
            </w:r>
          </w:p>
        </w:tc>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40</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Escalation: the company offers benefits through the appointed representatives, in exchange for consent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All agents</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Legal adviser: consent must be the consensus of all members, free of manipulation (s3(g)); Mining Act s16; UNDRIP Art. 32(2). No new permit while a CADT application is pending (s59)</w:t>
            </w:r>
          </w:p>
        </w:tc>
      </w:tr>
    </w:tbl>
    <w:p>
      <w:pPr>
        <w:spacing w:after="60"/>
      </w:pPr>
    </w:p>
    <w:p>
      <w:pPr>
        <w:spacing w:after="120"/>
      </w:pPr>
      <w:r>
        <w:t xml:space="preserve">Step 6 turns a permit issue into a consent and ethics breach. Corrective actions follow rules agreed before the simulation, not ad hoc choices.</w:t>
      </w:r>
    </w:p>
    <w:p>
      <w:pPr>
        <w:spacing w:after="120"/>
      </w:pPr>
      <w:r>
        <w:rPr>
          <w:b/>
          <w:bCs/>
        </w:rPr>
        <w:t xml:space="preserve">Where it gets controversial.</w:t>
      </w:r>
      <w:r>
        <w:t xml:space="preserve"> Flagging the representatives' changed accounts may look like distrust of traditional leaders. The response: flags go only to the community council and NCIP, are never published, and never reject testimony on their own. Elders can explain the change, and that explanation is recorded.</w:t>
      </w:r>
    </w:p>
    <w:p>
      <w:pPr>
        <w:pStyle w:val="Heading2"/>
      </w:pPr>
      <w:r>
        <w:t xml:space="preserve">5.3 Other scenarios</w:t>
      </w:r>
    </w:p>
    <w:p>
      <w:pPr>
        <w:pStyle w:val="ListParagraph"/>
        <w:numPr>
          <w:ilvl w:val="0"/>
          <w:numId w:val="2"/>
        </w:numPr>
        <w:spacing w:after="60"/>
      </w:pPr>
      <w:r>
        <w:rPr>
          <w:b/>
          <w:bCs/>
        </w:rPr>
        <w:t xml:space="preserve">Overlapping claims.</w:t>
      </w:r>
      <w:r>
        <w:t xml:space="preserve"> Two communities describe the same river as their boundary.</w:t>
      </w:r>
    </w:p>
    <w:p>
      <w:pPr>
        <w:pStyle w:val="ListParagraph"/>
        <w:numPr>
          <w:ilvl w:val="0"/>
          <w:numId w:val="2"/>
        </w:numPr>
        <w:spacing w:after="60"/>
      </w:pPr>
      <w:r>
        <w:rPr>
          <w:b/>
          <w:bCs/>
        </w:rPr>
        <w:t xml:space="preserve">Mining conflict.</w:t>
      </w:r>
      <w:r>
        <w:t xml:space="preserve"> A permit application overlaps the claimed area partway through processing.</w:t>
      </w:r>
    </w:p>
    <w:p>
      <w:pPr>
        <w:pStyle w:val="ListParagraph"/>
        <w:numPr>
          <w:ilvl w:val="0"/>
          <w:numId w:val="2"/>
        </w:numPr>
        <w:spacing w:after="60"/>
      </w:pPr>
      <w:r>
        <w:rPr>
          <w:b/>
          <w:bCs/>
        </w:rPr>
        <w:t xml:space="preserve">Mistranslation.</w:t>
      </w:r>
      <w:r>
        <w:t xml:space="preserve"> A landmark name is mistranslated and breaks the match.</w:t>
      </w:r>
    </w:p>
    <w:p>
      <w:pPr>
        <w:pStyle w:val="ListParagraph"/>
        <w:numPr>
          <w:ilvl w:val="0"/>
          <w:numId w:val="2"/>
        </w:numPr>
        <w:spacing w:after="60"/>
      </w:pPr>
      <w:r>
        <w:rPr>
          <w:b/>
          <w:bCs/>
        </w:rPr>
        <w:t xml:space="preserve">Consent withdrawn.</w:t>
      </w:r>
      <w:r>
        <w:t xml:space="preserve"> An elder withdraws consent after recording.</w:t>
      </w:r>
    </w:p>
    <w:p>
      <w:pPr>
        <w:pStyle w:val="ListParagraph"/>
        <w:numPr>
          <w:ilvl w:val="0"/>
          <w:numId w:val="2"/>
        </w:numPr>
        <w:spacing w:after="60"/>
      </w:pPr>
      <w:r>
        <w:rPr>
          <w:b/>
          <w:bCs/>
        </w:rPr>
        <w:t xml:space="preserve">Data leak.</w:t>
      </w:r>
      <w:r>
        <w:t xml:space="preserve"> Recordings of sacred sites are exposed.</w:t>
      </w:r>
    </w:p>
    <w:p>
      <w:pPr>
        <w:pStyle w:val="Heading1"/>
      </w:pPr>
      <w:r>
        <w:t xml:space="preserve">6. Policy gaps and standards gaps</w:t>
      </w:r>
    </w:p>
    <w:p>
      <w:pPr>
        <w:spacing w:after="120"/>
      </w:pPr>
      <w:r>
        <w:t xml:space="preserve">The agents map each domain gap to a global practice. Gaps are typed by the evaluation categories: legislative, standards, data, unclear responsibility, coordination, conflict between objectives and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1349"/>
        <w:gridCol w:w="3855"/>
        <w:gridCol w:w="1253"/>
      </w:tblGrid>
      <w:tr>
        <w:trPr>
          <w:tblHeader/>
        </w:trPr>
        <w:tc>
          <w:tcPr>
            <w:tcW w:type="dxa" w:w="318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Gap</w:t>
            </w:r>
          </w:p>
        </w:tc>
        <w:tc>
          <w:tcPr>
            <w:tcW w:type="dxa" w:w="1349"/>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Type</w:t>
            </w:r>
          </w:p>
        </w:tc>
        <w:tc>
          <w:tcPr>
            <w:tcW w:type="dxa" w:w="3855"/>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Global example</w:t>
            </w:r>
          </w:p>
        </w:tc>
        <w:tc>
          <w:tcPr>
            <w:tcW w:type="dxa" w:w="1253"/>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Source</w:t>
            </w:r>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requires sworn testimony plus one authentic document (s52(d)), and a petition by a majority of members (s52(b)), but sets no minimum number or mix of people whose testimony is taken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Legislative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Kenya, Community Land Act 2016 s15: an assembly of all adult members decides on community land (two-thirds quorum; two-thirds of members to dispose of land) and elects a 7–15 member committee to manage it day to day. Canada, </w:t>
            </w:r>
            <w:r>
              <w:rPr>
                <w:i/>
                <w:iCs/>
                <w:sz w:val="18"/>
                <w:szCs w:val="18"/>
              </w:rPr>
              <w:t xml:space="preserve">Delgamuukw</w:t>
            </w:r>
            <w:r>
              <w:rPr>
                <w:sz w:val="18"/>
                <w:szCs w:val="18"/>
              </w:rPr>
              <w:t xml:space="preserve"> (1997): oral history treated as equal to other evidence</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emlczch4xvhfo-tjtex2m">
              <w:r>
                <w:rPr>
                  <w:rStyle w:val="Hyperlink"/>
                  <w:sz w:val="18"/>
                  <w:szCs w:val="18"/>
                </w:rPr>
                <w:t xml:space="preserve">Kenya Law</w:t>
              </w:r>
            </w:hyperlink>
            <w:r>
              <w:rPr>
                <w:sz w:val="18"/>
                <w:szCs w:val="18"/>
              </w:rPr>
              <w:t xml:space="preserve">; </w:t>
            </w:r>
            <w:hyperlink w:history="1" r:id="rIdoiaqo6bkcucywi8b_jqgr">
              <w:r>
                <w:rPr>
                  <w:rStyle w:val="Hyperlink"/>
                  <w:sz w:val="18"/>
                  <w:szCs w:val="18"/>
                </w:rPr>
                <w:t xml:space="preserve">Delgamuukw</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rules for AI-processed evidence; NPC Advisory 2024-04 covers personal data in AI, not evidentiary use</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Standards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EU AI Act, Article 14: people must be able to monitor, interpret and override high-risk AI, and guard against automation bias. Under the Digital Omnibus (in force 27 July 2026), this applies to Annex III systems from 2 December 2027</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86ozxn0hci3jeasvfftzl">
              <w:r>
                <w:rPr>
                  <w:rStyle w:val="Hyperlink"/>
                  <w:sz w:val="18"/>
                  <w:szCs w:val="18"/>
                </w:rPr>
                <w:t xml:space="preserve">Art. 14</w:t>
              </w:r>
            </w:hyperlink>
            <w:r>
              <w:rPr>
                <w:sz w:val="18"/>
                <w:szCs w:val="18"/>
              </w:rPr>
              <w:t xml:space="preserve">; </w:t>
            </w:r>
            <w:hyperlink w:history="1" r:id="rIde_kmq_6uxgwgzn-xas6z6">
              <w:r>
                <w:rPr>
                  <w:rStyle w:val="Hyperlink"/>
                  <w:sz w:val="18"/>
                  <w:szCs w:val="18"/>
                </w:rPr>
                <w:t xml:space="preserve">Omnibus</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may not grant a permit without NCIP certifying no overlap, and none while a CADT application is pending (s59). No shared, live register of pending claims is named in the law</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Unclear responsibility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 the Native Title Registrar keeps a public, mapped Register of Native Title Claims</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ww3e4q5hv4tybo_ymfyyj">
              <w:r>
                <w:rPr>
                  <w:rStyle w:val="Hyperlink"/>
                  <w:sz w:val="18"/>
                  <w:szCs w:val="18"/>
                </w:rPr>
                <w:t xml:space="preserve">data.gov.au</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Only 55 of 257 approved CADTs (22%) were fully registered by early 2023 (s52(k) requires registration). A 2017 review (PAFID, for ANGOC) found that the 2012 joint order on overlapping claims among DAR, DENR, LRA and NCIP frustrates title registration rather than facilitating it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Australia's single public register shared across agencies</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vtiont7gjnjsejplfgkz3">
              <w:r>
                <w:rPr>
                  <w:rStyle w:val="Hyperlink"/>
                  <w:sz w:val="18"/>
                  <w:szCs w:val="18"/>
                </w:rPr>
                <w:t xml:space="preserve">World Bank</w:t>
              </w:r>
            </w:hyperlink>
            <w:r>
              <w:rPr>
                <w:sz w:val="18"/>
                <w:szCs w:val="18"/>
              </w:rPr>
              <w:t xml:space="preserve">; </w:t>
            </w:r>
            <w:hyperlink w:history="1" r:id="rIddbeldmenivcux9ad9otem">
              <w:r>
                <w:rPr>
                  <w:rStyle w:val="Hyperlink"/>
                  <w:sz w:val="18"/>
                  <w:szCs w:val="18"/>
                </w:rPr>
                <w:t xml:space="preserve">JAO review</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main income, labour, poverty and health surveys (FIES, LFS, APIS, FHS) have no ethnicity variables</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Mexico's INEGI asks a self-identification question alongside language: 7.4 million people aged 3 and over speak an indigenous language, but 23.2 million self-identify as indigenous (2020). Australia's Indigenous Status Standard asks one standard self-identification question of every respondent</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ic7g7ausxywfenftl4yz3">
              <w:r>
                <w:rPr>
                  <w:rStyle w:val="Hyperlink"/>
                  <w:sz w:val="18"/>
                  <w:szCs w:val="18"/>
                </w:rPr>
                <w:t xml:space="preserve">INEGI</w:t>
              </w:r>
            </w:hyperlink>
            <w:r>
              <w:rPr>
                <w:sz w:val="18"/>
                <w:szCs w:val="18"/>
              </w:rPr>
              <w:t xml:space="preserve">; </w:t>
            </w:r>
            <w:hyperlink w:history="1" r:id="rIdruswfoepxw9jqzdmys_2n">
              <w:r>
                <w:rPr>
                  <w:rStyle w:val="Hyperlink"/>
                  <w:sz w:val="18"/>
                  <w:szCs w:val="18"/>
                </w:rPr>
                <w:t xml:space="preserve">ABS</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Only NCIP has a mandate to lead and harmonize indigenous data, and efforts are uncoordinated. In January 2025 an interagency task force was agreed, with a first draft of national standards planned for June 2025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Unclear responsibility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UNESCO Recommendation on the Ethics of AI (2021), para. 47: where relevant, respect for Indigenous Peoples' self-governance of their data. CARE Principles: authority to control</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hobnpbph8nwdobkkfarq">
              <w:r>
                <w:rPr>
                  <w:rStyle w:val="Hyperlink"/>
                  <w:sz w:val="18"/>
                  <w:szCs w:val="18"/>
                </w:rPr>
                <w:t xml:space="preserve">UNESCO</w:t>
              </w:r>
            </w:hyperlink>
            <w:r>
              <w:rPr>
                <w:sz w:val="18"/>
                <w:szCs w:val="18"/>
              </w:rPr>
              <w:t xml:space="preserve">; </w:t>
            </w:r>
            <w:hyperlink w:history="1" r:id="rId7gk2i5xnvv9nachyfhohg">
              <w:r>
                <w:rPr>
                  <w:rStyle w:val="Hyperlink"/>
                  <w:sz w:val="18"/>
                  <w:szCs w:val="18"/>
                </w:rPr>
                <w:t xml:space="preserve">Workshop</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makes NCIP's records and research data public, subject to limits set by law (s45), while giving communities control of their own knowledge (s34)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CARE Principles (Global Indigenous Data Alliance; drafted 2018, published 2019): collective benefit, authority to control, responsibility, ethics, alongside open-data rules. Canada's OCAP® (1998) sets similar principles specifically for First Nations data</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t82q0qpibhtgvtglpjxs8">
              <w:r>
                <w:rPr>
                  <w:rStyle w:val="Hyperlink"/>
                  <w:sz w:val="18"/>
                  <w:szCs w:val="18"/>
                </w:rPr>
                <w:t xml:space="preserve">CARE</w:t>
              </w:r>
            </w:hyperlink>
            <w:r>
              <w:rPr>
                <w:sz w:val="18"/>
                <w:szCs w:val="18"/>
              </w:rPr>
              <w:t xml:space="preserve">; </w:t>
            </w:r>
            <w:hyperlink w:history="1" r:id="rId78janw9xirewdxe566lbs">
              <w:r>
                <w:rPr>
                  <w:rStyle w:val="Hyperlink"/>
                  <w:sz w:val="18"/>
                  <w:szCs w:val="18"/>
                </w:rPr>
                <w:t xml:space="preserve">OCAP®</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NCIP's 2012 guidelines govern documenting indigenous knowledge, but no standard covers AI processing of sacred content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Standards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New Zealand, Te Mana Raraunga (October 2018): Māori decide which data stay private and which can be shared</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2yvfapzr2zm3gk4hqbn7l">
              <w:r>
                <w:rPr>
                  <w:rStyle w:val="Hyperlink"/>
                  <w:sz w:val="18"/>
                  <w:szCs w:val="18"/>
                </w:rPr>
                <w:t xml:space="preserve">TEC</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Mining Act s16 asks for the community's "prior consent"; IPRA defines FPIC as the consensus of all members under customary law (s3(g))</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UNDRIP Art. 32(2): states must consult and cooperate in good faith to obtain free and informed consent before approving projects affecting indigenous lands, particularly mineral development</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fqf3ngsoxphpfndqnsuvu">
              <w:r>
                <w:rPr>
                  <w:rStyle w:val="Hyperlink"/>
                  <w:sz w:val="18"/>
                  <w:szCs w:val="18"/>
                </w:rPr>
                <w:t xml:space="preserve">UNDRIP</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Recorded stories may hold traditional knowledge (for example, medicinal plants) that others could patent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Legislative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WIPO Treaty on IP, Genetic Resources and Associated Traditional Knowledge (May 2024): once in force, patent applicants must disclose the Indigenous Peoples who provided the knowledge. Not yet in force as of July 2026 (needs 15 ratifications)</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d_th5-cdreugk4c-n9qbv">
              <w:r>
                <w:rPr>
                  <w:rStyle w:val="Hyperlink"/>
                  <w:sz w:val="18"/>
                  <w:szCs w:val="18"/>
                </w:rPr>
                <w:t xml:space="preserve">WIPO</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Boundary disputes between communities go to customary process (s62, s66), with no structured way to compare evidence; NCIP has jurisdiction only when both parties are indigenous; otherwise regular courts decide (</w:t>
            </w:r>
            <w:r>
              <w:rPr>
                <w:i/>
                <w:iCs/>
                <w:sz w:val="18"/>
                <w:szCs w:val="18"/>
              </w:rPr>
              <w:t xml:space="preserve">Lim v. Gamosa</w:t>
            </w:r>
            <w:r>
              <w:rPr>
                <w:sz w:val="18"/>
                <w:szCs w:val="18"/>
              </w:rPr>
              <w:t xml:space="preserve">, 2015)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Coordination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 Native Title Act 1993: since the 2009 amendments, the Federal Court manages claims and refers each to mediation (s 86B); s 67 lets overlapping claims be heard together</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jea0hm1njq_kzh0-udkzi">
              <w:r>
                <w:rPr>
                  <w:rStyle w:val="Hyperlink"/>
                  <w:sz w:val="18"/>
                  <w:szCs w:val="18"/>
                </w:rPr>
                <w:t xml:space="preserve">Fed. Court</w:t>
              </w:r>
            </w:hyperlink>
            <w:r>
              <w:rPr>
                <w:sz w:val="18"/>
                <w:szCs w:val="18"/>
              </w:rPr>
              <w:t xml:space="preserve">; </w:t>
            </w:r>
            <w:hyperlink w:history="1" r:id="rIdcbdwva82mztnimvs2nxrk">
              <w:r>
                <w:rPr>
                  <w:rStyle w:val="Hyperlink"/>
                  <w:sz w:val="18"/>
                  <w:szCs w:val="18"/>
                </w:rPr>
                <w:t xml:space="preserve">Lim v. Gamosa</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s16 requires mandatory indigenous representation in local legislative councils, but the Local Government Code s41(c) lists indigenous communities as only one option for a sectoral seat</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Conflict between objectives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Kenya, Community Land Act 2016: land decisions sit with an assembly of all adult members, not a single representative</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vydexql9iv9ufeakykqs">
              <w:r>
                <w:rPr>
                  <w:rStyle w:val="Hyperlink"/>
                  <w:sz w:val="18"/>
                  <w:szCs w:val="18"/>
                </w:rPr>
                <w:t xml:space="preserve">IPRA</w:t>
              </w:r>
            </w:hyperlink>
            <w:r>
              <w:rPr>
                <w:sz w:val="18"/>
                <w:szCs w:val="18"/>
              </w:rPr>
              <w:t xml:space="preserve">; </w:t>
            </w:r>
            <w:hyperlink w:history="1" r:id="rIdzeatf3my_qtiznt5krtpv">
              <w:r>
                <w:rPr>
                  <w:rStyle w:val="Hyperlink"/>
                  <w:sz w:val="18"/>
                  <w:szCs w:val="18"/>
                </w:rPr>
                <w:t xml:space="preserve">LGC</w:t>
              </w:r>
            </w:hyperlink>
          </w:p>
        </w:tc>
      </w:tr>
      <w:tr>
        <w:trPr>
          <w:tblHeader w:val="false"/>
        </w:trPr>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About 37% of indigenous people (2.9 million) live in geographically isolated areas with weak or no signal</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global example mapped yet; handled by offline-first design</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q0if67rtahxrj9sm1slwb">
              <w:r>
                <w:rPr>
                  <w:rStyle w:val="Hyperlink"/>
                  <w:sz w:val="18"/>
                  <w:szCs w:val="18"/>
                </w:rPr>
                <w:t xml:space="preserve">World Bank</w:t>
              </w:r>
            </w:hyperlink>
          </w:p>
        </w:tc>
      </w:tr>
    </w:tbl>
    <w:p>
      <w:pPr>
        <w:spacing w:after="60"/>
      </w:pPr>
    </w:p>
    <w:p>
      <w:pPr>
        <w:spacing w:after="120"/>
      </w:pPr>
      <w:r>
        <w:t xml:space="preserve">Gaps on tellers, the claims register, sacred content, boundary disputes and local representation are our reading of the law, not findings of a court or agency. IPRA s54 lets NCIP review and cancel fraudulently acquired claims on the community's written request; our bias check can support such reviews.</w:t>
      </w:r>
    </w:p>
    <w:p>
      <w:pPr>
        <w:pStyle w:val="Heading1"/>
      </w:pPr>
      <w:r>
        <w:t xml:space="preserve">7. Knowledge base and models</w:t>
      </w:r>
    </w:p>
    <w:p>
      <w:pPr>
        <w:pStyle w:val="Heading2"/>
      </w:pPr>
      <w:r>
        <w:t xml:space="preserve">7.1 Build pipeline</w:t>
      </w:r>
    </w:p>
    <w:p>
      <w:pPr>
        <w:spacing w:after="120"/>
      </w:pPr>
      <w:r>
        <w:t xml:space="preserve">The knowledge base is built with the ITU reference code (</w:t>
      </w:r>
      <w:hyperlink w:history="1" r:id="rIdgwbw7a9gymsxjmu6nhatt">
        <w:r>
          <w:rPr>
            <w:rStyle w:val="Hyperlink"/>
          </w:rPr>
          <w:t xml:space="preserve">CrashingGuru/ITUAIReadiness</w:t>
        </w:r>
      </w:hyperlink>
      <w:r>
        <w:t xml:space="preserve">). Its pipeline parses documents (docling, with PyMuPDF as fallback), splits them into chunks of about 256 words with 30 words of overlap, embeds them with nomic-embed-text through Ollama, and stores them in ChromaDB. It already holds the ITU material, including Y.3172 and the AI Readiness Framework 2.0.</w:t>
      </w:r>
    </w:p>
    <w:p>
      <w:pPr>
        <w:spacing w:after="120"/>
      </w:pPr>
      <w:r>
        <w:t xml:space="preserve">What we add:</w:t>
      </w:r>
    </w:p>
    <w:p>
      <w:pPr>
        <w:pStyle w:val="ListParagraph"/>
        <w:numPr>
          <w:ilvl w:val="0"/>
          <w:numId w:val="2"/>
        </w:numPr>
        <w:spacing w:after="60"/>
      </w:pPr>
      <w:r>
        <w:rPr>
          <w:b/>
          <w:bCs/>
        </w:rPr>
        <w:t xml:space="preserve">Philippine and global-practice folders</w:t>
      </w:r>
      <w:r>
        <w:t xml:space="preserve">, listed below, downloaded by a script that logs each file's checksum so the exact version ingested can be shown.</w:t>
      </w:r>
    </w:p>
    <w:p>
      <w:pPr>
        <w:pStyle w:val="ListParagraph"/>
        <w:numPr>
          <w:ilvl w:val="0"/>
          <w:numId w:val="2"/>
        </w:numPr>
        <w:spacing w:after="60"/>
      </w:pPr>
      <w:r>
        <w:rPr>
          <w:b/>
          <w:bCs/>
        </w:rPr>
        <w:t xml:space="preserve">Extra tags on each chunk:</w:t>
      </w:r>
      <w:r>
        <w:t xml:space="preserve"> source ID, title, issuer, year, folder, country and the section numbers found in the chunk, so agents can cite the exact clause.</w:t>
      </w:r>
    </w:p>
    <w:p>
      <w:pPr>
        <w:pStyle w:val="ListParagraph"/>
        <w:numPr>
          <w:ilvl w:val="0"/>
          <w:numId w:val="2"/>
        </w:numPr>
        <w:spacing w:after="60"/>
      </w:pPr>
      <w:r>
        <w:rPr>
          <w:b/>
          <w:bCs/>
        </w:rPr>
        <w:t xml:space="preserve">Curated data, one item per chunk:</w:t>
      </w:r>
      <w:r>
        <w:t xml:space="preserve"> 25 key clauses (16 copied word for word from official text, which carries no copyright under IP Code s176), 16 key figures with sources (conflicting figures kept side by side), and 13 policy gaps each linked to Philippine clauses and global examples.</w:t>
      </w:r>
    </w:p>
    <w:p>
      <w:pPr>
        <w:pStyle w:val="ListParagraph"/>
        <w:numPr>
          <w:ilvl w:val="0"/>
          <w:numId w:val="2"/>
        </w:numPr>
        <w:spacing w:after="60"/>
      </w:pPr>
      <w:r>
        <w:rPr>
          <w:b/>
          <w:bCs/>
        </w:rPr>
        <w:t xml:space="preserve">A hard split between open and private data.</w:t>
      </w:r>
      <w:r>
        <w:t xml:space="preserve"> Only laws, policies and context data go into the open knowledge base. Community stories and documents stay in a separate private store the community controls, and are never published.</w:t>
      </w:r>
    </w:p>
    <w:p>
      <w:pPr>
        <w:pStyle w:val="Heading2"/>
      </w:pPr>
      <w:r>
        <w:t xml:space="preserve">7.2 Contents</w:t>
      </w:r>
    </w:p>
    <w:p>
      <w:pPr>
        <w:spacing w:after="120"/>
      </w:pPr>
      <w:r>
        <w:t xml:space="preserve">50 sources were checked on 6 October 2026: 43 were opened and their title and content confirmed; 7 were found through search or linked from a confirmed source. Annex C lists all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Folder</w:t>
            </w:r>
          </w:p>
        </w:tc>
        <w:tc>
          <w:tcPr>
            <w:tcW w:type="dxa" w:w="77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Sources</w:t>
            </w:r>
          </w:p>
        </w:tc>
        <w:tc>
          <w:tcPr>
            <w:tcW w:type="dxa" w:w="6554"/>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Documents</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Philippine laws</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9</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(RA 8371); Mining Act (RA 7942); Expanded NIPAS Act (RA 11038); IP Code (RA 8293); DICT Act (RA 10844); EO 58 adopting the National Cybersecurity Plan; Local Government Code (RA 7160); Cybercrime Prevention Act (RA 10175); CBMS Act (RA 11315)</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and joint agency rules</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7</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implementing rules (AO 1, s.1998); FPIC guidelines (AO 3, s.2012); delineation rules (AO 4, s.2012); guidelines on documenting indigenous knowledge and customary law (AO 1, s.2012); NCIP Rules of Procedure (2018, and 2014 for reference); DAR-DENR-LRA-NCIP joint order rules on overlapping claims (2012)</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 Act; its implementing rules; NPC 2023 compendium with the consent circular; NPC Advisory 2024-04 on AI</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Philippine strategies and policies</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AI Strategy Roadmap 2.0 (DTI release and OECD record); Philippine Development Plan 2023–2028; DepEd indigenous education framework (2011)</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Philippine jurisprudence</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sz w:val="18"/>
                <w:szCs w:val="18"/>
              </w:rPr>
              <w:t xml:space="preserve">Cruz v. DENR</w:t>
            </w:r>
            <w:r>
              <w:rPr>
                <w:sz w:val="18"/>
                <w:szCs w:val="18"/>
              </w:rPr>
              <w:t xml:space="preserve"> (2000), challenge to IPRA dismissed on a 7–7 vote; </w:t>
            </w:r>
            <w:r>
              <w:rPr>
                <w:i/>
                <w:iCs/>
                <w:sz w:val="18"/>
                <w:szCs w:val="18"/>
              </w:rPr>
              <w:t xml:space="preserve">Lim v. Gamosa</w:t>
            </w:r>
            <w:r>
              <w:rPr>
                <w:sz w:val="18"/>
                <w:szCs w:val="18"/>
              </w:rPr>
              <w:t xml:space="preserve"> (2015), on NCIP jurisdiction</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Philippine context data</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7</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Bank, </w:t>
            </w:r>
            <w:r>
              <w:rPr>
                <w:i/>
                <w:iCs/>
                <w:sz w:val="18"/>
                <w:szCs w:val="18"/>
              </w:rPr>
              <w:t xml:space="preserve">No Data, No Story</w:t>
            </w:r>
            <w:r>
              <w:rPr>
                <w:sz w:val="18"/>
                <w:szCs w:val="18"/>
              </w:rPr>
              <w:t xml:space="preserve"> (2024) and slides; PSA ethnicity notes and 2025 presentation; 2025 IP data workshop report; 2017 PAFID/ANGOC review of the 2012 joint order; FAO treaty status</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Global practice</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17</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UNDRIP; ILO C169; CARE; OCAP®; Te Mana Raraunga; </w:t>
            </w:r>
            <w:r>
              <w:rPr>
                <w:i/>
                <w:iCs/>
                <w:sz w:val="18"/>
                <w:szCs w:val="18"/>
              </w:rPr>
              <w:t xml:space="preserve">Delgamuukw</w:t>
            </w:r>
            <w:r>
              <w:rPr>
                <w:sz w:val="18"/>
                <w:szCs w:val="18"/>
              </w:rPr>
              <w:t xml:space="preserve"> (ruling and summary); EU AI Act Art. 14 and Digital Omnibus; Australia's claims register, Federal Court report and 2009 amendments; WIPO 2024 treaty; Kenya Community Land Act; Mexico INEGI; Australia's Indigenous Status Standard; UNESCO AI ethics</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ITU (already in repo)</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Y.3172; AI Readiness Framework 2.0; about 50 AI strategy and policy documents</w:t>
            </w:r>
          </w:p>
        </w:tc>
      </w:tr>
    </w:tbl>
    <w:p>
      <w:pPr>
        <w:spacing w:after="60"/>
      </w:pPr>
    </w:p>
    <w:p>
      <w:pPr>
        <w:pStyle w:val="Heading2"/>
      </w:pPr>
      <w:r>
        <w:t xml:space="preserve">7.3 Retrieval test</w:t>
      </w:r>
    </w:p>
    <w:p>
      <w:pPr>
        <w:spacing w:after="120"/>
      </w:pPr>
      <w:r>
        <w:t xml:space="preserve">Before the demo, each of 27 test questions must return the expected source in its top five results. A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Question</w:t>
            </w:r>
          </w:p>
        </w:tc>
        <w:tc>
          <w:tcPr>
            <w:tcW w:type="dxa" w:w="3855"/>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Expected source</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proof does an ancestral domain claim need?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s52(d); NCIP AO 4 s.2012</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Can a mining permit be granted inside a claimed ancestral domain?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s59; Mining Act s16</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Who decides a boundary dispute between two indigenous communities?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s62; NCIP Rules of Procedure 2018</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How can a fraudulently acquired claim be cancelled?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 s54</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rules apply when documenting indigenous knowledge and customary law?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 AO 1 s.2012</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 ethnic origin sensitive personal information?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Privacy Act IRR</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How easy must it be to withdraw consent to data processing?</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 Circular 2023-04</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How many approved CADTs are fully registered?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Bank (2024)</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How are overlapping DAR, DENR, LRA and NCIP claims resolved?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Joint order rules (2012); policy review</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Does NCIP have jurisdiction over a dispute with a non-indigenous company?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i/>
                <w:iCs/>
                <w:sz w:val="18"/>
                <w:szCs w:val="18"/>
              </w:rPr>
              <w:t xml:space="preserve">Lim v. Gamosa</w:t>
            </w:r>
            <w:r>
              <w:rPr>
                <w:sz w:val="18"/>
                <w:szCs w:val="18"/>
              </w:rPr>
              <w:t xml:space="preserve"> (2015)</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Are indigenous peoples guaranteed a seat in local councils?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Local Government Code s41(c); IPRA s16</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Which law gives land decisions to an assembly of all adult members?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Kenya Community Land Act s15</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is a good standard question for indigenous self-identification?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Australia ABS standard; Mexico INEGI</w:t>
            </w:r>
          </w:p>
        </w:tc>
      </w:tr>
      <w:tr>
        <w:trPr>
          <w:tblHeader w:val="false"/>
        </w:trP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Must humans be able to override a high-risk AI system?</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EU AI Act Art. 14</w:t>
            </w:r>
          </w:p>
        </w:tc>
      </w:tr>
    </w:tbl>
    <w:p>
      <w:pPr>
        <w:spacing w:after="60"/>
      </w:pPr>
    </w:p>
    <w:p>
      <w:pPr>
        <w:pStyle w:val="Heading2"/>
      </w:pPr>
      <w:r>
        <w:t xml:space="preserve">7.4 Model plan</w:t>
      </w:r>
    </w:p>
    <w:p>
      <w:pPr>
        <w:spacing w:after="120"/>
      </w:pPr>
      <w:r>
        <w:t xml:space="preserve">The agents use the reference code's default local model (qwen2.5:14b through Ollama). Sandbox credits go to two fine-tunes:</w:t>
      </w:r>
    </w:p>
    <w:p>
      <w:pPr>
        <w:pStyle w:val="ListParagraph"/>
        <w:numPr>
          <w:ilvl w:val="0"/>
          <w:numId w:val="4"/>
        </w:numPr>
        <w:spacing w:after="60"/>
      </w:pPr>
      <w:r>
        <w:rPr>
          <w:b/>
          <w:bCs/>
        </w:rPr>
        <w:t xml:space="preserve">Speech-to-text</w:t>
      </w:r>
      <w:r>
        <w:t xml:space="preserve"> for Filipino and the target community's language, trained only on recordings the community has consented to share. Community translators check the accuracy (word error rate).</w:t>
      </w:r>
    </w:p>
    <w:p>
      <w:pPr>
        <w:pStyle w:val="ListParagraph"/>
        <w:numPr>
          <w:ilvl w:val="0"/>
          <w:numId w:val="4"/>
        </w:numPr>
        <w:spacing w:after="60"/>
      </w:pPr>
      <w:r>
        <w:rPr>
          <w:b/>
          <w:bCs/>
        </w:rPr>
        <w:t xml:space="preserve">Entity extraction</w:t>
      </w:r>
      <w:r>
        <w:t xml:space="preserve"> for places, landmarks, events and family lines, which the story matcher links across tellers.</w:t>
      </w:r>
    </w:p>
    <w:p>
      <w:pPr>
        <w:pStyle w:val="Heading1"/>
      </w:pPr>
      <w:r>
        <w:t xml:space="preserve">8. Audit logging and reasoning traces</w:t>
      </w:r>
    </w:p>
    <w:p>
      <w:pPr>
        <w:spacing w:after="120"/>
      </w:pPr>
      <w:r>
        <w:t xml:space="preserve">Every agent step writes one log entry, so a reviewer can replay who knew what, when, and why each recommendation was made. It extends the reference code's existing audit table (which logs knowledge-base changes) and its agent outputs (sources used, reasoning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Field</w:t>
            </w:r>
          </w:p>
        </w:tc>
        <w:tc>
          <w:tcPr>
            <w:tcW w:type="dxa" w:w="6747"/>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What it records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Entry ID and time</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When the step happened, in real and simulated time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Scenario step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Which event triggered it (for example, step 3)</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Agent and mandate</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Which agent acted and under which legal role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Information seen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event IDs this agent had received at that point</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Retrieved sources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Knowledge-base passages used: document, section, chunk ID</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Reasoning steps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short, step-by-step summary of how the agent reached its view</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Policy references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Each clause relied on, such as IPRA s59</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Recommendation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What the agent proposes, and its confidence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Human review</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Pending, approved, overridden, and by whom</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Previous entry hash</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Links entries in a chain so later tampering shows</w:t>
            </w:r>
          </w:p>
        </w:tc>
      </w:tr>
    </w:tbl>
    <w:p>
      <w:pPr>
        <w:spacing w:after="60"/>
      </w:pPr>
    </w:p>
    <w:p>
      <w:pPr>
        <w:spacing w:after="120"/>
      </w:pPr>
      <w:r>
        <w:t xml:space="preserve">Sample entry (step 2, DENR agent):</w:t>
      </w:r>
    </w:p>
    <w:p>
      <w:pPr>
        <w:shd w:fill="F4F4F4" w:color="auto" w:val="clear"/>
        <w:spacing w:after="0" w:before="60"/>
      </w:pPr>
      <w:r>
        <w:rPr>
          <w:rFonts w:ascii="Consolas" w:cs="Consolas" w:eastAsia="Consolas" w:hAnsi="Consolas"/>
          <w:sz w:val="16"/>
          <w:szCs w:val="16"/>
        </w:rPr>
        <w:t xml:space="preserve">{</w:t>
      </w:r>
    </w:p>
    <w:p>
      <w:pPr>
        <w:shd w:fill="F4F4F4" w:color="auto" w:val="clear"/>
        <w:spacing w:after="0" w:before="0"/>
      </w:pPr>
      <w:r>
        <w:rPr>
          <w:rFonts w:ascii="Consolas" w:cs="Consolas" w:eastAsia="Consolas" w:hAnsi="Consolas"/>
          <w:sz w:val="16"/>
          <w:szCs w:val="16"/>
        </w:rPr>
        <w:t xml:space="preserve">  "entry_id": "log-0042",</w:t>
      </w:r>
    </w:p>
    <w:p>
      <w:pPr>
        <w:shd w:fill="F4F4F4" w:color="auto" w:val="clear"/>
        <w:spacing w:after="0" w:before="0"/>
      </w:pPr>
      <w:r>
        <w:rPr>
          <w:rFonts w:ascii="Consolas" w:cs="Consolas" w:eastAsia="Consolas" w:hAnsi="Consolas"/>
          <w:sz w:val="16"/>
          <w:szCs w:val="16"/>
        </w:rPr>
        <w:t xml:space="preserve">  "sim_day": 20,</w:t>
      </w:r>
    </w:p>
    <w:p>
      <w:pPr>
        <w:shd w:fill="F4F4F4" w:color="auto" w:val="clear"/>
        <w:spacing w:after="0" w:before="0"/>
      </w:pPr>
      <w:r>
        <w:rPr>
          <w:rFonts w:ascii="Consolas" w:cs="Consolas" w:eastAsia="Consolas" w:hAnsi="Consolas"/>
          <w:sz w:val="16"/>
          <w:szCs w:val="16"/>
        </w:rPr>
        <w:t xml:space="preserve">  "scenario_step": 2,</w:t>
      </w:r>
    </w:p>
    <w:p>
      <w:pPr>
        <w:shd w:fill="F4F4F4" w:color="auto" w:val="clear"/>
        <w:spacing w:after="0" w:before="0"/>
      </w:pPr>
      <w:r>
        <w:rPr>
          <w:rFonts w:ascii="Consolas" w:cs="Consolas" w:eastAsia="Consolas" w:hAnsi="Consolas"/>
          <w:sz w:val="16"/>
          <w:szCs w:val="16"/>
        </w:rPr>
        <w:t xml:space="preserve">  "agent": "DENR agent",</w:t>
      </w:r>
    </w:p>
    <w:p>
      <w:pPr>
        <w:shd w:fill="F4F4F4" w:color="auto" w:val="clear"/>
        <w:spacing w:after="0" w:before="0"/>
      </w:pPr>
      <w:r>
        <w:rPr>
          <w:rFonts w:ascii="Consolas" w:cs="Consolas" w:eastAsia="Consolas" w:hAnsi="Consolas"/>
          <w:sz w:val="16"/>
          <w:szCs w:val="16"/>
        </w:rPr>
        <w:t xml:space="preserve">  "mandate": "Land and mining permits",</w:t>
      </w:r>
    </w:p>
    <w:p>
      <w:pPr>
        <w:shd w:fill="F4F4F4" w:color="auto" w:val="clear"/>
        <w:spacing w:after="0" w:before="0"/>
      </w:pPr>
      <w:r>
        <w:rPr>
          <w:rFonts w:ascii="Consolas" w:cs="Consolas" w:eastAsia="Consolas" w:hAnsi="Consolas"/>
          <w:sz w:val="16"/>
          <w:szCs w:val="16"/>
        </w:rPr>
        <w:t xml:space="preserve">  "information_seen": ["evt-2"],</w:t>
      </w:r>
    </w:p>
    <w:p>
      <w:pPr>
        <w:shd w:fill="F4F4F4" w:color="auto" w:val="clear"/>
        <w:spacing w:after="0" w:before="0"/>
      </w:pPr>
      <w:r>
        <w:rPr>
          <w:rFonts w:ascii="Consolas" w:cs="Consolas" w:eastAsia="Consolas" w:hAnsi="Consolas"/>
          <w:sz w:val="16"/>
          <w:szCs w:val="16"/>
        </w:rPr>
        <w:t xml:space="preserve">  "retrieved_sources": [{"doc": "RA 8371 (IPRA)", "section": "59"},</w:t>
      </w:r>
    </w:p>
    <w:p>
      <w:pPr>
        <w:shd w:fill="F4F4F4" w:color="auto" w:val="clear"/>
        <w:spacing w:after="0" w:before="0"/>
      </w:pPr>
      <w:r>
        <w:rPr>
          <w:rFonts w:ascii="Consolas" w:cs="Consolas" w:eastAsia="Consolas" w:hAnsi="Consolas"/>
          <w:sz w:val="16"/>
          <w:szCs w:val="16"/>
        </w:rPr>
        <w:t xml:space="preserve">                        {"doc": "RA 7942 (Mining Act)", "section": "16"}],</w:t>
      </w:r>
    </w:p>
    <w:p>
      <w:pPr>
        <w:shd w:fill="F4F4F4" w:color="auto" w:val="clear"/>
        <w:spacing w:after="0" w:before="0"/>
      </w:pPr>
      <w:r>
        <w:rPr>
          <w:rFonts w:ascii="Consolas" w:cs="Consolas" w:eastAsia="Consolas" w:hAnsi="Consolas"/>
          <w:sz w:val="16"/>
          <w:szCs w:val="16"/>
        </w:rPr>
        <w:t xml:space="preserve">  "reasoning_steps": [</w:t>
      </w:r>
    </w:p>
    <w:p>
      <w:pPr>
        <w:shd w:fill="F4F4F4" w:color="auto" w:val="clear"/>
        <w:spacing w:after="0" w:before="0"/>
      </w:pPr>
      <w:r>
        <w:rPr>
          <w:rFonts w:ascii="Consolas" w:cs="Consolas" w:eastAsia="Consolas" w:hAnsi="Consolas"/>
          <w:sz w:val="16"/>
          <w:szCs w:val="16"/>
        </w:rPr>
        <w:t xml:space="preserve">    "Permit area may overlap an ancestral domain",</w:t>
      </w:r>
    </w:p>
    <w:p>
      <w:pPr>
        <w:shd w:fill="F4F4F4" w:color="auto" w:val="clear"/>
        <w:spacing w:after="0" w:before="0"/>
      </w:pPr>
      <w:r>
        <w:rPr>
          <w:rFonts w:ascii="Consolas" w:cs="Consolas" w:eastAsia="Consolas" w:hAnsi="Consolas"/>
          <w:sz w:val="16"/>
          <w:szCs w:val="16"/>
        </w:rPr>
        <w:t xml:space="preserve">    "IPRA s59 requires NCIP certification of no overlap before any permit",</w:t>
      </w:r>
    </w:p>
    <w:p>
      <w:pPr>
        <w:shd w:fill="F4F4F4" w:color="auto" w:val="clear"/>
        <w:spacing w:after="0" w:before="0"/>
      </w:pPr>
      <w:r>
        <w:rPr>
          <w:rFonts w:ascii="Consolas" w:cs="Consolas" w:eastAsia="Consolas" w:hAnsi="Consolas"/>
          <w:sz w:val="16"/>
          <w:szCs w:val="16"/>
        </w:rPr>
        <w:t xml:space="preserve">    "Request certification from NCIP agent before deciding"</w:t>
      </w:r>
    </w:p>
    <w:p>
      <w:pPr>
        <w:shd w:fill="F4F4F4" w:color="auto" w:val="clear"/>
        <w:spacing w:after="0" w:before="0"/>
      </w:pPr>
      <w:r>
        <w:rPr>
          <w:rFonts w:ascii="Consolas" w:cs="Consolas" w:eastAsia="Consolas" w:hAnsi="Consolas"/>
          <w:sz w:val="16"/>
          <w:szCs w:val="16"/>
        </w:rPr>
        <w:t xml:space="preserve">  ],</w:t>
      </w:r>
    </w:p>
    <w:p>
      <w:pPr>
        <w:shd w:fill="F4F4F4" w:color="auto" w:val="clear"/>
        <w:spacing w:after="0" w:before="0"/>
      </w:pPr>
      <w:r>
        <w:rPr>
          <w:rFonts w:ascii="Consolas" w:cs="Consolas" w:eastAsia="Consolas" w:hAnsi="Consolas"/>
          <w:sz w:val="16"/>
          <w:szCs w:val="16"/>
        </w:rPr>
        <w:t xml:space="preserve">  "policy_references": ["IPRA s59", "Mining Act s16"],</w:t>
      </w:r>
    </w:p>
    <w:p>
      <w:pPr>
        <w:shd w:fill="F4F4F4" w:color="auto" w:val="clear"/>
        <w:spacing w:after="0" w:before="0"/>
      </w:pPr>
      <w:r>
        <w:rPr>
          <w:rFonts w:ascii="Consolas" w:cs="Consolas" w:eastAsia="Consolas" w:hAnsi="Consolas"/>
          <w:sz w:val="16"/>
          <w:szCs w:val="16"/>
        </w:rPr>
        <w:t xml:space="preserve">  "recommendation": "Hold the permit; ask NCIP for certification",</w:t>
      </w:r>
    </w:p>
    <w:p>
      <w:pPr>
        <w:shd w:fill="F4F4F4" w:color="auto" w:val="clear"/>
        <w:spacing w:after="0" w:before="0"/>
      </w:pPr>
      <w:r>
        <w:rPr>
          <w:rFonts w:ascii="Consolas" w:cs="Consolas" w:eastAsia="Consolas" w:hAnsi="Consolas"/>
          <w:sz w:val="16"/>
          <w:szCs w:val="16"/>
        </w:rPr>
        <w:t xml:space="preserve">  "confidence": "high",</w:t>
      </w:r>
    </w:p>
    <w:p>
      <w:pPr>
        <w:shd w:fill="F4F4F4" w:color="auto" w:val="clear"/>
        <w:spacing w:after="0" w:before="0"/>
      </w:pPr>
      <w:r>
        <w:rPr>
          <w:rFonts w:ascii="Consolas" w:cs="Consolas" w:eastAsia="Consolas" w:hAnsi="Consolas"/>
          <w:sz w:val="16"/>
          <w:szCs w:val="16"/>
        </w:rPr>
        <w:t xml:space="preserve">  "human_review": "pending",</w:t>
      </w:r>
    </w:p>
    <w:p>
      <w:pPr>
        <w:shd w:fill="F4F4F4" w:color="auto" w:val="clear"/>
        <w:spacing w:after="0" w:before="0"/>
      </w:pPr>
      <w:r>
        <w:rPr>
          <w:rFonts w:ascii="Consolas" w:cs="Consolas" w:eastAsia="Consolas" w:hAnsi="Consolas"/>
          <w:sz w:val="16"/>
          <w:szCs w:val="16"/>
        </w:rPr>
        <w:t xml:space="preserve">  "previous_entry_hash": "(hash of log-0041)"</w:t>
      </w:r>
    </w:p>
    <w:p>
      <w:pPr>
        <w:shd w:fill="F4F4F4" w:color="auto" w:val="clear"/>
        <w:spacing w:after="0" w:before="0"/>
      </w:pPr>
      <w:r>
        <w:rPr>
          <w:rFonts w:ascii="Consolas" w:cs="Consolas" w:eastAsia="Consolas" w:hAnsi="Consolas"/>
          <w:sz w:val="16"/>
          <w:szCs w:val="16"/>
        </w:rPr>
        <w:t xml:space="preserve">}</w:t>
      </w:r>
    </w:p>
    <w:p>
      <w:pPr>
        <w:spacing w:after="60"/>
      </w:pPr>
    </w:p>
    <w:p>
      <w:pPr>
        <w:pStyle w:val="Heading1"/>
      </w:pPr>
      <w:r>
        <w:t xml:space="preserve">9. Safeguards</w:t>
      </w:r>
    </w:p>
    <w:p>
      <w:pPr>
        <w:pStyle w:val="ListParagraph"/>
        <w:numPr>
          <w:ilvl w:val="0"/>
          <w:numId w:val="2"/>
        </w:numPr>
        <w:spacing w:after="60"/>
      </w:pPr>
      <w:r>
        <w:rPr>
          <w:b/>
          <w:bCs/>
        </w:rPr>
        <w:t xml:space="preserve">AI assists, people decide.</w:t>
      </w:r>
      <w:r>
        <w:t xml:space="preserve"> NCIP and the community decide every claim.</w:t>
      </w:r>
    </w:p>
    <w:p>
      <w:pPr>
        <w:pStyle w:val="ListParagraph"/>
        <w:numPr>
          <w:ilvl w:val="0"/>
          <w:numId w:val="2"/>
        </w:numPr>
        <w:spacing w:after="60"/>
      </w:pPr>
      <w:r>
        <w:rPr>
          <w:b/>
          <w:bCs/>
        </w:rPr>
        <w:t xml:space="preserve">Consent first.</w:t>
      </w:r>
      <w:r>
        <w:t xml:space="preserve"> Consent is explained in the teller's language; each teller can withdraw. Using the stories for a claim follows community FPIC, which IPRA defines as the consensus of all members under customary law (s3(g)).</w:t>
      </w:r>
    </w:p>
    <w:p>
      <w:pPr>
        <w:pStyle w:val="ListParagraph"/>
        <w:numPr>
          <w:ilvl w:val="0"/>
          <w:numId w:val="2"/>
        </w:numPr>
        <w:spacing w:after="60"/>
      </w:pPr>
      <w:r>
        <w:rPr>
          <w:b/>
          <w:bCs/>
        </w:rPr>
        <w:t xml:space="preserve">Equal partners.</w:t>
      </w:r>
      <w:r>
        <w:t xml:space="preserve"> Community members work as recorders and translators at every stage, as the World Bank (2024) recommends for indigenous data collection.</w:t>
      </w:r>
    </w:p>
    <w:p>
      <w:pPr>
        <w:pStyle w:val="ListParagraph"/>
        <w:numPr>
          <w:ilvl w:val="0"/>
          <w:numId w:val="2"/>
        </w:numPr>
        <w:spacing w:after="60"/>
      </w:pPr>
      <w:r>
        <w:rPr>
          <w:b/>
          <w:bCs/>
        </w:rPr>
        <w:t xml:space="preserve">Sacred content.</w:t>
      </w:r>
      <w:r>
        <w:t xml:space="preserve"> Tellers can mark parts as private; those parts are never shared.</w:t>
      </w:r>
    </w:p>
    <w:p>
      <w:pPr>
        <w:pStyle w:val="ListParagraph"/>
        <w:numPr>
          <w:ilvl w:val="0"/>
          <w:numId w:val="2"/>
        </w:numPr>
        <w:spacing w:after="60"/>
      </w:pPr>
      <w:r>
        <w:rPr>
          <w:b/>
          <w:bCs/>
        </w:rPr>
        <w:t xml:space="preserve">Audit log.</w:t>
      </w:r>
      <w:r>
        <w:t xml:space="preserve"> Every transcript, match and recommendation is traced to its source and policy clause.</w:t>
      </w:r>
    </w:p>
    <w:p>
      <w:pPr>
        <w:pStyle w:val="ListParagraph"/>
        <w:numPr>
          <w:ilvl w:val="0"/>
          <w:numId w:val="2"/>
        </w:numPr>
        <w:spacing w:after="60"/>
      </w:pPr>
      <w:r>
        <w:rPr>
          <w:b/>
          <w:bCs/>
        </w:rPr>
        <w:t xml:space="preserve">Conflicts escalate.</w:t>
      </w:r>
      <w:r>
        <w:t xml:space="preserve"> Competing claims go to human mediation, never automatic rejection.</w:t>
      </w:r>
    </w:p>
    <w:p>
      <w:pPr>
        <w:pStyle w:val="Heading1"/>
      </w:pPr>
      <w:r>
        <w:t xml:space="preserve">Annex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Term</w:t>
            </w:r>
          </w:p>
        </w:tc>
        <w:tc>
          <w:tcPr>
            <w:tcW w:type="dxa" w:w="6747"/>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8"/>
                <w:szCs w:val="18"/>
              </w:rPr>
              <w:t xml:space="preserve">Plain meaning</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CADT</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Certificate of Ancestral Domain Title: the land title for a whole community</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FPIC</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Free and prior informed consent: the community agrees freely, before anything happens, after being told everything</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IPRA</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Indigenous Peoples' Rights Act (RA 8371), the main Philippine law on indigenous land</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NCIP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Commission on Indigenous Peoples: the agency that grants the title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NPC</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Privacy Commission: enforces the Data Privacy Act</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DENR / LMB / MGB</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Environment department, its Land Management Bureau (surveys, land records) and its Mines and Geosciences Bureau (mining permits)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DAR / LRA</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Department of Agrarian Reform; Land Registration Authority (registers titles)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JAO 1, s.2012</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Joint order of DAR, DENR, LRA and NCIP on overlapping land claims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LGU</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Local government unit: city, town or barangay</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GIDA</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Geographically isolated and disadvantaged area</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CBMS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Community-Based Monitoring System: local household data used to target programs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FIES, LFS, APIS, FHS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National surveys on family income and expenditure, labour force, poverty indicators and family health</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Self-identification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Each person names their own ethnic group, rather than an observer deciding</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OCR</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Software that reads text from scanned pages or photos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Knowledge base (KB)</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searchable library of laws and policies the agents use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Curated data</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Hand-checked clauses, figures and gaps stored one per entry for exact citation</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ChromaDB</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database that stores the knowledge base for search</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Y.3172</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ITU standard that lays out the stages of a machine-learning pipeline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SRC, C, PP, M, P, D, SINK</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Y.3172 stages: source, collector, preprocessor, model, policy, distributor, output</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Orchestrator (MLFO)</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controller that runs the agents and the test scenarios</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Sandbox</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safe test environment, here hosted by the ITU AI for Good Lab</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Audit log</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record of every step, reason and source, for review</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UNDRIP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 Declaration on the Rights of Indigenous Peoples (2007)</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WIPO</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World Intellectual Property Organization</w:t>
            </w:r>
          </w:p>
        </w:tc>
      </w:tr>
    </w:tbl>
    <w:p>
      <w:pPr>
        <w:pStyle w:val="Heading1"/>
      </w:pPr>
      <w:r>
        <w:t xml:space="preserve">Annex B. Key sources</w:t>
      </w:r>
    </w:p>
    <w:p>
      <w:pPr>
        <w:pStyle w:val="ListParagraph"/>
        <w:numPr>
          <w:ilvl w:val="0"/>
          <w:numId w:val="2"/>
        </w:numPr>
        <w:spacing w:after="60"/>
      </w:pPr>
      <w:hyperlink w:history="1" r:id="rIdltdiidzdqmsrrdept5krq">
        <w:r>
          <w:rPr>
            <w:rStyle w:val="Hyperlink"/>
          </w:rPr>
          <w:t xml:space="preserve">World Bank (2024), No Data, No Story: Indigenous Peoples in the Philippines</w:t>
        </w:r>
      </w:hyperlink>
    </w:p>
    <w:p>
      <w:pPr>
        <w:pStyle w:val="ListParagraph"/>
        <w:numPr>
          <w:ilvl w:val="0"/>
          <w:numId w:val="2"/>
        </w:numPr>
        <w:spacing w:after="60"/>
      </w:pPr>
      <w:hyperlink w:history="1" r:id="rId2koz3rqwv57zchkj8bscg">
        <w:r>
          <w:rPr>
            <w:rStyle w:val="Hyperlink"/>
          </w:rPr>
          <w:t xml:space="preserve">IPRA (RA 8371) full text</w:t>
        </w:r>
      </w:hyperlink>
    </w:p>
    <w:p>
      <w:pPr>
        <w:pStyle w:val="ListParagraph"/>
        <w:numPr>
          <w:ilvl w:val="0"/>
          <w:numId w:val="2"/>
        </w:numPr>
        <w:spacing w:after="60"/>
      </w:pPr>
      <w:hyperlink w:history="1" r:id="rIdc3hv_gzgtzcrmghhkfahg">
        <w:r>
          <w:rPr>
            <w:rStyle w:val="Hyperlink"/>
          </w:rPr>
          <w:t xml:space="preserve">Mining Act (RA 7942)</w:t>
        </w:r>
      </w:hyperlink>
    </w:p>
    <w:p>
      <w:pPr>
        <w:pStyle w:val="ListParagraph"/>
        <w:numPr>
          <w:ilvl w:val="0"/>
          <w:numId w:val="2"/>
        </w:numPr>
        <w:spacing w:after="60"/>
      </w:pPr>
      <w:hyperlink w:history="1" r:id="rId6uwvfjtgj0yo6-luqqmj7">
        <w:r>
          <w:rPr>
            <w:rStyle w:val="Hyperlink"/>
          </w:rPr>
          <w:t xml:space="preserve">EO 58: National Cybersecurity Plan 2023–2028</w:t>
        </w:r>
      </w:hyperlink>
    </w:p>
    <w:p>
      <w:pPr>
        <w:pStyle w:val="ListParagraph"/>
        <w:numPr>
          <w:ilvl w:val="0"/>
          <w:numId w:val="2"/>
        </w:numPr>
        <w:spacing w:after="60"/>
      </w:pPr>
      <w:hyperlink w:history="1" r:id="rIdjza3wgsnwzknxb3ap0sbv">
        <w:r>
          <w:rPr>
            <w:rStyle w:val="Hyperlink"/>
          </w:rPr>
          <w:t xml:space="preserve">NPC Advisory No. 2024-04 on AI systems</w:t>
        </w:r>
      </w:hyperlink>
    </w:p>
    <w:p>
      <w:pPr>
        <w:pStyle w:val="ListParagraph"/>
        <w:numPr>
          <w:ilvl w:val="0"/>
          <w:numId w:val="2"/>
        </w:numPr>
        <w:spacing w:after="60"/>
      </w:pPr>
      <w:hyperlink w:history="1" r:id="rIdjws8w_kf53cjmrmvmiapg">
        <w:r>
          <w:rPr>
            <w:rStyle w:val="Hyperlink"/>
          </w:rPr>
          <w:t xml:space="preserve">DTI launch of National AI Strategy Roadmap 2.0</w:t>
        </w:r>
      </w:hyperlink>
    </w:p>
    <w:p>
      <w:pPr>
        <w:pStyle w:val="ListParagraph"/>
        <w:numPr>
          <w:ilvl w:val="0"/>
          <w:numId w:val="2"/>
        </w:numPr>
        <w:spacing w:after="60"/>
      </w:pPr>
      <w:hyperlink w:history="1" r:id="rIdb-a9vqpx6u7ryg6wstiqg">
        <w:r>
          <w:rPr>
            <w:rStyle w:val="Hyperlink"/>
          </w:rPr>
          <w:t xml:space="preserve">NAISR 2.0 on OECD.AI</w:t>
        </w:r>
      </w:hyperlink>
    </w:p>
    <w:p>
      <w:pPr>
        <w:pStyle w:val="ListParagraph"/>
        <w:numPr>
          <w:ilvl w:val="0"/>
          <w:numId w:val="2"/>
        </w:numPr>
        <w:spacing w:after="60"/>
      </w:pPr>
      <w:hyperlink w:history="1" r:id="rIdkku4-tto_da9fkg62yalm">
        <w:r>
          <w:rPr>
            <w:rStyle w:val="Hyperlink"/>
          </w:rPr>
          <w:t xml:space="preserve">Philippines: UNDRIP, ILO 169 and CBD status (FAO)</w:t>
        </w:r>
      </w:hyperlink>
    </w:p>
    <w:p>
      <w:pPr>
        <w:pStyle w:val="ListParagraph"/>
        <w:numPr>
          <w:ilvl w:val="0"/>
          <w:numId w:val="2"/>
        </w:numPr>
        <w:spacing w:after="60"/>
      </w:pPr>
      <w:hyperlink w:history="1" r:id="rIdtptplawug75z-7_na0a_n">
        <w:r>
          <w:rPr>
            <w:rStyle w:val="Hyperlink"/>
          </w:rPr>
          <w:t xml:space="preserve">NCIP AO 1, s.2012: guidelines on documenting indigenous knowledge and customary law</w:t>
        </w:r>
      </w:hyperlink>
    </w:p>
    <w:p>
      <w:pPr>
        <w:pStyle w:val="ListParagraph"/>
        <w:numPr>
          <w:ilvl w:val="0"/>
          <w:numId w:val="2"/>
        </w:numPr>
        <w:spacing w:after="60"/>
      </w:pPr>
      <w:hyperlink w:history="1" r:id="rIdp-v_lnclr7cjb3orxeehi">
        <w:r>
          <w:rPr>
            <w:rStyle w:val="Hyperlink"/>
          </w:rPr>
          <w:t xml:space="preserve">NCIP AO 3, s.2012: FPIC guidelines</w:t>
        </w:r>
      </w:hyperlink>
    </w:p>
    <w:p>
      <w:pPr>
        <w:pStyle w:val="ListParagraph"/>
        <w:numPr>
          <w:ilvl w:val="0"/>
          <w:numId w:val="2"/>
        </w:numPr>
        <w:spacing w:after="60"/>
      </w:pPr>
      <w:hyperlink w:history="1" r:id="rId8yklmmn9bfsrfsbufzi07">
        <w:r>
          <w:rPr>
            <w:rStyle w:val="Hyperlink"/>
          </w:rPr>
          <w:t xml:space="preserve">NCIP AO 4, s.2012: delineation rules</w:t>
        </w:r>
      </w:hyperlink>
    </w:p>
    <w:p>
      <w:pPr>
        <w:pStyle w:val="ListParagraph"/>
        <w:numPr>
          <w:ilvl w:val="0"/>
          <w:numId w:val="2"/>
        </w:numPr>
        <w:spacing w:after="60"/>
      </w:pPr>
      <w:hyperlink w:history="1" r:id="rIdvmz8iqf57ngkmey5bmxt_">
        <w:r>
          <w:rPr>
            <w:rStyle w:val="Hyperlink"/>
          </w:rPr>
          <w:t xml:space="preserve">DAR-DENR-LRA-NCIP joint order rules on overlapping claims (2012)</w:t>
        </w:r>
      </w:hyperlink>
    </w:p>
    <w:p>
      <w:pPr>
        <w:pStyle w:val="ListParagraph"/>
        <w:numPr>
          <w:ilvl w:val="0"/>
          <w:numId w:val="2"/>
        </w:numPr>
        <w:spacing w:after="60"/>
      </w:pPr>
      <w:hyperlink w:history="1" r:id="rIdfeshxq7yp7g3y1q-99p9w">
        <w:r>
          <w:rPr>
            <w:rStyle w:val="Hyperlink"/>
          </w:rPr>
          <w:t xml:space="preserve">NPC 2023 compendium, incl. Circular 2023-04 on consent</w:t>
        </w:r>
      </w:hyperlink>
    </w:p>
    <w:p>
      <w:pPr>
        <w:pStyle w:val="ListParagraph"/>
        <w:numPr>
          <w:ilvl w:val="0"/>
          <w:numId w:val="2"/>
        </w:numPr>
        <w:spacing w:after="60"/>
      </w:pPr>
      <w:hyperlink w:history="1" r:id="rIddlobtof5ymxailpwxma5h">
        <w:r>
          <w:rPr>
            <w:rStyle w:val="Hyperlink"/>
          </w:rPr>
          <w:t xml:space="preserve">2025 IP data workshop report (World Bank)</w:t>
        </w:r>
      </w:hyperlink>
    </w:p>
    <w:p>
      <w:pPr>
        <w:pStyle w:val="ListParagraph"/>
        <w:numPr>
          <w:ilvl w:val="0"/>
          <w:numId w:val="2"/>
        </w:numPr>
        <w:spacing w:after="60"/>
      </w:pPr>
      <w:hyperlink w:history="1" r:id="rIdf_qqzcmiuqos7zwnwxr2x">
        <w:r>
          <w:rPr>
            <w:rStyle w:val="Hyperlink"/>
          </w:rPr>
          <w:t xml:space="preserve">ITU reference code for the knowledge base</w:t>
        </w:r>
      </w:hyperlink>
    </w:p>
    <w:p>
      <w:pPr>
        <w:pStyle w:val="ListParagraph"/>
        <w:numPr>
          <w:ilvl w:val="0"/>
          <w:numId w:val="2"/>
        </w:numPr>
        <w:spacing w:after="60"/>
      </w:pPr>
      <w:r>
        <w:t xml:space="preserve">Global examples are linked in the gap table (Section 6); every source is listed in Annex C.</w:t>
      </w:r>
    </w:p>
    <w:p>
      <w:pPr>
        <w:pStyle w:val="Heading1"/>
      </w:pPr>
      <w:r>
        <w:t xml:space="preserve">Annex C. Knowledge base sources</w:t>
      </w:r>
    </w:p>
    <w:p>
      <w:pPr>
        <w:spacing w:after="120"/>
      </w:pPr>
      <w:r>
        <w:t xml:space="preserve">All 50 sources in the knowledge base, checked on 6 October 2026. "Opened" means the document was opened and its title and content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241"/>
        <w:gridCol w:w="2891"/>
        <w:gridCol w:w="1542"/>
      </w:tblGrid>
      <w:tr>
        <w:trPr>
          <w:tblHeader/>
        </w:trPr>
        <w:tc>
          <w:tcPr>
            <w:tcW w:type="dxa" w:w="964"/>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6"/>
                <w:szCs w:val="16"/>
              </w:rPr>
              <w:t xml:space="preserve">ID</w:t>
            </w:r>
          </w:p>
        </w:tc>
        <w:tc>
          <w:tcPr>
            <w:tcW w:type="dxa" w:w="424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6"/>
                <w:szCs w:val="16"/>
              </w:rPr>
              <w:t xml:space="preserve">Document</w:t>
            </w:r>
          </w:p>
        </w:tc>
        <w:tc>
          <w:tcPr>
            <w:tcW w:type="dxa" w:w="2891"/>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6"/>
                <w:szCs w:val="16"/>
              </w:rPr>
              <w:t xml:space="preserve">Use in solution</w:t>
            </w:r>
          </w:p>
        </w:tc>
        <w:tc>
          <w:tcPr>
            <w:tcW w:type="dxa" w:w="1542"/>
            <w:tcBorders>
              <w:top w:val="single" w:color="BFBFBF" w:sz="4"/>
              <w:left w:val="single" w:color="BFBFBF" w:sz="4"/>
              <w:bottom w:val="single" w:color="BFBFBF" w:sz="4"/>
              <w:right w:val="single" w:color="BFBFBF" w:sz="4"/>
            </w:tcBorders>
            <w:shd w:fill="E8EEF8" w:color="auto" w:val="clear"/>
            <w:tcMar>
              <w:top w:type="dxa" w:w="50"/>
              <w:left w:type="dxa" w:w="90"/>
              <w:bottom w:type="dxa" w:w="50"/>
              <w:right w:type="dxa" w:w="90"/>
            </w:tcMar>
          </w:tcPr>
          <w:p>
            <w:r>
              <w:rPr>
                <w:b/>
                <w:bCs/>
                <w:sz w:val="16"/>
                <w:szCs w:val="16"/>
              </w:rPr>
              <w:t xml:space="preserve">Check</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ckcnaldiclzarp6vuwoyh">
              <w:r>
                <w:rPr>
                  <w:rStyle w:val="Hyperlink"/>
                  <w:sz w:val="16"/>
                  <w:szCs w:val="16"/>
                </w:rPr>
                <w:t xml:space="preserve">Indigenous Peoples' Rights Act of 1997 (RA 8371)</w:t>
              </w:r>
            </w:hyperlink>
            <w:r>
              <w:rPr>
                <w:sz w:val="16"/>
                <w:szCs w:val="16"/>
              </w:rPr>
              <w:t xml:space="preserve"> · Congress of the Philippines, 1997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Core law: proof, consent, delineation, disputes, fraud review, permits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uqqbvu6zr4hiwotlhkap7">
              <w:r>
                <w:rPr>
                  <w:rStyle w:val="Hyperlink"/>
                  <w:sz w:val="16"/>
                  <w:szCs w:val="16"/>
                </w:rPr>
                <w:t xml:space="preserve">Philippine Mining Act of 1995 (RA 7942)</w:t>
              </w:r>
            </w:hyperlink>
            <w:r>
              <w:rPr>
                <w:sz w:val="16"/>
                <w:szCs w:val="16"/>
              </w:rPr>
              <w:t xml:space="preserve"> · Congress of the Philippines, 1995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Scenario script: mining permit over a claimed area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ruklhzi64l0s9nm7nsbdi">
              <w:r>
                <w:rPr>
                  <w:rStyle w:val="Hyperlink"/>
                  <w:sz w:val="16"/>
                  <w:szCs w:val="16"/>
                </w:rPr>
                <w:t xml:space="preserve">Expanded National Integrated Protected Areas System Act of 2018 (RA 11038)</w:t>
              </w:r>
            </w:hyperlink>
            <w:r>
              <w:rPr>
                <w:sz w:val="16"/>
                <w:szCs w:val="16"/>
              </w:rPr>
              <w:t xml:space="preserve"> · Congress of the Philippines, 2018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Overlap of ancestral domains with protected areas (World Bank: 1.44M ha)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sytpgwpmxf79_l-sq0y8b">
              <w:r>
                <w:rPr>
                  <w:rStyle w:val="Hyperlink"/>
                  <w:sz w:val="16"/>
                  <w:szCs w:val="16"/>
                </w:rPr>
                <w:t xml:space="preserve">Intellectual Property Code of the Philippines (RA 8293), as amended</w:t>
              </w:r>
            </w:hyperlink>
            <w:r>
              <w:rPr>
                <w:sz w:val="16"/>
                <w:szCs w:val="16"/>
              </w:rPr>
              <w:t xml:space="preserve"> · Intellectual Property Office of the Philippines, 1997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Ownership of recordings and traditional knowledge; government works are not copyrighted</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PH-L05</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hlt1y4r3sik_qnlzb4tdh">
              <w:r>
                <w:rPr>
                  <w:rStyle w:val="Hyperlink"/>
                  <w:sz w:val="16"/>
                  <w:szCs w:val="16"/>
                </w:rPr>
                <w:t xml:space="preserve">Department of Information and Communications Technology Act of 2015 (RA 10844)</w:t>
              </w:r>
            </w:hyperlink>
            <w:r>
              <w:rPr>
                <w:sz w:val="16"/>
                <w:szCs w:val="16"/>
              </w:rPr>
              <w:t xml:space="preserve"> · Congress of the Philippines, 2016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DICT mandate: connectivity, free internet in underserved areas, cybersecurity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PH-L06</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jphfiioc0qk0nepkwsxmr">
              <w:r>
                <w:rPr>
                  <w:rStyle w:val="Hyperlink"/>
                  <w:sz w:val="16"/>
                  <w:szCs w:val="16"/>
                </w:rPr>
                <w:t xml:space="preserve">Executive Order No. 58 (2024) adopting the National Cybersecurity Plan 2023-2028</w:t>
              </w:r>
            </w:hyperlink>
            <w:r>
              <w:rPr>
                <w:sz w:val="16"/>
                <w:szCs w:val="16"/>
              </w:rPr>
              <w:t xml:space="preserve"> · Office of the President,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Security of community data; agencies align cybersecurity plans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1hmnmd9hammrshpxfttbb">
              <w:r>
                <w:rPr>
                  <w:rStyle w:val="Hyperlink"/>
                  <w:sz w:val="16"/>
                  <w:szCs w:val="16"/>
                </w:rPr>
                <w:t xml:space="preserve">Rules and Regulations Implementing IPRA (NCIP Administrative Order No. 1, s. 1998)</w:t>
              </w:r>
            </w:hyperlink>
            <w:r>
              <w:rPr>
                <w:sz w:val="16"/>
                <w:szCs w:val="16"/>
              </w:rPr>
              <w:t xml:space="preserve"> · NCIP, 1998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Implementing detail for every IPRA chapter</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twviwibupxzoxtw4hqtu">
              <w:r>
                <w:rPr>
                  <w:rStyle w:val="Hyperlink"/>
                  <w:sz w:val="16"/>
                  <w:szCs w:val="16"/>
                </w:rPr>
                <w:t xml:space="preserve">Revised Guidelines on the Exercise of Free and Prior Informed Consent (FPIC) and Related Processes (NCIP AO No. 3, s. 2012)</w:t>
              </w:r>
            </w:hyperlink>
            <w:r>
              <w:rPr>
                <w:sz w:val="16"/>
                <w:szCs w:val="16"/>
              </w:rPr>
              <w:t xml:space="preserve"> · NCIP,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Consent flow for the policy gate; mining scenario step 6</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ymzx_otno08gn-qpshgxk">
              <w:r>
                <w:rPr>
                  <w:rStyle w:val="Hyperlink"/>
                  <w:sz w:val="16"/>
                  <w:szCs w:val="16"/>
                </w:rPr>
                <w:t xml:space="preserve">Revised Omnibus Rules on Delineation and Recognition of Ancestral Domains and Lands of 2012 (NCIP AO No. 4, s. 2012)</w:t>
              </w:r>
            </w:hyperlink>
            <w:r>
              <w:rPr>
                <w:sz w:val="16"/>
                <w:szCs w:val="16"/>
              </w:rPr>
              <w:t xml:space="preserve"> · NCIP,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Proof requirements and delineation steps the dossier follows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4e_zfsn46ofucge06f7vg">
              <w:r>
                <w:rPr>
                  <w:rStyle w:val="Hyperlink"/>
                  <w:sz w:val="16"/>
                  <w:szCs w:val="16"/>
                </w:rPr>
                <w:t xml:space="preserve">Indigenous Knowledge Systems and Practices (IKSPs) and Customary Laws Research and Documentation Guidelines of 2012 (NCIP AO No. 1, s. 2012)</w:t>
              </w:r>
            </w:hyperlink>
            <w:r>
              <w:rPr>
                <w:sz w:val="16"/>
                <w:szCs w:val="16"/>
              </w:rPr>
              <w:t xml:space="preserve"> · NCIP,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Rules for recording and documenting community knowledge: directly governs the story recorder</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PH-N05</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fjxqlae9vqugwxb8lf-ut">
              <w:r>
                <w:rPr>
                  <w:rStyle w:val="Hyperlink"/>
                  <w:sz w:val="16"/>
                  <w:szCs w:val="16"/>
                </w:rPr>
                <w:t xml:space="preserve">2018 NCIP Rules of Procedure (NCIP Administrative Circular No. 1, s. 2018)</w:t>
              </w:r>
            </w:hyperlink>
            <w:r>
              <w:rPr>
                <w:sz w:val="16"/>
                <w:szCs w:val="16"/>
              </w:rPr>
              <w:t xml:space="preserve"> · NCIP, 2018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Dispute handling before NCIP (scenario step 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PH-N06</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komalq91lmemxk2ohm5ag">
              <w:r>
                <w:rPr>
                  <w:rStyle w:val="Hyperlink"/>
                  <w:sz w:val="16"/>
                  <w:szCs w:val="16"/>
                </w:rPr>
                <w:t xml:space="preserve">2014 Revised Rules of Procedure before the NCIP (NCIP Administrative Circular No. 1, s. 2014)</w:t>
              </w:r>
            </w:hyperlink>
            <w:r>
              <w:rPr>
                <w:sz w:val="16"/>
                <w:szCs w:val="16"/>
              </w:rPr>
              <w:t xml:space="preserve"> · NCIP, 2014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Historical comparison only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PH-D01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ea0phzjqdo7q76vstd_y">
              <w:r>
                <w:rPr>
                  <w:rStyle w:val="Hyperlink"/>
                  <w:sz w:val="16"/>
                  <w:szCs w:val="16"/>
                </w:rPr>
                <w:t xml:space="preserve">Data Privacy Act of 2012 (RA 10173)</w:t>
              </w:r>
            </w:hyperlink>
            <w:r>
              <w:rPr>
                <w:sz w:val="16"/>
                <w:szCs w:val="16"/>
              </w:rPr>
              <w:t xml:space="preserve"> · Congress of the Philippines,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Consent, data subject rights, breach response (scenario step 4)</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PH-D02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uxdodjcy46joxymyhnr1r">
              <w:r>
                <w:rPr>
                  <w:rStyle w:val="Hyperlink"/>
                  <w:sz w:val="16"/>
                  <w:szCs w:val="16"/>
                </w:rPr>
                <w:t xml:space="preserve">Implementing Rules and Regulations of the Data Privacy Act, as amended</w:t>
              </w:r>
            </w:hyperlink>
            <w:r>
              <w:rPr>
                <w:sz w:val="16"/>
                <w:szCs w:val="16"/>
              </w:rPr>
              <w:t xml:space="preserve"> · National Privacy Commission, 2016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Ethnic origin is sensitive personal information: stories and group self-identification need stricter handling</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PH-D03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py-wcdmhnamnfusf_nu15">
              <w:r>
                <w:rPr>
                  <w:rStyle w:val="Hyperlink"/>
                  <w:sz w:val="16"/>
                  <w:szCs w:val="16"/>
                </w:rPr>
                <w:t xml:space="preserve">NPC Advisory No. 2024-04: Guidelines on the Application of the Data Privacy Act to AI Systems Processing Personal Data</w:t>
              </w:r>
            </w:hyperlink>
            <w:r>
              <w:rPr>
                <w:sz w:val="16"/>
                <w:szCs w:val="16"/>
              </w:rPr>
              <w:t xml:space="preserve"> · National Privacy Commission,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Transparency, lawful basis, bias monitoring for the AI pipeline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PH-S01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xmoc7y90udnblybb_hkgx">
              <w:r>
                <w:rPr>
                  <w:rStyle w:val="Hyperlink"/>
                  <w:sz w:val="16"/>
                  <w:szCs w:val="16"/>
                </w:rPr>
                <w:t xml:space="preserve">DTI launches National AI Strategy Roadmap 2.0 and Center for AI Research</w:t>
              </w:r>
            </w:hyperlink>
            <w:r>
              <w:rPr>
                <w:sz w:val="16"/>
                <w:szCs w:val="16"/>
              </w:rPr>
              <w:t xml:space="preserve"> · Department of Trade and Industry,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National AI strategy context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PH-S02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x10tsjv4xg10o_jyzotom">
              <w:r>
                <w:rPr>
                  <w:rStyle w:val="Hyperlink"/>
                  <w:sz w:val="16"/>
                  <w:szCs w:val="16"/>
                </w:rPr>
                <w:t xml:space="preserve">National AI Strategy Roadmap 2.0 (NAISR 2.0) - OECD.AI policy record</w:t>
              </w:r>
            </w:hyperlink>
            <w:r>
              <w:rPr>
                <w:sz w:val="16"/>
                <w:szCs w:val="16"/>
              </w:rPr>
              <w:t xml:space="preserve"> · OECD.AI,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Pillars and governance dimension of NAISR 2.0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PH-S03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n_mukra8blmclcnz_yrrk">
              <w:r>
                <w:rPr>
                  <w:rStyle w:val="Hyperlink"/>
                  <w:sz w:val="16"/>
                  <w:szCs w:val="16"/>
                </w:rPr>
                <w:t xml:space="preserve">Philippine Development Plan 2023-2028</w:t>
              </w:r>
            </w:hyperlink>
            <w:r>
              <w:rPr>
                <w:sz w:val="16"/>
                <w:szCs w:val="16"/>
              </w:rPr>
              <w:t xml:space="preserve"> · NEDA (now DEPDev), 2023</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National development priorities; inclusive governance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PH-J01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tgbff8vijved2czzup6bi">
              <w:r>
                <w:rPr>
                  <w:rStyle w:val="Hyperlink"/>
                  <w:sz w:val="16"/>
                  <w:szCs w:val="16"/>
                </w:rPr>
                <w:t xml:space="preserve">Cruz v. Secretary of Environment and Natural Resources, G.R. No. 135385</w:t>
              </w:r>
            </w:hyperlink>
            <w:r>
              <w:rPr>
                <w:sz w:val="16"/>
                <w:szCs w:val="16"/>
              </w:rPr>
              <w:t xml:space="preserve"> · Supreme Court of the Philippines, 2000</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IPRA survives constitutional challenge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PH-J02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az-vovhz5fryarple7fti">
              <w:r>
                <w:rPr>
                  <w:rStyle w:val="Hyperlink"/>
                  <w:sz w:val="16"/>
                  <w:szCs w:val="16"/>
                </w:rPr>
                <w:t xml:space="preserve">Lim v. Gamosa, G.R. No. 193964</w:t>
              </w:r>
            </w:hyperlink>
            <w:r>
              <w:rPr>
                <w:sz w:val="16"/>
                <w:szCs w:val="16"/>
              </w:rPr>
              <w:t xml:space="preserve"> · Supreme Court of the Philippines, 2015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Limits of NCIP jurisdiction: coordination gap in disputes with non-indigenous parties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hcelskrrakefqab4lutsu">
              <w:r>
                <w:rPr>
                  <w:rStyle w:val="Hyperlink"/>
                  <w:sz w:val="16"/>
                  <w:szCs w:val="16"/>
                </w:rPr>
                <w:t xml:space="preserve">No Data, No Story: Indigenous Peoples in the Philippines</w:t>
              </w:r>
            </w:hyperlink>
            <w:r>
              <w:rPr>
                <w:sz w:val="16"/>
                <w:szCs w:val="16"/>
              </w:rPr>
              <w:t xml:space="preserve"> · World Bank,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Scale, data gaps, CADT registration backlog, isolated areas, recommendations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h629v8fq4niwc7jiy4xr">
              <w:r>
                <w:rPr>
                  <w:rStyle w:val="Hyperlink"/>
                  <w:sz w:val="16"/>
                  <w:szCs w:val="16"/>
                </w:rPr>
                <w:t xml:space="preserve">No Data, No Story - report highlights presentation</w:t>
              </w:r>
            </w:hyperlink>
            <w:r>
              <w:rPr>
                <w:sz w:val="16"/>
                <w:szCs w:val="16"/>
              </w:rPr>
              <w:t xml:space="preserve"> · World Bank,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Summary slides for the demo</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g-s26mft7pfefsnglkrhb">
              <w:r>
                <w:rPr>
                  <w:rStyle w:val="Hyperlink"/>
                  <w:sz w:val="16"/>
                  <w:szCs w:val="16"/>
                </w:rPr>
                <w:t xml:space="preserve">Status of Indigenous Peoples Data in National Statistics: Censuses, Survey, and Administrative Data</w:t>
              </w:r>
            </w:hyperlink>
            <w:r>
              <w:rPr>
                <w:sz w:val="16"/>
                <w:szCs w:val="16"/>
              </w:rPr>
              <w:t xml:space="preserve"> · Philippine Statistics Authority (World Bank IP data workshop), 2025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How PSA measures ethnicity; CBMS covers 635 cities and municipalities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sfx9ftvb8ppl9bfhfep_s">
              <w:r>
                <w:rPr>
                  <w:rStyle w:val="Hyperlink"/>
                  <w:sz w:val="16"/>
                  <w:szCs w:val="16"/>
                </w:rPr>
                <w:t xml:space="preserve">Technical Notes on Ethnicity, 2020 Census of Population and Housing</w:t>
              </w:r>
            </w:hyperlink>
            <w:r>
              <w:rPr>
                <w:sz w:val="16"/>
                <w:szCs w:val="16"/>
              </w:rPr>
              <w:t xml:space="preserve"> · Philippine Statistics Authority, 2023</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Definitions used for indigenous status in the census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PH-C05</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g0ziaivhcs9adeaz5bqrh">
              <w:r>
                <w:rPr>
                  <w:rStyle w:val="Hyperlink"/>
                  <w:sz w:val="16"/>
                  <w:szCs w:val="16"/>
                </w:rPr>
                <w:t xml:space="preserve">Indigenous Peoples - Philippines country page (UNDRIP, ILO 169, CBD status)</w:t>
              </w:r>
            </w:hyperlink>
            <w:r>
              <w:rPr>
                <w:sz w:val="16"/>
                <w:szCs w:val="16"/>
              </w:rPr>
              <w:t xml:space="preserve"> · FAO, n.d.</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Treaty commitments row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umtnu046nxbit9gythshb">
              <w:r>
                <w:rPr>
                  <w:rStyle w:val="Hyperlink"/>
                  <w:sz w:val="16"/>
                  <w:szCs w:val="16"/>
                </w:rPr>
                <w:t xml:space="preserve">United Nations Declaration on the Rights of Indigenous Peoples</w:t>
              </w:r>
            </w:hyperlink>
            <w:r>
              <w:rPr>
                <w:sz w:val="16"/>
                <w:szCs w:val="16"/>
              </w:rPr>
              <w:t xml:space="preserve"> · United Nations, 2007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Global benchmark for consent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yoc9zm4bkjg8-abexseuk">
              <w:r>
                <w:rPr>
                  <w:rStyle w:val="Hyperlink"/>
                  <w:sz w:val="16"/>
                  <w:szCs w:val="16"/>
                </w:rPr>
                <w:t xml:space="preserve">CARE Principles for Indigenous Data Governance (summary)</w:t>
              </w:r>
            </w:hyperlink>
            <w:r>
              <w:rPr>
                <w:sz w:val="16"/>
                <w:szCs w:val="16"/>
              </w:rPr>
              <w:t xml:space="preserve"> · CASRAI / Global Indigenous Data Alliance, 2019</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Data gaps: community control of data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jjtzbtkpcdq_n5bz8ukfn">
              <w:r>
                <w:rPr>
                  <w:rStyle w:val="Hyperlink"/>
                  <w:sz w:val="16"/>
                  <w:szCs w:val="16"/>
                </w:rPr>
                <w:t xml:space="preserve">The First Nations Principles of OCAP (fact sheet)</w:t>
              </w:r>
            </w:hyperlink>
            <w:r>
              <w:rPr>
                <w:sz w:val="16"/>
                <w:szCs w:val="16"/>
              </w:rPr>
              <w:t xml:space="preserve"> · First Nations Information Governance Centre, 1998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Data gap: First Nations-specific example of community data control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pzpd3mo9czy58ah9utyfd">
              <w:r>
                <w:rPr>
                  <w:rStyle w:val="Hyperlink"/>
                  <w:sz w:val="16"/>
                  <w:szCs w:val="16"/>
                </w:rPr>
                <w:t xml:space="preserve">Principles of Maori Data Sovereignty (Te Mana Raraunga Brief 1)</w:t>
              </w:r>
            </w:hyperlink>
            <w:r>
              <w:rPr>
                <w:sz w:val="16"/>
                <w:szCs w:val="16"/>
              </w:rPr>
              <w:t xml:space="preserve"> · Te Mana Raraunga, 2018</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Sacred knowledge: community decides what stays private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G-05</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tob41iuo52thpwszrpsk">
              <w:r>
                <w:rPr>
                  <w:rStyle w:val="Hyperlink"/>
                  <w:sz w:val="16"/>
                  <w:szCs w:val="16"/>
                </w:rPr>
                <w:t xml:space="preserve">Delgamuukw v. British Columbia, 1997 3 SCR 1010</w:t>
              </w:r>
            </w:hyperlink>
            <w:r>
              <w:rPr>
                <w:sz w:val="16"/>
                <w:szCs w:val="16"/>
              </w:rPr>
              <w:t xml:space="preserve"> · Supreme Court of Canada, 1997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Oral history as evidence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linked from confirmed source</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G-06</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idoeypwt9czyifojq1uic">
              <w:r>
                <w:rPr>
                  <w:rStyle w:val="Hyperlink"/>
                  <w:sz w:val="16"/>
                  <w:szCs w:val="16"/>
                </w:rPr>
                <w:t xml:space="preserve">Delgamuukw Case (summary)</w:t>
              </w:r>
            </w:hyperlink>
            <w:r>
              <w:rPr>
                <w:sz w:val="16"/>
                <w:szCs w:val="16"/>
              </w:rPr>
              <w:t xml:space="preserve"> · The Canadian Encyclopedia, 2019</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Plain-language summary of the ruling</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G-07</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u8qdhjhi-pnnn5lo6xfll">
              <w:r>
                <w:rPr>
                  <w:rStyle w:val="Hyperlink"/>
                  <w:sz w:val="16"/>
                  <w:szCs w:val="16"/>
                </w:rPr>
                <w:t xml:space="preserve">EU AI Act, Article 14: Human Oversight</w:t>
              </w:r>
            </w:hyperlink>
            <w:r>
              <w:rPr>
                <w:sz w:val="16"/>
                <w:szCs w:val="16"/>
              </w:rPr>
              <w:t xml:space="preserve"> · EU (via artificialintelligenceact.eu),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Human override at the policy gate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G-08</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soqmahgjjwhncfe617okg">
              <w:r>
                <w:rPr>
                  <w:rStyle w:val="Hyperlink"/>
                  <w:sz w:val="16"/>
                  <w:szCs w:val="16"/>
                </w:rPr>
                <w:t xml:space="preserve">Digital Omnibus on Artificial Intelligence - FAQ</w:t>
              </w:r>
            </w:hyperlink>
            <w:r>
              <w:rPr>
                <w:sz w:val="16"/>
                <w:szCs w:val="16"/>
              </w:rPr>
              <w:t xml:space="preserve"> · AKOS (Slovenian regulator), 2026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Current high-risk application dates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G-09</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ygjxzsnnsnioorrost03a">
              <w:r>
                <w:rPr>
                  <w:rStyle w:val="Hyperlink"/>
                  <w:sz w:val="16"/>
                  <w:szCs w:val="16"/>
                </w:rPr>
                <w:t xml:space="preserve">Register of Native Title Claims (dataset)</w:t>
              </w:r>
            </w:hyperlink>
            <w:r>
              <w:rPr>
                <w:sz w:val="16"/>
                <w:szCs w:val="16"/>
              </w:rPr>
              <w:t xml:space="preserve"> · Native Title Registrar / data.gov.au, n.d.</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Shared register example for the claims-register gap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G-10</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203a9ds0jn9i348wimeu">
              <w:r>
                <w:rPr>
                  <w:rStyle w:val="Hyperlink"/>
                  <w:sz w:val="16"/>
                  <w:szCs w:val="16"/>
                </w:rPr>
                <w:t xml:space="preserve">Federal Court of Australia Annual Report 2010-11, Part 2 (native title management after 2009 amendments)</w:t>
              </w:r>
            </w:hyperlink>
            <w:r>
              <w:rPr>
                <w:sz w:val="16"/>
                <w:szCs w:val="16"/>
              </w:rPr>
              <w:t xml:space="preserve"> · Federal Court of Australia, 2011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Court-managed mediation of overlapping claims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G-11</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gadyq-qnxnvqczvspdrbr">
              <w:r>
                <w:rPr>
                  <w:rStyle w:val="Hyperlink"/>
                  <w:sz w:val="16"/>
                  <w:szCs w:val="16"/>
                </w:rPr>
                <w:t xml:space="preserve">We will mediate the gap closed: 2009 Native Title Amendments</w:t>
              </w:r>
            </w:hyperlink>
            <w:r>
              <w:rPr>
                <w:sz w:val="16"/>
                <w:szCs w:val="16"/>
              </w:rPr>
              <w:t xml:space="preserve"> · Indigenous Law Bulletin (AustLII), 2010</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Details of s86B mediation after 2009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G-12</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ap0gin5gtwmpkmrr2qnaq">
              <w:r>
                <w:rPr>
                  <w:rStyle w:val="Hyperlink"/>
                  <w:sz w:val="16"/>
                  <w:szCs w:val="16"/>
                </w:rPr>
                <w:t xml:space="preserve">Summary of the WIPO Treaty on Intellectual Property, Genetic Resources and Associated Traditional Knowledge (2024)</w:t>
              </w:r>
            </w:hyperlink>
            <w:r>
              <w:rPr>
                <w:sz w:val="16"/>
                <w:szCs w:val="16"/>
              </w:rPr>
              <w:t xml:space="preserve"> · WIPO, 2024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Traditional knowledge in recorded stories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PH-L07</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iqih1xfazyqz0neqv4j83">
              <w:r>
                <w:rPr>
                  <w:rStyle w:val="Hyperlink"/>
                  <w:sz w:val="16"/>
                  <w:szCs w:val="16"/>
                </w:rPr>
                <w:t xml:space="preserve">Local Government Code of 1991 (RA 7160)</w:t>
              </w:r>
            </w:hyperlink>
            <w:r>
              <w:rPr>
                <w:sz w:val="16"/>
                <w:szCs w:val="16"/>
              </w:rPr>
              <w:t xml:space="preserve"> · Congress of the Philippines, 1991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LGU agent mandate; sectoral seats in local councils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PH-L08</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ux3ksols0wg33mmnnjwp8">
              <w:r>
                <w:rPr>
                  <w:rStyle w:val="Hyperlink"/>
                  <w:sz w:val="16"/>
                  <w:szCs w:val="16"/>
                </w:rPr>
                <w:t xml:space="preserve">Cybercrime Prevention Act of 2012 (RA 10175)</w:t>
              </w:r>
            </w:hyperlink>
            <w:r>
              <w:rPr>
                <w:sz w:val="16"/>
                <w:szCs w:val="16"/>
              </w:rPr>
              <w:t xml:space="preserve"> · Congress of the Philippines,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Data-leak scenario: illegal access and data interference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PH-L09</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n7tqxs_9sbadocmyxyxej">
              <w:r>
                <w:rPr>
                  <w:rStyle w:val="Hyperlink"/>
                  <w:sz w:val="16"/>
                  <w:szCs w:val="16"/>
                </w:rPr>
                <w:t xml:space="preserve">Community-Based Monitoring System Act (RA 11315)</w:t>
              </w:r>
            </w:hyperlink>
            <w:r>
              <w:rPr>
                <w:sz w:val="16"/>
                <w:szCs w:val="16"/>
              </w:rPr>
              <w:t xml:space="preserve"> · Congress of the Philippines, 2019</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Local poverty data; data gap: no ethnicity requirement in the law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PH-N07</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4-l6er_bmbwj_thj_f-pu">
              <w:r>
                <w:rPr>
                  <w:rStyle w:val="Hyperlink"/>
                  <w:sz w:val="16"/>
                  <w:szCs w:val="16"/>
                </w:rPr>
                <w:t xml:space="preserve">Joint DAR-DENR-LRA-NCIP Memorandum Circular: implementing rules of procedure of Joint Administrative Order No. 1, s. 2012</w:t>
              </w:r>
            </w:hyperlink>
            <w:r>
              <w:rPr>
                <w:sz w:val="16"/>
                <w:szCs w:val="16"/>
              </w:rPr>
              <w:t xml:space="preserve"> · DAR; DENR; LRA; NCIP, 2012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Overlapping claims and registration backlog (coordination gap)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PH-D04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ria5nao2hjtgcoktuwqcy">
              <w:r>
                <w:rPr>
                  <w:rStyle w:val="Hyperlink"/>
                  <w:sz w:val="16"/>
                  <w:szCs w:val="16"/>
                </w:rPr>
                <w:t xml:space="preserve">The 2023 Compendium of NPC Issuances (incl. NPC Circular No. 2023-04, Guidelines on Consent)</w:t>
              </w:r>
            </w:hyperlink>
            <w:r>
              <w:rPr>
                <w:sz w:val="16"/>
                <w:szCs w:val="16"/>
              </w:rPr>
              <w:t xml:space="preserve"> · National Privacy Commission, 2023</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Consent design: free, specific, informed in plain language, not bundled, easy to withdraw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PH-S04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1c9i_x35a99ojkt8qvdo7">
              <w:r>
                <w:rPr>
                  <w:rStyle w:val="Hyperlink"/>
                  <w:sz w:val="16"/>
                  <w:szCs w:val="16"/>
                </w:rPr>
                <w:t xml:space="preserve">DepEd Order No. 62, s. 2011: National Indigenous Peoples Education Policy Framework</w:t>
              </w:r>
            </w:hyperlink>
            <w:r>
              <w:rPr>
                <w:sz w:val="16"/>
                <w:szCs w:val="16"/>
              </w:rPr>
              <w:t xml:space="preserve"> · Department of Education, 2011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Rights-based participation of IP communities; youth as tellers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PH-C06</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lvjflzugoybfa5b5jqrcm">
              <w:r>
                <w:rPr>
                  <w:rStyle w:val="Hyperlink"/>
                  <w:sz w:val="16"/>
                  <w:szCs w:val="16"/>
                </w:rPr>
                <w:t xml:space="preserve">Report: Data and Information Workshop on Indigenous Peoples and Cultural Communities in the Philippines</w:t>
              </w:r>
            </w:hyperlink>
            <w:r>
              <w:rPr>
                <w:sz w:val="16"/>
                <w:szCs w:val="16"/>
              </w:rPr>
              <w:t xml:space="preserve"> · World Bank, 2025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Current national effort on IP data standards; self-identification; data sovereignty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PH-C07</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zjlkwalhuhi8aeilddl1f">
              <w:r>
                <w:rPr>
                  <w:rStyle w:val="Hyperlink"/>
                  <w:sz w:val="16"/>
                  <w:szCs w:val="16"/>
                </w:rPr>
                <w:t xml:space="preserve">The Joint Administrative Order No. 01 series of 2012: A Policy Review</w:t>
              </w:r>
            </w:hyperlink>
            <w:r>
              <w:rPr>
                <w:sz w:val="16"/>
                <w:szCs w:val="16"/>
              </w:rPr>
              <w:t xml:space="preserve"> · Dave de Vera (PAFID), for ANGOC (hosted by the CHR observatory), 2017</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Evidence for the registration-backlog gap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G-13</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ro1xyle4m0p6kyviw733n">
              <w:r>
                <w:rPr>
                  <w:rStyle w:val="Hyperlink"/>
                  <w:sz w:val="16"/>
                  <w:szCs w:val="16"/>
                </w:rPr>
                <w:t xml:space="preserve">Community Land Act, 2016 (No. 27 of 2016), Kenya</w:t>
              </w:r>
            </w:hyperlink>
            <w:r>
              <w:rPr>
                <w:sz w:val="16"/>
                <w:szCs w:val="16"/>
              </w:rPr>
              <w:t xml:space="preserve"> · Parliament of Kenya (Kenya Law), 2016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Many voices: community land decisions by an assembly of all adult members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G-14</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lag0ggwutjrz2vmket3lv">
              <w:r>
                <w:rPr>
                  <w:rStyle w:val="Hyperlink"/>
                  <w:sz w:val="16"/>
                  <w:szCs w:val="16"/>
                </w:rPr>
                <w:t xml:space="preserve">International good practices: Mexico National Institute of Statistics and Geography (INEGI)</w:t>
              </w:r>
            </w:hyperlink>
            <w:r>
              <w:rPr>
                <w:sz w:val="16"/>
                <w:szCs w:val="16"/>
              </w:rPr>
              <w:t xml:space="preserve"> · INEGI (World Bank IP data workshop), 2025</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Ethnicity data gap: self-identification plus language questions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G-15</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_gqcqqkbp6oe0q6fldjfi">
              <w:r>
                <w:rPr>
                  <w:rStyle w:val="Hyperlink"/>
                  <w:sz w:val="16"/>
                  <w:szCs w:val="16"/>
                </w:rPr>
                <w:t xml:space="preserve">Indigenous Status Standard, 2014, Version 1.5</w:t>
              </w:r>
            </w:hyperlink>
            <w:r>
              <w:rPr>
                <w:sz w:val="16"/>
                <w:szCs w:val="16"/>
              </w:rPr>
              <w:t xml:space="preserve"> · Australian Bureau of Statistics, 2014</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Ethnicity data gap: one standard self-identification question for all respondents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G-16</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aybgkl0ew4ot2n6jk_8my">
              <w:r>
                <w:rPr>
                  <w:rStyle w:val="Hyperlink"/>
                  <w:sz w:val="16"/>
                  <w:szCs w:val="16"/>
                </w:rPr>
                <w:t xml:space="preserve">Recommendation on the Ethics of Artificial Intelligence</w:t>
              </w:r>
            </w:hyperlink>
            <w:r>
              <w:rPr>
                <w:sz w:val="16"/>
                <w:szCs w:val="16"/>
              </w:rPr>
              <w:t xml:space="preserve"> · UNESCO, 2021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AI ethics benchmark; indigenous self-governance of data</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opened</w:t>
            </w:r>
          </w:p>
        </w:tc>
      </w:tr>
      <w:tr>
        <w:trPr>
          <w:tblHeader w:val="false"/>
        </w:trPr>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G-17</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hyperlink w:history="1" r:id="rIdoiutzobhmcgc0fngjfjks">
              <w:r>
                <w:rPr>
                  <w:rStyle w:val="Hyperlink"/>
                  <w:sz w:val="16"/>
                  <w:szCs w:val="16"/>
                </w:rPr>
                <w:t xml:space="preserve">Indigenous and Tribal Peoples Convention, 1989 (No. 169)</w:t>
              </w:r>
            </w:hyperlink>
            <w:r>
              <w:rPr>
                <w:sz w:val="16"/>
                <w:szCs w:val="16"/>
              </w:rPr>
              <w:t xml:space="preserve"> · International Labour Organization, 1989</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Treaty benchmark (not ratified by the Philippines)</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6"/>
                <w:szCs w:val="16"/>
              </w:rPr>
              <w:t xml:space="preserve">search result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32"/>
      <w:szCs w:val="32"/>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s6wp3ryor1k0pnp8ler2" Type="http://schemas.openxmlformats.org/officeDocument/2006/relationships/hyperlink" Target="https://github.com/pwdrkg/ITUAIIP" TargetMode="External"/><Relationship Id="rId4mei0mew_1m3mytgrjjqn" Type="http://schemas.openxmlformats.org/officeDocument/2006/relationships/hyperlink" Target="https://thedocs.worldbank.org/en/doc/baa43cc91ec55266a538e9023c528bd7-0070062024/original/No-Data-No-Story-Indigenous-Peoples-in-the-Philippines.pdf" TargetMode="External"/><Relationship Id="rIdemlczch4xvhfo-tjtex2m" Type="http://schemas.openxmlformats.org/officeDocument/2006/relationships/hyperlink" Target="https://new.kenyalaw.org/akn/ke/act/2016/27" TargetMode="External"/><Relationship Id="rIdoiaqo6bkcucywi8b_jqgr" Type="http://schemas.openxmlformats.org/officeDocument/2006/relationships/hyperlink" Target="https://scc-csc.lexum.com/scc-csc/scc-csc/en/item/1569/index.do" TargetMode="External"/><Relationship Id="rId86ozxn0hci3jeasvfftzl" Type="http://schemas.openxmlformats.org/officeDocument/2006/relationships/hyperlink" Target="https://www.artificialintelligenceact.eu/article/14/" TargetMode="External"/><Relationship Id="rIde_kmq_6uxgwgzn-xas6z6" Type="http://schemas.openxmlformats.org/officeDocument/2006/relationships/hyperlink" Target="https://www.akos-rs.si/en/umetna-inteligenca/explore/frequently-asked-questions-and-answers/digital-omnibus-on-artificial-intelligence" TargetMode="External"/><Relationship Id="rIdww3e4q5hv4tybo_ymfyyj" Type="http://schemas.openxmlformats.org/officeDocument/2006/relationships/hyperlink" Target="https://data.gov.au/data/dataset/register-of-native-title-claims" TargetMode="External"/><Relationship Id="rIdvtiont7gjnjsejplfgkz3" Type="http://schemas.openxmlformats.org/officeDocument/2006/relationships/hyperlink" Target="https://thedocs.worldbank.org/en/doc/baa43cc91ec55266a538e9023c528bd7-0070062024/original/No-Data-No-Story-Indigenous-Peoples-in-the-Philippines.pdf" TargetMode="External"/><Relationship Id="rIddbeldmenivcux9ad9otem" Type="http://schemas.openxmlformats.org/officeDocument/2006/relationships/hyperlink" Target="https://chr-observatories.uwazi.io/api/files/15899151995355w08lc99wzv.pdf" TargetMode="External"/><Relationship Id="rIdic7g7ausxywfenftl4yz3" Type="http://schemas.openxmlformats.org/officeDocument/2006/relationships/hyperlink" Target="https://thedocs.worldbank.org/en/doc/912dbd0edff844d35899000a1086d8b3-0090012025/original/Day-2-INEGI-Mauricio-Rodriguez.pdf" TargetMode="External"/><Relationship Id="rIdruswfoepxw9jqzdmys_2n" Type="http://schemas.openxmlformats.org/officeDocument/2006/relationships/hyperlink" Target="https://www.abs.gov.au/statistics/standards/indigenous-status-standard/latest-release" TargetMode="External"/><Relationship Id="rIdzhobnpbph8nwdobkkfarq" Type="http://schemas.openxmlformats.org/officeDocument/2006/relationships/hyperlink" Target="https://intgovforum.org/sites/default/files/webform/igf_2023_workshop_proposal_form/241947/381137eng.pdf" TargetMode="External"/><Relationship Id="rId7gk2i5xnvv9nachyfhohg" Type="http://schemas.openxmlformats.org/officeDocument/2006/relationships/hyperlink" Target="https://thedocs.worldbank.org/en/doc/8bc52b597bab6386f540475c5f6160a6-0070022025/original/Report-Philippines-IP-Data-Workshop-04-14-2025.pdf" TargetMode="External"/><Relationship Id="rIdt82q0qpibhtgvtglpjxs8" Type="http://schemas.openxmlformats.org/officeDocument/2006/relationships/hyperlink" Target="https://casrai.org/learn/what-are-the-care-principles" TargetMode="External"/><Relationship Id="rId78janw9xirewdxe566lbs" Type="http://schemas.openxmlformats.org/officeDocument/2006/relationships/hyperlink" Target="https://en.wikipedia.org/wiki/First_Nations_principles_of_OCAP" TargetMode="External"/><Relationship Id="rId2yvfapzr2zm3gk4hqbn7l" Type="http://schemas.openxmlformats.org/officeDocument/2006/relationships/hyperlink" Target="https://www.tec.govt.nz/teo/working-with-teos/analysing-student-data/key-components/community-perspectives/maori-data-sovereignty" TargetMode="External"/><Relationship Id="rIdfqf3ngsoxphpfndqnsuvu" Type="http://schemas.openxmlformats.org/officeDocument/2006/relationships/hyperlink" Target="https://social.desa.un.org/sites/default/files/migrated/19/2018/11/UNDRIP_E_web.pdf" TargetMode="External"/><Relationship Id="rIdd_th5-cdreugk4c-n9qbv" Type="http://schemas.openxmlformats.org/officeDocument/2006/relationships/hyperlink" Target="https://www.wipo.int/en/web/treaties/ip/gratk/summary_gratk" TargetMode="External"/><Relationship Id="rIdjea0hm1njq_kzh0-udkzi" Type="http://schemas.openxmlformats.org/officeDocument/2006/relationships/hyperlink" Target="https://www.fedcourt.gov.au/about/corporate-information/annual-reports/2010-11/part-2" TargetMode="External"/><Relationship Id="rIdcbdwva82mztnimvs2nxrk" Type="http://schemas.openxmlformats.org/officeDocument/2006/relationships/hyperlink" Target="https://nlpdl.nlp.gov.ph/SC01/2015dec/193964.pdf" TargetMode="External"/><Relationship Id="rIdzvydexql9iv9ufeakykqs" Type="http://schemas.openxmlformats.org/officeDocument/2006/relationships/hyperlink" Target="https://lawphil.net/statutes/repacts/ra1997/ra_8371_1997.html" TargetMode="External"/><Relationship Id="rIdzeatf3my_qtiznt5krtpv" Type="http://schemas.openxmlformats.org/officeDocument/2006/relationships/hyperlink" Target="https://faolex.fao.org/docs/pdf/phi210272.pdf" TargetMode="External"/><Relationship Id="rIdq0if67rtahxrj9sm1slwb" Type="http://schemas.openxmlformats.org/officeDocument/2006/relationships/hyperlink" Target="https://thedocs.worldbank.org/en/doc/baa43cc91ec55266a538e9023c528bd7-0070062024/original/No-Data-No-Story-Indigenous-Peoples-in-the-Philippines.pdf" TargetMode="External"/><Relationship Id="rIdgwbw7a9gymsxjmu6nhatt" Type="http://schemas.openxmlformats.org/officeDocument/2006/relationships/hyperlink" Target="https://github.com/CrashingGuru/ITUAIReadiness" TargetMode="External"/><Relationship Id="rIdltdiidzdqmsrrdept5krq" Type="http://schemas.openxmlformats.org/officeDocument/2006/relationships/hyperlink" Target="https://thedocs.worldbank.org/en/doc/baa43cc91ec55266a538e9023c528bd7-0070062024/original/No-Data-No-Story-Indigenous-Peoples-in-the-Philippines.pdf" TargetMode="External"/><Relationship Id="rId2koz3rqwv57zchkj8bscg" Type="http://schemas.openxmlformats.org/officeDocument/2006/relationships/hyperlink" Target="https://lawphil.net/statutes/repacts/ra1997/ra_8371_1997.html" TargetMode="External"/><Relationship Id="rIdc3hv_gzgtzcrmghhkfahg" Type="http://schemas.openxmlformats.org/officeDocument/2006/relationships/hyperlink" Target="https://lawyerly.ph/laws/view/le21" TargetMode="External"/><Relationship Id="rId6uwvfjtgj0yo6-luqqmj7" Type="http://schemas.openxmlformats.org/officeDocument/2006/relationships/hyperlink" Target="https://lawphil.net/executive/execord/eo2024/eo_58_2024.html" TargetMode="External"/><Relationship Id="rIdjza3wgsnwzknxb3ap0sbv" Type="http://schemas.openxmlformats.org/officeDocument/2006/relationships/hyperlink" Target="https://privacy.gov.ph/wp-content/uploads/2024/12/Advisory-2024.12.19-Guidelines-on-Artificial-Intelligence-w-SGD.pdf" TargetMode="External"/><Relationship Id="rIdjws8w_kf53cjmrmvmiapg" Type="http://schemas.openxmlformats.org/officeDocument/2006/relationships/hyperlink" Target="https://dti.gov.ph/news/dti-drives-ai-innovation-national-roadmap-2-0-cair-launch" TargetMode="External"/><Relationship Id="rIdb-a9vqpx6u7ryg6wstiqg" Type="http://schemas.openxmlformats.org/officeDocument/2006/relationships/hyperlink" Target="https://oecd.ai/en/dashboards/policy-initiatives/national-ai-strategy-roadmap-20-naisr-20" TargetMode="External"/><Relationship Id="rIdkku4-tto_da9fkg62yalm" Type="http://schemas.openxmlformats.org/officeDocument/2006/relationships/hyperlink" Target="https://www.fao.org/indigenous-peoples/country/PHL/en/?iso3=PHL" TargetMode="External"/><Relationship Id="rIdtptplawug75z-7_na0a_n" Type="http://schemas.openxmlformats.org/officeDocument/2006/relationships/hyperlink" Target="https://chr-observatories.uwazi.io/api/files/15749089595883uvoy88gnm.pdf" TargetMode="External"/><Relationship Id="rIdp-v_lnclr7cjb3orxeehi" Type="http://schemas.openxmlformats.org/officeDocument/2006/relationships/hyperlink" Target="https://chr-observatories.uwazi.io/api/files/1574909030906skiyojx55l.pdf" TargetMode="External"/><Relationship Id="rId8yklmmn9bfsrfsbufzi07" Type="http://schemas.openxmlformats.org/officeDocument/2006/relationships/hyperlink" Target="https://chr-observatories.uwazi.io/api/files/15749089972093t25s3vviyn.pdf" TargetMode="External"/><Relationship Id="rIdvmz8iqf57ngkmey5bmxt_" Type="http://schemas.openxmlformats.org/officeDocument/2006/relationships/hyperlink" Target="https://chr-observatories.uwazi.io/api/files/1589783625851j532xt6fxk.pdf" TargetMode="External"/><Relationship Id="rIdfeshxq7yp7g3y1q-99p9w" Type="http://schemas.openxmlformats.org/officeDocument/2006/relationships/hyperlink" Target="https://privacy.gov.ph/wp-content/uploads/2024/05/2023-compendium-2.pdf" TargetMode="External"/><Relationship Id="rIddlobtof5ymxailpwxma5h" Type="http://schemas.openxmlformats.org/officeDocument/2006/relationships/hyperlink" Target="https://thedocs.worldbank.org/en/doc/8bc52b597bab6386f540475c5f6160a6-0070022025/original/Report-Philippines-IP-Data-Workshop-04-14-2025.pdf" TargetMode="External"/><Relationship Id="rIdf_qqzcmiuqos7zwnwxr2x" Type="http://schemas.openxmlformats.org/officeDocument/2006/relationships/hyperlink" Target="https://github.com/CrashingGuru/ITUAIReadiness" TargetMode="External"/><Relationship Id="rIdckcnaldiclzarp6vuwoyh" Type="http://schemas.openxmlformats.org/officeDocument/2006/relationships/hyperlink" Target="https://lawphil.net/statutes/repacts/ra1997/ra_8371_1997.html" TargetMode="External"/><Relationship Id="rIduqqbvu6zr4hiwotlhkap7" Type="http://schemas.openxmlformats.org/officeDocument/2006/relationships/hyperlink" Target="https://lawphil.net/statutes/repacts/ra1995/pdf/ra_7942_1995.pdf" TargetMode="External"/><Relationship Id="rIdruklhzi64l0s9nm7nsbdi" Type="http://schemas.openxmlformats.org/officeDocument/2006/relationships/hyperlink" Target="https://lawphil.net/statutes/repacts/ra2018/ra_11038_2018.html" TargetMode="External"/><Relationship Id="rIdsytpgwpmxf79_l-sq0y8b" Type="http://schemas.openxmlformats.org/officeDocument/2006/relationships/hyperlink" Target="https://www.ipophil.gov.ph/intellectual-property-code-implementing-rules-and-regulations/" TargetMode="External"/><Relationship Id="rIdhlt1y4r3sik_qnlzb4tdh" Type="http://schemas.openxmlformats.org/officeDocument/2006/relationships/hyperlink" Target="https://elibrary.judiciary.gov.ph/thebookshelf/showdocs/2/67157" TargetMode="External"/><Relationship Id="rIdjphfiioc0qk0nepkwsxmr" Type="http://schemas.openxmlformats.org/officeDocument/2006/relationships/hyperlink" Target="https://lawphil.net/executive/execord/eo2024/eo_58_2024.html" TargetMode="External"/><Relationship Id="rId1hmnmd9hammrshpxfttbb" Type="http://schemas.openxmlformats.org/officeDocument/2006/relationships/hyperlink" Target="https://www.wipo.int/wipolex/en/text/225827" TargetMode="External"/><Relationship Id="rIdztwviwibupxzoxtw4hqtu" Type="http://schemas.openxmlformats.org/officeDocument/2006/relationships/hyperlink" Target="https://chr-observatories.uwazi.io/api/files/1574909030906skiyojx55l.pdf" TargetMode="External"/><Relationship Id="rIdymzx_otno08gn-qpshgxk" Type="http://schemas.openxmlformats.org/officeDocument/2006/relationships/hyperlink" Target="https://chr-observatories.uwazi.io/api/files/15749089972093t25s3vviyn.pdf" TargetMode="External"/><Relationship Id="rId4e_zfsn46ofucge06f7vg" Type="http://schemas.openxmlformats.org/officeDocument/2006/relationships/hyperlink" Target="https://chr-observatories.uwazi.io/api/files/15749089595883uvoy88gnm.pdf" TargetMode="External"/><Relationship Id="rIdfjxqlae9vqugwxb8lf-ut" Type="http://schemas.openxmlformats.org/officeDocument/2006/relationships/hyperlink" Target="https://dev.lawyerly.ph/laws/91527" TargetMode="External"/><Relationship Id="rIdkomalq91lmemxk2ohm5ag" Type="http://schemas.openxmlformats.org/officeDocument/2006/relationships/hyperlink" Target="https://faolex.fao.org/docs/pdf/phi198300.pdf" TargetMode="External"/><Relationship Id="rIdzea0phzjqdo7q76vstd_y" Type="http://schemas.openxmlformats.org/officeDocument/2006/relationships/hyperlink" Target="https://privacy.gov.ph/wp-content/uploads/2017/03/DPA-of-2012.pdf" TargetMode="External"/><Relationship Id="rIduxdodjcy46joxymyhnr1r" Type="http://schemas.openxmlformats.org/officeDocument/2006/relationships/hyperlink" Target="https://privacy.gov.ph/wp-content/uploads/2023/06/IRR_RA-10173-as-amended.pdf" TargetMode="External"/><Relationship Id="rIdpy-wcdmhnamnfusf_nu15" Type="http://schemas.openxmlformats.org/officeDocument/2006/relationships/hyperlink" Target="https://privacy.gov.ph/wp-content/uploads/2024/12/Advisory-2024.12.19-Guidelines-on-Artificial-Intelligence-w-SGD.pdf" TargetMode="External"/><Relationship Id="rIdxmoc7y90udnblybb_hkgx" Type="http://schemas.openxmlformats.org/officeDocument/2006/relationships/hyperlink" Target="https://dti.gov.ph/news/dti-drives-ai-innovation-national-roadmap-2-0-cair-launch" TargetMode="External"/><Relationship Id="rIdx10tsjv4xg10o_jyzotom" Type="http://schemas.openxmlformats.org/officeDocument/2006/relationships/hyperlink" Target="https://oecd.ai/en/dashboards/policy-initiatives/national-ai-strategy-roadmap-20-naisr-20" TargetMode="External"/><Relationship Id="rIdn_mukra8blmclcnz_yrrk" Type="http://schemas.openxmlformats.org/officeDocument/2006/relationships/hyperlink" Target="https://pdp.depdev.gov.ph/wp-content/uploads/2023/09/Philippine-Development-Plan-2023-2028.pdf" TargetMode="External"/><Relationship Id="rIdtgbff8vijved2czzup6bi" Type="http://schemas.openxmlformats.org/officeDocument/2006/relationships/hyperlink" Target="https://lawphil.net/judjuris/juri2000/dec2000/gr_135385_2000.html" TargetMode="External"/><Relationship Id="rIdaz-vovhz5fryarple7fti" Type="http://schemas.openxmlformats.org/officeDocument/2006/relationships/hyperlink" Target="https://nlpdl.nlp.gov.ph/SC01/2015dec/193964.pdf" TargetMode="External"/><Relationship Id="rIdhcelskrrakefqab4lutsu" Type="http://schemas.openxmlformats.org/officeDocument/2006/relationships/hyperlink" Target="https://thedocs.worldbank.org/en/doc/baa43cc91ec55266a538e9023c528bd7-0070062024/original/No-Data-No-Story-Indigenous-Peoples-in-the-Philippines.pdf" TargetMode="External"/><Relationship Id="rIdzh629v8fq4niwc7jiy4xr" Type="http://schemas.openxmlformats.org/officeDocument/2006/relationships/hyperlink" Target="https://thedocs.worldbank.org/en/doc/2808b4cfcfc285b10805c31eefb67ec0-0070062024/original/Report-Highlights-Presentation-No-Data-No-Story-Indigenous-Peoples-in-the-Philippines.pdf" TargetMode="External"/><Relationship Id="rIdg-s26mft7pfefsnglkrhb" Type="http://schemas.openxmlformats.org/officeDocument/2006/relationships/hyperlink" Target="https://thedocs.worldbank.org/en/doc/c370ba5b59a471a774b2196ca87bd623-0090012025/original/Day-1-PSA-Jomilynn-Rebanal.pdf" TargetMode="External"/><Relationship Id="rIdsfx9ftvb8ppl9bfhfep_s" Type="http://schemas.openxmlformats.org/officeDocument/2006/relationships/hyperlink" Target="https://psa.gov.ph/system/files/phcd/PR%20on%20Ethnicity_Technical%20Notes.pdf" TargetMode="External"/><Relationship Id="rIdg0ziaivhcs9adeaz5bqrh" Type="http://schemas.openxmlformats.org/officeDocument/2006/relationships/hyperlink" Target="https://www.fao.org/indigenous-peoples/country/PHL/en/?iso3=PHL" TargetMode="External"/><Relationship Id="rIdumtnu046nxbit9gythshb" Type="http://schemas.openxmlformats.org/officeDocument/2006/relationships/hyperlink" Target="https://social.desa.un.org/sites/default/files/migrated/19/2018/11/UNDRIP_E_web.pdf" TargetMode="External"/><Relationship Id="rIdyoc9zm4bkjg8-abexseuk" Type="http://schemas.openxmlformats.org/officeDocument/2006/relationships/hyperlink" Target="https://casrai.org/learn/what-are-the-care-principles" TargetMode="External"/><Relationship Id="rIdjjtzbtkpcdq_n5bz8ukfn" Type="http://schemas.openxmlformats.org/officeDocument/2006/relationships/hyperlink" Target="https://www.uottawa.ca/library/sites/g/files/bhrskd381/files/2022-12/bestpractices_fnigc_ocap_fact_sheet_en_final.pdf" TargetMode="External"/><Relationship Id="rIdpzpd3mo9czy58ah9utyfd" Type="http://schemas.openxmlformats.org/officeDocument/2006/relationships/hyperlink" Target="https://online.op.ac.nz/assets/LearningTeachingDevelopment/TMR+Maori+Data+Sovereignty+Principles+Oct+2018.pdf" TargetMode="External"/><Relationship Id="rId-tob41iuo52thpwszrpsk" Type="http://schemas.openxmlformats.org/officeDocument/2006/relationships/hyperlink" Target="https://scc-csc.lexum.com/scc-csc/scc-csc/en/item/1569/index.do" TargetMode="External"/><Relationship Id="rIdidoeypwt9czyifojq1uic" Type="http://schemas.openxmlformats.org/officeDocument/2006/relationships/hyperlink" Target="https://www.thecanadianencyclopedia.ca/en/article/delgamuukw-case" TargetMode="External"/><Relationship Id="rIdu8qdhjhi-pnnn5lo6xfll" Type="http://schemas.openxmlformats.org/officeDocument/2006/relationships/hyperlink" Target="https://www.artificialintelligenceact.eu/article/14/" TargetMode="External"/><Relationship Id="rIdsoqmahgjjwhncfe617okg" Type="http://schemas.openxmlformats.org/officeDocument/2006/relationships/hyperlink" Target="https://www.akos-rs.si/en/umetna-inteligenca/explore/frequently-asked-questions-and-answers/digital-omnibus-on-artificial-intelligence" TargetMode="External"/><Relationship Id="rIdygjxzsnnsnioorrost03a" Type="http://schemas.openxmlformats.org/officeDocument/2006/relationships/hyperlink" Target="https://data.gov.au/data/dataset/register-of-native-title-claims" TargetMode="External"/><Relationship Id="rId-203a9ds0jn9i348wimeu" Type="http://schemas.openxmlformats.org/officeDocument/2006/relationships/hyperlink" Target="https://www.fedcourt.gov.au/about/corporate-information/annual-reports/2010-11/part-2" TargetMode="External"/><Relationship Id="rIdgadyq-qnxnvqczvspdrbr" Type="http://schemas.openxmlformats.org/officeDocument/2006/relationships/hyperlink" Target="https://www.austlii.edu.au/au/journals/ILB/2010/5.html" TargetMode="External"/><Relationship Id="rIdap0gin5gtwmpkmrr2qnaq" Type="http://schemas.openxmlformats.org/officeDocument/2006/relationships/hyperlink" Target="https://www.wipo.int/en/web/treaties/ip/gratk/summary_gratk" TargetMode="External"/><Relationship Id="rIdiqih1xfazyqz0neqv4j83" Type="http://schemas.openxmlformats.org/officeDocument/2006/relationships/hyperlink" Target="https://faolex.fao.org/docs/pdf/phi210272.pdf" TargetMode="External"/><Relationship Id="rIdux3ksols0wg33mmnnjwp8" Type="http://schemas.openxmlformats.org/officeDocument/2006/relationships/hyperlink" Target="https://hrlibrary.umn.edu/research/Philippines/RA_10175.html" TargetMode="External"/><Relationship Id="rIdn7tqxs_9sbadocmyxyxej" Type="http://schemas.openxmlformats.org/officeDocument/2006/relationships/hyperlink" Target="https://ldr.senate.gov.ph/sites/default/files/2021-08/20190417-RA-11315-RRD.pdf" TargetMode="External"/><Relationship Id="rId4-l6er_bmbwj_thj_f-pu" Type="http://schemas.openxmlformats.org/officeDocument/2006/relationships/hyperlink" Target="https://chr-observatories.uwazi.io/api/files/1589783625851j532xt6fxk.pdf" TargetMode="External"/><Relationship Id="rIdria5nao2hjtgcoktuwqcy" Type="http://schemas.openxmlformats.org/officeDocument/2006/relationships/hyperlink" Target="https://privacy.gov.ph/wp-content/uploads/2024/05/2023-compendium-2.pdf" TargetMode="External"/><Relationship Id="rId1c9i_x35a99ojkt8qvdo7" Type="http://schemas.openxmlformats.org/officeDocument/2006/relationships/hyperlink" Target="https://www.deped.gov.ph/2011/08/08/do-62-s-2011-%20adopting-the-national-indigenous-peoples-ip-education-policy-framework/" TargetMode="External"/><Relationship Id="rIdlvjflzugoybfa5b5jqrcm" Type="http://schemas.openxmlformats.org/officeDocument/2006/relationships/hyperlink" Target="https://thedocs.worldbank.org/en/doc/8bc52b597bab6386f540475c5f6160a6-0070022025/original/Report-Philippines-IP-Data-Workshop-04-14-2025.pdf" TargetMode="External"/><Relationship Id="rIdzjlkwalhuhi8aeilddl1f" Type="http://schemas.openxmlformats.org/officeDocument/2006/relationships/hyperlink" Target="https://chr-observatories.uwazi.io/api/files/15899151995355w08lc99wzv.pdf" TargetMode="External"/><Relationship Id="rIdro1xyle4m0p6kyviw733n" Type="http://schemas.openxmlformats.org/officeDocument/2006/relationships/hyperlink" Target="https://new.kenyalaw.org/akn/ke/act/2016/27" TargetMode="External"/><Relationship Id="rIdlag0ggwutjrz2vmket3lv" Type="http://schemas.openxmlformats.org/officeDocument/2006/relationships/hyperlink" Target="https://thedocs.worldbank.org/en/doc/912dbd0edff844d35899000a1086d8b3-0090012025/original/Day-2-INEGI-Mauricio-Rodriguez.pdf" TargetMode="External"/><Relationship Id="rId_gqcqqkbp6oe0q6fldjfi" Type="http://schemas.openxmlformats.org/officeDocument/2006/relationships/hyperlink" Target="https://www.abs.gov.au/statistics/standards/indigenous-status-standard/latest-release" TargetMode="External"/><Relationship Id="rIdaybgkl0ew4ot2n6jk_8my" Type="http://schemas.openxmlformats.org/officeDocument/2006/relationships/hyperlink" Target="https://intgovforum.org/sites/default/files/webform/igf_2023_workshop_proposal_form/241947/381137eng.pdf" TargetMode="External"/><Relationship Id="rIdoiutzobhmcgc0fngjfjks" Type="http://schemas.openxmlformats.org/officeDocument/2006/relationships/hyperlink" Target="https://eos.cartercenter.org/uploads/document_file/path/73/Convention_C169-_E.pdf" TargetMode="External"/><Relationship Id="rId8" Type="http://schemas.openxmlformats.org/officeDocument/2006/relationships/image" Target="media/f14c7db98423f2e8bfb88c689ac965cd36b2b22a.pn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Ancestral Land Story Pipeline – Full report</dc:title>
  <dc:creator>Ancestral Land Story Pipeline team</dc:creator>
  <cp:lastModifiedBy>Un-named</cp:lastModifiedBy>
  <cp:revision>1</cp:revision>
  <dcterms:created xsi:type="dcterms:W3CDTF">2026-10-06T16:25:25.435Z</dcterms:created>
  <dcterms:modified xsi:type="dcterms:W3CDTF">2026-10-06T16:25:25.441Z</dcterms:modified>
</cp:coreProperties>
</file>

<file path=docProps/custom.xml><?xml version="1.0" encoding="utf-8"?>
<Properties xmlns="http://schemas.openxmlformats.org/officeDocument/2006/custom-properties" xmlns:vt="http://schemas.openxmlformats.org/officeDocument/2006/docPropsVTypes"/>
</file>