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0E1E3D"/>
          <w:sz w:val="40"/>
          <w:szCs w:val="40"/>
        </w:rPr>
        <w:t xml:space="preserve">Deployment Demonstration</w:t>
      </w:r>
    </w:p>
    <w:p>
      <w:pPr>
        <w:spacing w:before="100"/>
        <w:jc w:val="center"/>
      </w:pPr>
      <w:r>
        <w:rPr>
          <w:color w:val="595959"/>
          <w:sz w:val="26"/>
          <w:szCs w:val="26"/>
        </w:rPr>
        <w:t xml:space="preserve">Network Anomaly Detection — FastAPI Service</w:t>
      </w:r>
    </w:p>
    <w:p>
      <w:pPr>
        <w:spacing w:before="80"/>
        <w:jc w:val="center"/>
      </w:pPr>
      <w:r>
        <w:rPr>
          <w:i/>
          <w:iCs/>
          <w:color w:val="595959"/>
          <w:sz w:val="20"/>
          <w:szCs w:val="20"/>
        </w:rPr>
        <w:t xml:space="preserve">Step 8 deliverable — running application walkthrough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0E1E3D"/>
        </w:rPr>
        <w:t xml:space="preserve">1. Overview</w:t>
      </w:r>
    </w:p>
    <w:p>
      <w:pPr>
        <w:spacing w:after="100"/>
      </w:pPr>
      <w:r>
        <w:t xml:space="preserve">The best model from this project (a Random Forest achieving 0.974 recall and 0.989 PR-AUC on the held-out test set) is deployed as a REST service using FastAPI. The service loads the fitted preprocessing pipeline and the trained model once at start-up and exposes a prediction endpoint plus a lightweight web interface. This document walks through the running application with screenshots.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DDEBF7" w:val="clear"/>
          </w:tcPr>
          <w:p>
            <w:pPr>
              <w:spacing w:after="100"/>
            </w:pPr>
            <w:r>
              <w:rPr>
                <w:b/>
                <w:bCs/>
                <w:color w:val="0E1E3D"/>
                <w:sz w:val="20"/>
                <w:szCs w:val="20"/>
              </w:rPr>
              <w:t xml:space="preserve">Framework</w:t>
            </w:r>
          </w:p>
        </w:tc>
        <w:tc>
          <w:tcPr>
            <w:tcW w:type="dxa" w:w="676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FastAPI (Python), served by Uvicorn</w:t>
            </w:r>
          </w:p>
        </w:tc>
      </w:tr>
      <w:tr>
        <w:tc>
          <w:tcPr>
            <w:tcW w:type="dxa" w:w="2600"/>
            <w:shd w:fill="DDEBF7" w:val="clear"/>
          </w:tcPr>
          <w:p>
            <w:pPr>
              <w:spacing w:after="100"/>
            </w:pPr>
            <w:r>
              <w:rPr>
                <w:b/>
                <w:bCs/>
                <w:color w:val="0E1E3D"/>
                <w:sz w:val="20"/>
                <w:szCs w:val="20"/>
              </w:rPr>
              <w:t xml:space="preserve">Model served</w:t>
            </w:r>
          </w:p>
        </w:tc>
        <w:tc>
          <w:tcPr>
            <w:tcW w:type="dxa" w:w="676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Random Forest (best_model.joblib) — switchable to XGBoost via env var</w:t>
            </w:r>
          </w:p>
        </w:tc>
      </w:tr>
      <w:tr>
        <w:tc>
          <w:tcPr>
            <w:tcW w:type="dxa" w:w="2600"/>
            <w:shd w:fill="DDEBF7" w:val="clear"/>
          </w:tcPr>
          <w:p>
            <w:pPr>
              <w:spacing w:after="100"/>
            </w:pPr>
            <w:r>
              <w:rPr>
                <w:b/>
                <w:bCs/>
                <w:color w:val="0E1E3D"/>
                <w:sz w:val="20"/>
                <w:szCs w:val="20"/>
              </w:rPr>
              <w:t xml:space="preserve">Endpoints</w:t>
            </w:r>
          </w:p>
        </w:tc>
        <w:tc>
          <w:tcPr>
            <w:tcW w:type="dxa" w:w="676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/ (UI), /predict, /health, /model-info, /docs (Swagger)</w:t>
            </w:r>
          </w:p>
        </w:tc>
      </w:tr>
      <w:tr>
        <w:tc>
          <w:tcPr>
            <w:tcW w:type="dxa" w:w="2600"/>
            <w:shd w:fill="DDEBF7" w:val="clear"/>
          </w:tcPr>
          <w:p>
            <w:pPr>
              <w:spacing w:after="100"/>
            </w:pPr>
            <w:r>
              <w:rPr>
                <w:b/>
                <w:bCs/>
                <w:color w:val="0E1E3D"/>
                <w:sz w:val="20"/>
                <w:szCs w:val="20"/>
              </w:rPr>
              <w:t xml:space="preserve">Container</w:t>
            </w:r>
          </w:p>
        </w:tc>
        <w:tc>
          <w:tcPr>
            <w:tcW w:type="dxa" w:w="676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Dockerfile provided; configurable via MODEL_NAME, THRESHOLD, MODEL_DIR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0E1E3D"/>
        </w:rPr>
        <w:t xml:space="preserve">2. Running the service</w:t>
      </w:r>
    </w:p>
    <w:p>
      <w:pPr>
        <w:spacing w:after="100"/>
      </w:pPr>
      <w:r>
        <w:t xml:space="preserve">Locally, the service starts with a single command and is then available in the browser:</w:t>
      </w:r>
    </w:p>
    <w:p>
      <w:pPr>
        <w:pBdr>
          <w:left w:val="single" w:color="0C7C92" w:sz="18" w:space="8"/>
        </w:pBdr>
        <w:shd w:fill="F4F6F8" w:val="clear"/>
        <w:spacing w:after="120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pip install -r requirements.txt</w:t>
      </w:r>
      <w:r>
        <w:br/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uvicorn app.main:app --port 8000</w:t>
      </w:r>
      <w:r>
        <w:br/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# open http://localhost:8000</w:t>
      </w:r>
    </w:p>
    <w:p>
      <w:pPr>
        <w:spacing w:after="100"/>
      </w:pPr>
      <w:r>
        <w:t xml:space="preserve">Or as a container:</w:t>
      </w:r>
    </w:p>
    <w:p>
      <w:pPr>
        <w:pBdr>
          <w:left w:val="single" w:color="0C7C92" w:sz="18" w:space="8"/>
        </w:pBdr>
        <w:shd w:fill="F4F6F8" w:val="clear"/>
        <w:spacing w:after="120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docker build -t nad-detector .</w:t>
      </w:r>
      <w:r>
        <w:br/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docker run -p 8000:8000 nad-detector</w:t>
      </w:r>
    </w:p>
    <w:p>
      <w:pPr>
        <w:pStyle w:val="Heading1"/>
        <w:spacing w:after="120" w:before="240"/>
      </w:pPr>
      <w:r>
        <w:rPr>
          <w:b/>
          <w:bCs/>
          <w:color w:val="0E1E3D"/>
        </w:rPr>
        <w:t xml:space="preserve">3. The web interface</w:t>
      </w:r>
    </w:p>
    <w:p>
      <w:pPr>
        <w:spacing w:after="100"/>
      </w:pPr>
      <w:r>
        <w:t xml:space="preserve">The interface accepts a network connection as JSON, lets the analyst adjust the decision threshold, and returns an attack probability with a clear verdict. Two real connections from the UNSW-NB15 test set are provided as one-click examples.</w:t>
      </w:r>
    </w:p>
    <w:p>
      <w:pPr>
        <w:pBdr>
          <w:top/>
          <w:bottom/>
          <w:left/>
          <w:right/>
        </w:pBdr>
        <w:spacing w:after="20" w:before="100"/>
        <w:jc w:val="center"/>
      </w:pPr>
      <w:r>
        <w:drawing>
          <wp:inline distT="0" distB="0" distL="0" distR="0">
            <wp:extent cx="57150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95959"/>
          <w:sz w:val="17"/>
          <w:szCs w:val="17"/>
        </w:rPr>
        <w:t xml:space="preserve">Figure 1 — Landing page. A connection is entered as JSON (left); the threshold slider and example loaders sit beneath. The result panel (right) awaits input.</w:t>
      </w:r>
    </w:p>
    <w:p>
      <w:pPr>
        <w:pStyle w:val="Heading1"/>
        <w:spacing w:after="120" w:before="240"/>
      </w:pPr>
      <w:r>
        <w:rPr>
          <w:b/>
          <w:bCs/>
          <w:color w:val="0E1E3D"/>
        </w:rPr>
        <w:t xml:space="preserve">4. Scoring an attack</w:t>
      </w:r>
    </w:p>
    <w:p>
      <w:pPr>
        <w:spacing w:after="100"/>
      </w:pPr>
      <w:r>
        <w:t xml:space="preserve">Loading the attack example and clicking “Score connection” sends the record to the /predict endpoint. The model returns a 98.0% attack probability, and the interface renders a clear ATTACK verdict with a red probability gauge.</w:t>
      </w:r>
    </w:p>
    <w:p>
      <w:pPr>
        <w:pBdr>
          <w:top/>
          <w:bottom/>
          <w:left/>
          <w:right/>
        </w:pBdr>
        <w:spacing w:after="20" w:before="100"/>
        <w:jc w:val="center"/>
      </w:pPr>
      <w:r>
        <w:drawing>
          <wp:inline distT="0" distB="0" distL="0" distR="0">
            <wp:extent cx="57150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95959"/>
          <w:sz w:val="17"/>
          <w:szCs w:val="17"/>
        </w:rPr>
        <w:t xml:space="preserve">Figure 2 — An attack connection scored at 98.0% → ATTACK. The verdict, probability, and gauge update in place.</w:t>
      </w:r>
    </w:p>
    <w:p>
      <w:pPr>
        <w:pStyle w:val="Heading1"/>
        <w:spacing w:after="120" w:before="240"/>
      </w:pPr>
      <w:r>
        <w:rPr>
          <w:b/>
          <w:bCs/>
          <w:color w:val="0E1E3D"/>
        </w:rPr>
        <w:t xml:space="preserve">5. Scoring a normal connection</w:t>
      </w:r>
    </w:p>
    <w:p>
      <w:pPr>
        <w:spacing w:after="100"/>
      </w:pPr>
      <w:r>
        <w:t xml:space="preserve">Loading the normal example and re-scoring returns a 0.0% attack probability and a green NORMAL verdict — demonstrating the model cleanly separates the two examples.</w:t>
      </w:r>
    </w:p>
    <w:p>
      <w:pPr>
        <w:pBdr>
          <w:top/>
          <w:bottom/>
          <w:left/>
          <w:right/>
        </w:pBdr>
        <w:spacing w:after="20" w:before="100"/>
        <w:jc w:val="center"/>
      </w:pPr>
      <w:r>
        <w:drawing>
          <wp:inline distT="0" distB="0" distL="0" distR="0">
            <wp:extent cx="57150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95959"/>
          <w:sz w:val="17"/>
          <w:szCs w:val="17"/>
        </w:rPr>
        <w:t xml:space="preserve">Figure 3 — A normal connection scored at 0.0% → NORMAL.</w:t>
      </w:r>
    </w:p>
    <w:p>
      <w:pPr>
        <w:pStyle w:val="Heading1"/>
        <w:spacing w:after="120" w:before="240"/>
      </w:pPr>
      <w:r>
        <w:rPr>
          <w:b/>
          <w:bCs/>
          <w:color w:val="0E1E3D"/>
        </w:rPr>
        <w:t xml:space="preserve">6. The API directly</w:t>
      </w:r>
    </w:p>
    <w:p>
      <w:pPr>
        <w:spacing w:after="100"/>
      </w:pPr>
      <w:r>
        <w:t xml:space="preserve">The same functionality is available programmatically. A POST to /predict returns a compact JSON verdict; the threshold can be overridden per request.</w:t>
      </w:r>
    </w:p>
    <w:p>
      <w:pPr>
        <w:pBdr>
          <w:left w:val="single" w:color="0C7C92" w:sz="18" w:space="8"/>
        </w:pBdr>
        <w:shd w:fill="F4F6F8" w:val="clear"/>
        <w:spacing w:after="120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curl -X POST "http://localhost:8000/predict?threshold=0.5" \</w:t>
      </w:r>
      <w:r>
        <w:br/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-H "Content-Type: application/json" \</w:t>
      </w:r>
      <w:r>
        <w:br/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-d '{"proto":"sctp","state":"INT","sbytes":104,"sttl":254,</w:t>
      </w:r>
      <w:r>
        <w:br/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    "sload":46222220,"rate":111111.1,"smean":52,"spkts":2,</w:t>
      </w:r>
      <w:r>
        <w:br/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    "ct_state_ttl":2,"ct_dst_src_ltm":2,"sinpkt":0.009}'</w:t>
      </w:r>
      <w:r>
        <w:br/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# -&gt; {"attack_probability":0.9803,"prediction":1,</w:t>
      </w:r>
      <w:r>
        <w:br/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#     "label":"attack","threshold":0.5}</w:t>
      </w:r>
    </w:p>
    <w:p>
      <w:pPr>
        <w:spacing w:after="100"/>
      </w:pPr>
      <w:r>
        <w:t xml:space="preserve">Health and metadata endpoints support monitoring and automated checks:</w:t>
      </w:r>
    </w:p>
    <w:p>
      <w:pPr>
        <w:pBdr>
          <w:left w:val="single" w:color="0C7C92" w:sz="18" w:space="8"/>
        </w:pBdr>
        <w:shd w:fill="F4F6F8" w:val="clear"/>
        <w:spacing w:after="120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GET /health      -&gt; {"status":"ok","model_loaded":true, ...}</w:t>
      </w:r>
      <w:r>
        <w:br/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GET /model-info  -&gt; {"model":"best_model","n_features":69,</w:t>
      </w:r>
      <w:r>
        <w:br/>
      </w: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               "reported_test_recall":0.974, ...}</w:t>
      </w:r>
    </w:p>
    <w:p>
      <w:pPr>
        <w:pStyle w:val="Heading1"/>
        <w:spacing w:after="120" w:before="240"/>
      </w:pPr>
      <w:r>
        <w:rPr>
          <w:b/>
          <w:bCs/>
          <w:color w:val="0E1E3D"/>
        </w:rPr>
        <w:t xml:space="preserve">7. Quality &amp; operations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Tests: </w:t>
      </w:r>
      <w:r>
        <w:t xml:space="preserve">a pytest suite (tests/test_api.py) covers health, metadata, and both attack and normal predictions — all passing.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CI: </w:t>
      </w:r>
      <w:r>
        <w:t xml:space="preserve">a GitHub Actions workflow runs linting (ruff) and the test suite on every push and pull request.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Configuration: </w:t>
      </w:r>
      <w:r>
        <w:t xml:space="preserve">model, threshold, and paths are environment-driven (config.yaml documents the defaults), so the same image runs unchanged locally and in the cloud.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Monitoring &amp; rollback: </w:t>
      </w:r>
      <w:r>
        <w:t xml:space="preserve">PSI-based drift monitoring on connection-counter features triggers retraining; models are versioned artifacts, so rollback is simply redeploying the previous best_model.joblib with its matching preprocessor.</w:t>
      </w:r>
    </w:p>
    <w:p>
      <w:pPr>
        <w:spacing w:after="100"/>
      </w:pPr>
      <w:r>
        <w:t xml:space="preserve">Full instructions are in </w:t>
      </w:r>
      <w:r>
        <w:rPr>
          <w:b/>
          <w:bCs/>
        </w:rPr>
        <w:t xml:space="preserve">DEPLOYMENT.md</w:t>
      </w:r>
      <w:r>
        <w:t xml:space="preserve"> in the repository.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Deployment Demonstration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99233ae7c6ecde8d4bc7d6b8ba5df16ae1670f5.png"/><Relationship Id="rId10" Type="http://schemas.openxmlformats.org/officeDocument/2006/relationships/image" Target="media/d41eec8698bc1f44039cfef39b5a57ab51db5a73.png"/><Relationship Id="rId11" Type="http://schemas.openxmlformats.org/officeDocument/2006/relationships/image" Target="media/6ad201ad72d1b87e637f8c14e4757a8410357b9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2026-09-03T14:32:47.462Z</dcterms:created>
  <dcterms:modified xsi:type="dcterms:W3CDTF">2026-09-03T14:32:47.462Z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