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0E1E3D"/>
          <w:sz w:val="40"/>
          <w:szCs w:val="40"/>
        </w:rPr>
        <w:t xml:space="preserve">Use of Generative AI</w:t>
      </w:r>
    </w:p>
    <w:p>
      <w:pPr>
        <w:spacing w:before="100"/>
        <w:jc w:val="center"/>
      </w:pPr>
      <w:r>
        <w:rPr>
          <w:color w:val="595959"/>
          <w:sz w:val="26"/>
          <w:szCs w:val="26"/>
        </w:rPr>
        <w:t xml:space="preserve">Network Anomaly Detection — Project Documentation</w:t>
      </w:r>
    </w:p>
    <w:p>
      <w:pPr>
        <w:spacing w:before="80"/>
        <w:jc w:val="center"/>
      </w:pPr>
      <w:r>
        <w:rPr>
          <w:i/>
          <w:iCs/>
          <w:color w:val="595959"/>
          <w:sz w:val="20"/>
          <w:szCs w:val="20"/>
        </w:rPr>
        <w:t xml:space="preserve">Step 9 deliverable</w:t>
      </w:r>
    </w:p>
    <w:p>
      <w:r>
        <w:br w:type="page"/>
      </w:r>
    </w:p>
    <w:p>
      <w:pPr>
        <w:pStyle w:val="Heading1"/>
        <w:spacing w:after="120" w:before="240"/>
      </w:pPr>
      <w:r>
        <w:rPr>
          <w:b/>
          <w:bCs/>
          <w:color w:val="0E1E3D"/>
        </w:rPr>
        <w:t xml:space="preserve">1. Overview</w:t>
      </w:r>
    </w:p>
    <w:p>
      <w:pPr>
        <w:spacing w:after="100"/>
      </w:pPr>
      <w:r>
        <w:t xml:space="preserve">Generative AI (an Anthropic Claude model) was used throughout this project as a development assistant and pair-programmer, under continuous human direction and review. Crucially, the AI was used to accelerate and document work — not to invent results. Every metric, figure, and statistic in the deliverables was produced by executing real code on the actual UNSW-NB15 dataset; the AI's outputs were verified against those runs before being accepted. This section documents where and how Generative AI contributed, with concrete examples, and how its use was kept responsible.</w:t>
      </w:r>
    </w:p>
    <w:p>
      <w:pPr>
        <w:pStyle w:val="Heading1"/>
        <w:spacing w:after="120" w:before="240"/>
      </w:pPr>
      <w:r>
        <w:rPr>
          <w:b/>
          <w:bCs/>
          <w:color w:val="0E1E3D"/>
        </w:rPr>
        <w:t xml:space="preserve">2. Where Generative AI was used</w:t>
      </w:r>
    </w:p>
    <w:p>
      <w:pPr>
        <w:spacing w:after="100"/>
      </w:pPr>
      <w:r>
        <w:t xml:space="preserve">The rubric explicitly permits using LLMs to auto-generate EDA summaries and data dictionaries, and to build GenAI-enhanced application components. This project did both. The table summarises each use and the human oversight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0E1E3D" w:val="clear"/>
          </w:tcPr>
          <w:p>
            <w:pPr>
              <w:spacing w:after="100"/>
            </w:pPr>
            <w:r>
              <w:rPr>
                <w:b/>
                <w:bCs/>
                <w:color w:val="FFFFFF"/>
                <w:sz w:val="18"/>
                <w:szCs w:val="18"/>
              </w:rPr>
              <w:t xml:space="preserve">Area</w:t>
            </w:r>
          </w:p>
        </w:tc>
        <w:tc>
          <w:tcPr>
            <w:tcW w:type="dxa" w:w="3200"/>
            <w:shd w:fill="0E1E3D" w:val="clear"/>
          </w:tcPr>
          <w:p>
            <w:pPr>
              <w:spacing w:after="100"/>
            </w:pPr>
            <w:r>
              <w:rPr>
                <w:b/>
                <w:bCs/>
                <w:color w:val="FFFFFF"/>
                <w:sz w:val="18"/>
                <w:szCs w:val="18"/>
              </w:rPr>
              <w:t xml:space="preserve">How GenAI was used</w:t>
            </w:r>
          </w:p>
        </w:tc>
        <w:tc>
          <w:tcPr>
            <w:tcW w:type="dxa" w:w="3560"/>
            <w:shd w:fill="0E1E3D" w:val="clear"/>
          </w:tcPr>
          <w:p>
            <w:pPr>
              <w:spacing w:after="100"/>
            </w:pPr>
            <w:r>
              <w:rPr>
                <w:b/>
                <w:bCs/>
                <w:color w:val="FFFFFF"/>
                <w:sz w:val="18"/>
                <w:szCs w:val="18"/>
              </w:rPr>
              <w:t xml:space="preserve">Human oversight / verification</w:t>
            </w:r>
          </w:p>
        </w:tc>
      </w:tr>
      <w:tr>
        <w:tc>
          <w:tcPr>
            <w:tcW w:type="dxa" w:w="2600"/>
          </w:tcPr>
          <w:p>
            <w:pPr>
              <w:spacing w:after="100"/>
            </w:pPr>
            <w:r>
              <w:rPr>
                <w:sz w:val="17"/>
                <w:szCs w:val="17"/>
              </w:rPr>
              <w:t xml:space="preserve">Data dictionary</w:t>
            </w:r>
          </w:p>
        </w:tc>
        <w:tc>
          <w:tcPr>
            <w:tcW w:type="dxa" w:w="3200"/>
          </w:tcPr>
          <w:p>
            <w:pPr>
              <w:spacing w:after="100"/>
            </w:pPr>
            <w:r>
              <w:rPr>
                <w:sz w:val="17"/>
                <w:szCs w:val="17"/>
              </w:rPr>
              <w:t xml:space="preserve">Drafted the 45-column dictionary (types, units, meanings) from real column profiling output.</w:t>
            </w:r>
          </w:p>
        </w:tc>
        <w:tc>
          <w:tcPr>
            <w:tcW w:type="dxa" w:w="3560"/>
          </w:tcPr>
          <w:p>
            <w:pPr>
              <w:spacing w:after="100"/>
            </w:pPr>
            <w:r>
              <w:rPr>
                <w:sz w:val="17"/>
                <w:szCs w:val="17"/>
              </w:rPr>
              <w:t xml:space="preserve">Cross-checked every entry against the dataset and official feature descriptions.</w:t>
            </w:r>
          </w:p>
        </w:tc>
      </w:tr>
      <w:tr>
        <w:tc>
          <w:tcPr>
            <w:tcW w:type="dxa" w:w="2600"/>
            <w:shd w:fill="F2F7FC" w:val="clear"/>
          </w:tcPr>
          <w:p>
            <w:pPr>
              <w:spacing w:after="100"/>
            </w:pPr>
            <w:r>
              <w:rPr>
                <w:sz w:val="17"/>
                <w:szCs w:val="17"/>
              </w:rPr>
              <w:t xml:space="preserve">EDA summaries</w:t>
            </w:r>
          </w:p>
        </w:tc>
        <w:tc>
          <w:tcPr>
            <w:tcW w:type="dxa" w:w="3200"/>
            <w:shd w:fill="F2F7FC" w:val="clear"/>
          </w:tcPr>
          <w:p>
            <w:pPr>
              <w:spacing w:after="100"/>
            </w:pPr>
            <w:r>
              <w:rPr>
                <w:sz w:val="17"/>
                <w:szCs w:val="17"/>
              </w:rPr>
              <w:t xml:space="preserve">Turned computed statistics (skew, class balance, correlations) into readable narrative.</w:t>
            </w:r>
          </w:p>
        </w:tc>
        <w:tc>
          <w:tcPr>
            <w:tcW w:type="dxa" w:w="3560"/>
            <w:shd w:fill="F2F7FC" w:val="clear"/>
          </w:tcPr>
          <w:p>
            <w:pPr>
              <w:spacing w:after="100"/>
            </w:pPr>
            <w:r>
              <w:rPr>
                <w:sz w:val="17"/>
                <w:szCs w:val="17"/>
              </w:rPr>
              <w:t xml:space="preserve">All figures/numbers came from executed code, not the model.</w:t>
            </w:r>
          </w:p>
        </w:tc>
      </w:tr>
      <w:tr>
        <w:tc>
          <w:tcPr>
            <w:tcW w:type="dxa" w:w="2600"/>
          </w:tcPr>
          <w:p>
            <w:pPr>
              <w:spacing w:after="100"/>
            </w:pPr>
            <w:r>
              <w:rPr>
                <w:sz w:val="17"/>
                <w:szCs w:val="17"/>
              </w:rPr>
              <w:t xml:space="preserve">Pipeline &amp; model code</w:t>
            </w:r>
          </w:p>
        </w:tc>
        <w:tc>
          <w:tcPr>
            <w:tcW w:type="dxa" w:w="3200"/>
          </w:tcPr>
          <w:p>
            <w:pPr>
              <w:spacing w:after="100"/>
            </w:pPr>
            <w:r>
              <w:rPr>
                <w:sz w:val="17"/>
                <w:szCs w:val="17"/>
              </w:rPr>
              <w:t xml:space="preserve">Scaffolded the leakage-safe preprocessing, training, and evaluation scripts.</w:t>
            </w:r>
          </w:p>
        </w:tc>
        <w:tc>
          <w:tcPr>
            <w:tcW w:type="dxa" w:w="3560"/>
          </w:tcPr>
          <w:p>
            <w:pPr>
              <w:spacing w:after="100"/>
            </w:pPr>
            <w:r>
              <w:rPr>
                <w:sz w:val="17"/>
                <w:szCs w:val="17"/>
              </w:rPr>
              <w:t xml:space="preserve">Code was run end-to-end; results reproduced and reviewed.</w:t>
            </w:r>
          </w:p>
        </w:tc>
      </w:tr>
      <w:tr>
        <w:tc>
          <w:tcPr>
            <w:tcW w:type="dxa" w:w="2600"/>
            <w:shd w:fill="F2F7FC" w:val="clear"/>
          </w:tcPr>
          <w:p>
            <w:pPr>
              <w:spacing w:after="100"/>
            </w:pPr>
            <w:r>
              <w:rPr>
                <w:sz w:val="17"/>
                <w:szCs w:val="17"/>
              </w:rPr>
              <w:t xml:space="preserve">Report &amp; slides</w:t>
            </w:r>
          </w:p>
        </w:tc>
        <w:tc>
          <w:tcPr>
            <w:tcW w:type="dxa" w:w="3200"/>
            <w:shd w:fill="F2F7FC" w:val="clear"/>
          </w:tcPr>
          <w:p>
            <w:pPr>
              <w:spacing w:after="100"/>
            </w:pPr>
            <w:r>
              <w:rPr>
                <w:sz w:val="17"/>
                <w:szCs w:val="17"/>
              </w:rPr>
              <w:t xml:space="preserve">Drafted prose, structure, and slide content for technical and business audiences.</w:t>
            </w:r>
          </w:p>
        </w:tc>
        <w:tc>
          <w:tcPr>
            <w:tcW w:type="dxa" w:w="3560"/>
            <w:shd w:fill="F2F7FC" w:val="clear"/>
          </w:tcPr>
          <w:p>
            <w:pPr>
              <w:spacing w:after="100"/>
            </w:pPr>
            <w:r>
              <w:rPr>
                <w:sz w:val="17"/>
                <w:szCs w:val="17"/>
              </w:rPr>
              <w:t xml:space="preserve">Author reviewed and edited; claims tied to real results.</w:t>
            </w:r>
          </w:p>
        </w:tc>
      </w:tr>
      <w:tr>
        <w:tc>
          <w:tcPr>
            <w:tcW w:type="dxa" w:w="2600"/>
          </w:tcPr>
          <w:p>
            <w:pPr>
              <w:spacing w:after="100"/>
            </w:pPr>
            <w:r>
              <w:rPr>
                <w:sz w:val="17"/>
                <w:szCs w:val="17"/>
              </w:rPr>
              <w:t xml:space="preserve">Deployment</w:t>
            </w:r>
          </w:p>
        </w:tc>
        <w:tc>
          <w:tcPr>
            <w:tcW w:type="dxa" w:w="3200"/>
          </w:tcPr>
          <w:p>
            <w:pPr>
              <w:spacing w:after="100"/>
            </w:pPr>
            <w:r>
              <w:rPr>
                <w:sz w:val="17"/>
                <w:szCs w:val="17"/>
              </w:rPr>
              <w:t xml:space="preserve">Generated the FastAPI service, tests, Dockerfile, and CI workflow.</w:t>
            </w:r>
          </w:p>
        </w:tc>
        <w:tc>
          <w:tcPr>
            <w:tcW w:type="dxa" w:w="3560"/>
          </w:tcPr>
          <w:p>
            <w:pPr>
              <w:spacing w:after="100"/>
            </w:pPr>
            <w:r>
              <w:rPr>
                <w:sz w:val="17"/>
                <w:szCs w:val="17"/>
              </w:rPr>
              <w:t xml:space="preserve">Service was run; tests pass; endpoints verified.</w:t>
            </w:r>
          </w:p>
        </w:tc>
      </w:tr>
      <w:tr>
        <w:tc>
          <w:tcPr>
            <w:tcW w:type="dxa" w:w="2600"/>
            <w:shd w:fill="F2F7FC" w:val="clear"/>
          </w:tcPr>
          <w:p>
            <w:pPr>
              <w:spacing w:after="100"/>
            </w:pPr>
            <w:r>
              <w:rPr>
                <w:sz w:val="17"/>
                <w:szCs w:val="17"/>
              </w:rPr>
              <w:t xml:space="preserve">GenAI feature</w:t>
            </w:r>
          </w:p>
        </w:tc>
        <w:tc>
          <w:tcPr>
            <w:tcW w:type="dxa" w:w="3200"/>
            <w:shd w:fill="F2F7FC" w:val="clear"/>
          </w:tcPr>
          <w:p>
            <w:pPr>
              <w:spacing w:after="100"/>
            </w:pPr>
            <w:r>
              <w:rPr>
                <w:sz w:val="17"/>
                <w:szCs w:val="17"/>
              </w:rPr>
              <w:t xml:space="preserve">Built an optional LLM module that writes analyst triage notes (see §4).</w:t>
            </w:r>
          </w:p>
        </w:tc>
        <w:tc>
          <w:tcPr>
            <w:tcW w:type="dxa" w:w="3560"/>
            <w:shd w:fill="F2F7FC" w:val="clear"/>
          </w:tcPr>
          <w:p>
            <w:pPr>
              <w:spacing w:after="100"/>
            </w:pPr>
            <w:r>
              <w:rPr>
                <w:sz w:val="17"/>
                <w:szCs w:val="17"/>
              </w:rPr>
              <w:t xml:space="preserve">Detector remains a plain model; LLM only explains, never decides.</w:t>
            </w:r>
          </w:p>
        </w:tc>
      </w:tr>
    </w:tbl>
    <w:p>
      <w:pPr>
        <w:pStyle w:val="Heading1"/>
        <w:spacing w:after="120" w:before="240"/>
      </w:pPr>
      <w:r>
        <w:rPr>
          <w:b/>
          <w:bCs/>
          <w:color w:val="0E1E3D"/>
        </w:rPr>
        <w:t xml:space="preserve">3. Representative examples</w:t>
      </w:r>
    </w:p>
    <w:p>
      <w:pPr>
        <w:spacing w:after="100"/>
      </w:pPr>
      <w:r>
        <w:t xml:space="preserve">The following illustrate the interaction pattern: a focused instruction from the author, and the AI producing an artifact that was then verified.</w:t>
      </w:r>
    </w:p>
    <w:p>
      <w:pPr>
        <w:pStyle w:val="Heading2"/>
        <w:spacing w:after="80" w:before="160"/>
      </w:pPr>
      <w:r>
        <w:rPr>
          <w:b/>
          <w:bCs/>
          <w:color w:val="0E1E3D"/>
        </w:rPr>
        <w:t xml:space="preserve">3.1 Auto-generating the data dictionary</w:t>
      </w:r>
    </w:p>
    <w:p>
      <w:pPr>
        <w:pBdr>
          <w:left w:val="single" w:color="0C7C92" w:sz="18" w:space="8"/>
        </w:pBdr>
        <w:shd w:fill="F4F6F8" w:val="clear"/>
        <w:spacing w:after="120"/>
      </w:pPr>
      <w:r>
        <w:rPr>
          <w:b/>
          <w:bCs/>
          <w:color w:val="0C7C92"/>
          <w:sz w:val="17"/>
          <w:szCs w:val="17"/>
        </w:rPr>
        <w:t xml:space="preserve">Author instruction</w:t>
      </w:r>
      <w:r>
        <w:br/>
      </w:r>
      <w:r>
        <w:rPr>
          <w:rFonts w:ascii="Consolas" w:cs="Consolas" w:eastAsia="Consolas" w:hAnsi="Consolas"/>
          <w:color w:val="1B2A4A"/>
          <w:sz w:val="17"/>
          <w:szCs w:val="17"/>
        </w:rPr>
        <w:t xml:space="preserve">Profile every column of the UNSW-NB15 training set (dtype, unique</w:t>
      </w:r>
      <w:r>
        <w:br/>
      </w:r>
      <w:r>
        <w:rPr>
          <w:rFonts w:ascii="Consolas" w:cs="Consolas" w:eastAsia="Consolas" w:hAnsi="Consolas"/>
          <w:color w:val="1B2A4A"/>
          <w:sz w:val="17"/>
          <w:szCs w:val="17"/>
        </w:rPr>
        <w:t xml:space="preserve">values, example values, % missing) and draft a data dictionary with</w:t>
      </w:r>
      <w:r>
        <w:br/>
      </w:r>
      <w:r>
        <w:rPr>
          <w:rFonts w:ascii="Consolas" w:cs="Consolas" w:eastAsia="Consolas" w:hAnsi="Consolas"/>
          <w:color w:val="1B2A4A"/>
          <w:sz w:val="17"/>
          <w:szCs w:val="17"/>
        </w:rPr>
        <w:t xml:space="preserve">type, unit, and a one-line description for each of the 45 columns.</w:t>
      </w:r>
    </w:p>
    <w:p>
      <w:pPr>
        <w:spacing w:after="100"/>
      </w:pPr>
      <w:r>
        <w:t xml:space="preserve">The AI first produced the profiling code, which was executed; it then drafted the dictionary from the real output. Example rows (verified against the data):</w:t>
      </w:r>
    </w:p>
    <w:p>
      <w:pPr>
        <w:pBdr>
          <w:left w:val="single" w:color="0C7C92" w:sz="18" w:space="8"/>
        </w:pBdr>
        <w:shd w:fill="F4F6F8" w:val="clear"/>
        <w:spacing w:after="120"/>
      </w:pPr>
      <w:r>
        <w:rPr>
          <w:b/>
          <w:bCs/>
          <w:color w:val="0C7C92"/>
          <w:sz w:val="17"/>
          <w:szCs w:val="17"/>
        </w:rPr>
        <w:t xml:space="preserve">Verified output (excerpt)</w:t>
      </w:r>
      <w:r>
        <w:br/>
      </w:r>
      <w:r>
        <w:rPr>
          <w:rFonts w:ascii="Consolas" w:cs="Consolas" w:eastAsia="Consolas" w:hAnsi="Consolas"/>
          <w:color w:val="1B2A4A"/>
          <w:sz w:val="17"/>
          <w:szCs w:val="17"/>
        </w:rPr>
        <w:t xml:space="preserve">sttl   Integer  hops   Source-to-destination time-to-live value.</w:t>
      </w:r>
      <w:r>
        <w:br/>
      </w:r>
      <w:r>
        <w:rPr>
          <w:rFonts w:ascii="Consolas" w:cs="Consolas" w:eastAsia="Consolas" w:hAnsi="Consolas"/>
          <w:color w:val="1B2A4A"/>
          <w:sz w:val="17"/>
          <w:szCs w:val="17"/>
        </w:rPr>
        <w:t xml:space="preserve">sbytes Integer  bytes  Source-to-destination transaction bytes.</w:t>
      </w:r>
      <w:r>
        <w:br/>
      </w:r>
      <w:r>
        <w:rPr>
          <w:rFonts w:ascii="Consolas" w:cs="Consolas" w:eastAsia="Consolas" w:hAnsi="Consolas"/>
          <w:color w:val="1B2A4A"/>
          <w:sz w:val="17"/>
          <w:szCs w:val="17"/>
        </w:rPr>
        <w:t xml:space="preserve">service Categorical  13 values (http, dns, ftp, '-')  Application service.</w:t>
      </w:r>
    </w:p>
    <w:p>
      <w:pPr>
        <w:pStyle w:val="Heading2"/>
        <w:spacing w:after="80" w:before="160"/>
      </w:pPr>
      <w:r>
        <w:rPr>
          <w:b/>
          <w:bCs/>
          <w:color w:val="0E1E3D"/>
        </w:rPr>
        <w:t xml:space="preserve">3.2 Auto-generating an EDA summary</w:t>
      </w:r>
    </w:p>
    <w:p>
      <w:pPr>
        <w:pBdr>
          <w:left w:val="single" w:color="0C7C92" w:sz="18" w:space="8"/>
        </w:pBdr>
        <w:shd w:fill="F4F6F8" w:val="clear"/>
        <w:spacing w:after="120"/>
      </w:pPr>
      <w:r>
        <w:rPr>
          <w:b/>
          <w:bCs/>
          <w:color w:val="0C7C92"/>
          <w:sz w:val="17"/>
          <w:szCs w:val="17"/>
        </w:rPr>
        <w:t xml:space="preserve">Author instruction</w:t>
      </w:r>
      <w:r>
        <w:br/>
      </w:r>
      <w:r>
        <w:rPr>
          <w:rFonts w:ascii="Consolas" w:cs="Consolas" w:eastAsia="Consolas" w:hAnsi="Consolas"/>
          <w:color w:val="1B2A4A"/>
          <w:sz w:val="17"/>
          <w:szCs w:val="17"/>
        </w:rPr>
        <w:t xml:space="preserve">Given these computed statistics (class balance 68/32; sbytes skew</w:t>
      </w:r>
      <w:r>
        <w:br/>
      </w:r>
      <w:r>
        <w:rPr>
          <w:rFonts w:ascii="Consolas" w:cs="Consolas" w:eastAsia="Consolas" w:hAnsi="Consolas"/>
          <w:color w:val="1B2A4A"/>
          <w:sz w:val="17"/>
          <w:szCs w:val="17"/>
        </w:rPr>
        <w:t xml:space="preserve">45.3 -&gt; 1.2 after log1p; Fuzzers 18,184 rows), write a short EDA</w:t>
      </w:r>
      <w:r>
        <w:br/>
      </w:r>
      <w:r>
        <w:rPr>
          <w:rFonts w:ascii="Consolas" w:cs="Consolas" w:eastAsia="Consolas" w:hAnsi="Consolas"/>
          <w:color w:val="1B2A4A"/>
          <w:sz w:val="17"/>
          <w:szCs w:val="17"/>
        </w:rPr>
        <w:t xml:space="preserve">summary an examiner can read quickly.</w:t>
      </w:r>
    </w:p>
    <w:p>
      <w:pPr>
        <w:spacing w:after="100"/>
      </w:pPr>
      <w:r>
        <w:t xml:space="preserve">The model produced concise narrative such as: “the binary target is attack-heavy at roughly 68/32; volume features are extremely right-skewed and become well-behaved after a log transform; the attack families are severely imbalanced, which shapes the fairness audit.” The underlying numbers were computed, not generated.</w:t>
      </w:r>
    </w:p>
    <w:p>
      <w:pPr>
        <w:pStyle w:val="Heading2"/>
        <w:spacing w:after="80" w:before="160"/>
      </w:pPr>
      <w:r>
        <w:rPr>
          <w:b/>
          <w:bCs/>
          <w:color w:val="0E1E3D"/>
        </w:rPr>
        <w:t xml:space="preserve">3.3 Scaffolding code</w:t>
      </w:r>
    </w:p>
    <w:p>
      <w:pPr>
        <w:pBdr>
          <w:left w:val="single" w:color="0C7C92" w:sz="18" w:space="8"/>
        </w:pBdr>
        <w:shd w:fill="F4F6F8" w:val="clear"/>
        <w:spacing w:after="120"/>
      </w:pPr>
      <w:r>
        <w:rPr>
          <w:b/>
          <w:bCs/>
          <w:color w:val="0C7C92"/>
          <w:sz w:val="17"/>
          <w:szCs w:val="17"/>
        </w:rPr>
        <w:t xml:space="preserve">Author instruction</w:t>
      </w:r>
      <w:r>
        <w:br/>
      </w:r>
      <w:r>
        <w:rPr>
          <w:rFonts w:ascii="Consolas" w:cs="Consolas" w:eastAsia="Consolas" w:hAnsi="Consolas"/>
          <w:color w:val="1B2A4A"/>
          <w:sz w:val="17"/>
          <w:szCs w:val="17"/>
        </w:rPr>
        <w:t xml:space="preserve">Write a leakage-safe preprocessing module: fit encoders and a robust</w:t>
      </w:r>
      <w:r>
        <w:br/>
      </w:r>
      <w:r>
        <w:rPr>
          <w:rFonts w:ascii="Consolas" w:cs="Consolas" w:eastAsia="Consolas" w:hAnsi="Consolas"/>
          <w:color w:val="1B2A4A"/>
          <w:sz w:val="17"/>
          <w:szCs w:val="17"/>
        </w:rPr>
        <w:t xml:space="preserve">scaler on the TRAIN split only, add domain features (bytes-per-packet,</w:t>
      </w:r>
      <w:r>
        <w:br/>
      </w:r>
      <w:r>
        <w:rPr>
          <w:rFonts w:ascii="Consolas" w:cs="Consolas" w:eastAsia="Consolas" w:hAnsi="Consolas"/>
          <w:color w:val="1B2A4A"/>
          <w:sz w:val="17"/>
          <w:szCs w:val="17"/>
        </w:rPr>
        <w:t xml:space="preserve">byte ratios, TTL difference), and expose fit/transform functions.</w:t>
      </w:r>
    </w:p>
    <w:p>
      <w:pPr>
        <w:spacing w:after="100"/>
      </w:pPr>
      <w:r>
        <w:t xml:space="preserve">The AI generated src/preprocessing.py, which was then run as part of the real pipeline; two of its suggested engineered features (ttl_diff, src_dst_byte_ratio) went on to rank in the top five by importance — a result confirmed empirically, not asserted by the model.</w:t>
      </w:r>
    </w:p>
    <w:p>
      <w:pPr>
        <w:pStyle w:val="Heading1"/>
        <w:spacing w:after="120" w:before="240"/>
      </w:pPr>
      <w:r>
        <w:rPr>
          <w:b/>
          <w:bCs/>
          <w:color w:val="0E1E3D"/>
        </w:rPr>
        <w:t xml:space="preserve">4. A GenAI-enhanced application component</w:t>
      </w:r>
    </w:p>
    <w:p>
      <w:pPr>
        <w:spacing w:after="100"/>
      </w:pPr>
      <w:r>
        <w:t xml:space="preserve">Beyond development assistance, the repository includes an optional, runnable GenAI feature: src/genai_explain.py. It converts a model prediction plus its top contributing features into a short, plain-language triage note for a security analyst — speeding up human review. Two design choices keep this responsible:</w:t>
      </w:r>
    </w:p>
    <w:p>
      <w:pPr>
        <w:pStyle w:val="ListParagraph"/>
        <w:numPr>
          <w:ilvl w:val="0"/>
          <w:numId w:val="1"/>
        </w:numPr>
        <w:spacing w:after="60"/>
      </w:pPr>
      <w:r>
        <w:rPr>
          <w:b/>
          <w:bCs/>
        </w:rPr>
        <w:t xml:space="preserve">The detector stays auditable. </w:t>
      </w:r>
      <w:r>
        <w:t xml:space="preserve">Decisions are made by the plain Random Forest; the LLM only explains an existing decision, it never overrides or produces the verdict.</w:t>
      </w:r>
    </w:p>
    <w:p>
      <w:pPr>
        <w:pStyle w:val="ListParagraph"/>
        <w:numPr>
          <w:ilvl w:val="0"/>
          <w:numId w:val="1"/>
        </w:numPr>
        <w:spacing w:after="60"/>
      </w:pPr>
      <w:r>
        <w:rPr>
          <w:b/>
          <w:bCs/>
        </w:rPr>
        <w:t xml:space="preserve">Graceful degradation. </w:t>
      </w:r>
      <w:r>
        <w:t xml:space="preserve">Without an API key the module falls back to a deterministic template, so the pipeline never hard-depends on an external service.</w:t>
      </w:r>
    </w:p>
    <w:p>
      <w:pPr>
        <w:pBdr>
          <w:left w:val="single" w:color="0C7C92" w:sz="18" w:space="8"/>
        </w:pBdr>
        <w:shd w:fill="F4F6F8" w:val="clear"/>
        <w:spacing w:after="120"/>
      </w:pPr>
      <w:r>
        <w:rPr>
          <w:b/>
          <w:bCs/>
          <w:color w:val="0C7C92"/>
          <w:sz w:val="17"/>
          <w:szCs w:val="17"/>
        </w:rPr>
        <w:t xml:space="preserve">src/genai_explain.py (excerpt)</w:t>
      </w:r>
      <w:r>
        <w:br/>
      </w:r>
      <w:r>
        <w:rPr>
          <w:rFonts w:ascii="Consolas" w:cs="Consolas" w:eastAsia="Consolas" w:hAnsi="Consolas"/>
          <w:color w:val="1B2A4A"/>
          <w:sz w:val="17"/>
          <w:szCs w:val="17"/>
        </w:rPr>
        <w:t xml:space="preserve">def explain(record, proba, top_features, model="claude-sonnet-4-5"):</w:t>
      </w:r>
      <w:r>
        <w:br/>
      </w:r>
      <w:r>
        <w:rPr>
          <w:rFonts w:ascii="Consolas" w:cs="Consolas" w:eastAsia="Consolas" w:hAnsi="Consolas"/>
          <w:color w:val="1B2A4A"/>
          <w:sz w:val="17"/>
          <w:szCs w:val="17"/>
        </w:rPr>
        <w:t xml:space="preserve">    prompt = build_prompt(record, proba, top_features)</w:t>
      </w:r>
      <w:r>
        <w:br/>
      </w:r>
      <w:r>
        <w:rPr>
          <w:rFonts w:ascii="Consolas" w:cs="Consolas" w:eastAsia="Consolas" w:hAnsi="Consolas"/>
          <w:color w:val="1B2A4A"/>
          <w:sz w:val="17"/>
          <w:szCs w:val="17"/>
        </w:rPr>
        <w:t xml:space="preserve">    if os.environ.get("ANTHROPIC_API_KEY"):</w:t>
      </w:r>
      <w:r>
        <w:br/>
      </w:r>
      <w:r>
        <w:rPr>
          <w:rFonts w:ascii="Consolas" w:cs="Consolas" w:eastAsia="Consolas" w:hAnsi="Consolas"/>
          <w:color w:val="1B2A4A"/>
          <w:sz w:val="17"/>
          <w:szCs w:val="17"/>
        </w:rPr>
        <w:t xml:space="preserve">        client = anthropic.Anthropic()</w:t>
      </w:r>
      <w:r>
        <w:br/>
      </w:r>
      <w:r>
        <w:rPr>
          <w:rFonts w:ascii="Consolas" w:cs="Consolas" w:eastAsia="Consolas" w:hAnsi="Consolas"/>
          <w:color w:val="1B2A4A"/>
          <w:sz w:val="17"/>
          <w:szCs w:val="17"/>
        </w:rPr>
        <w:t xml:space="preserve">        msg = client.messages.create(model=model, max_tokens=200,</w:t>
      </w:r>
      <w:r>
        <w:br/>
      </w:r>
      <w:r>
        <w:rPr>
          <w:rFonts w:ascii="Consolas" w:cs="Consolas" w:eastAsia="Consolas" w:hAnsi="Consolas"/>
          <w:color w:val="1B2A4A"/>
          <w:sz w:val="17"/>
          <w:szCs w:val="17"/>
        </w:rPr>
        <w:t xml:space="preserve">              messages=[{"role":"user","content":prompt}])</w:t>
      </w:r>
      <w:r>
        <w:br/>
      </w:r>
      <w:r>
        <w:rPr>
          <w:rFonts w:ascii="Consolas" w:cs="Consolas" w:eastAsia="Consolas" w:hAnsi="Consolas"/>
          <w:color w:val="1B2A4A"/>
          <w:sz w:val="17"/>
          <w:szCs w:val="17"/>
        </w:rPr>
        <w:t xml:space="preserve">        return msg.content[0].text.strip()</w:t>
      </w:r>
      <w:r>
        <w:br/>
      </w:r>
      <w:r>
        <w:rPr>
          <w:rFonts w:ascii="Consolas" w:cs="Consolas" w:eastAsia="Consolas" w:hAnsi="Consolas"/>
          <w:color w:val="1B2A4A"/>
          <w:sz w:val="17"/>
          <w:szCs w:val="17"/>
        </w:rPr>
        <w:t xml:space="preserve">    return _fallback(proba, top_features)   # template if no key</w:t>
      </w:r>
    </w:p>
    <w:p>
      <w:pPr>
        <w:spacing w:after="100"/>
      </w:pPr>
      <w:r>
        <w:t xml:space="preserve">Example output (fallback template, no key required): </w:t>
      </w:r>
      <w:r>
        <w:rPr>
          <w:i/>
          <w:iCs/>
        </w:rPr>
        <w:t xml:space="preserve">“Connection scored 98% — likely ATTACK. Main contributing factors: sttl, ttl_diff, ct_state_ttl. Escalate for investigation and check the source host.”</w:t>
      </w:r>
    </w:p>
    <w:p>
      <w:pPr>
        <w:pStyle w:val="Heading1"/>
        <w:spacing w:after="120" w:before="240"/>
      </w:pPr>
      <w:r>
        <w:rPr>
          <w:b/>
          <w:bCs/>
          <w:color w:val="0E1E3D"/>
        </w:rPr>
        <w:t xml:space="preserve">5. Responsible use</w:t>
      </w:r>
    </w:p>
    <w:p>
      <w:pPr>
        <w:pStyle w:val="ListParagraph"/>
        <w:numPr>
          <w:ilvl w:val="0"/>
          <w:numId w:val="1"/>
        </w:numPr>
        <w:spacing w:after="60"/>
      </w:pPr>
      <w:r>
        <w:rPr>
          <w:b/>
          <w:bCs/>
        </w:rPr>
        <w:t xml:space="preserve">Verification over trust. </w:t>
      </w:r>
      <w:r>
        <w:t xml:space="preserve">No AI-produced number was accepted without a real code run behind it; the pipeline was executed on the actual dataset.</w:t>
      </w:r>
    </w:p>
    <w:p>
      <w:pPr>
        <w:pStyle w:val="ListParagraph"/>
        <w:numPr>
          <w:ilvl w:val="0"/>
          <w:numId w:val="1"/>
        </w:numPr>
        <w:spacing w:after="60"/>
      </w:pPr>
      <w:r>
        <w:rPr>
          <w:b/>
          <w:bCs/>
        </w:rPr>
        <w:t xml:space="preserve">Honest reporting preserved. </w:t>
      </w:r>
      <w:r>
        <w:t xml:space="preserve">The AI was directed to report failures too — e.g. the SMOTE mitigation that did not improve Fuzzers detection is documented as-is.</w:t>
      </w:r>
    </w:p>
    <w:p>
      <w:pPr>
        <w:pStyle w:val="ListParagraph"/>
        <w:numPr>
          <w:ilvl w:val="0"/>
          <w:numId w:val="1"/>
        </w:numPr>
        <w:spacing w:after="60"/>
      </w:pPr>
      <w:r>
        <w:rPr>
          <w:b/>
          <w:bCs/>
        </w:rPr>
        <w:t xml:space="preserve">Human authorship of decisions. </w:t>
      </w:r>
      <w:r>
        <w:t xml:space="preserve">Model selection, metric choices, and the fairness framing were author decisions; the AI supported, it did not decide.</w:t>
      </w:r>
    </w:p>
    <w:p>
      <w:pPr>
        <w:pStyle w:val="ListParagraph"/>
        <w:numPr>
          <w:ilvl w:val="0"/>
          <w:numId w:val="1"/>
        </w:numPr>
        <w:spacing w:after="60"/>
      </w:pPr>
      <w:r>
        <w:rPr>
          <w:b/>
          <w:bCs/>
        </w:rPr>
        <w:t xml:space="preserve">Data &amp; privacy. </w:t>
      </w:r>
      <w:r>
        <w:t xml:space="preserve">Only a public research dataset was used; no personal or sensitive data was shared with the model.</w:t>
      </w:r>
    </w:p>
    <w:p>
      <w:pPr>
        <w:pStyle w:val="ListParagraph"/>
        <w:numPr>
          <w:ilvl w:val="0"/>
          <w:numId w:val="1"/>
        </w:numPr>
        <w:spacing w:after="60"/>
      </w:pPr>
      <w:r>
        <w:rPr>
          <w:b/>
          <w:bCs/>
        </w:rPr>
        <w:t xml:space="preserve">Limitations acknowledged. </w:t>
      </w:r>
      <w:r>
        <w:t xml:space="preserve">LLMs can be confidently wrong; that risk was mitigated by grounding every claim in executed results and reviewing all generated code and prose.</w:t>
      </w:r>
    </w:p>
    <w:p>
      <w:pPr>
        <w:pStyle w:val="Heading1"/>
        <w:spacing w:after="120" w:before="240"/>
      </w:pPr>
      <w:r>
        <w:rPr>
          <w:b/>
          <w:bCs/>
          <w:color w:val="0E1E3D"/>
        </w:rPr>
        <w:t xml:space="preserve">6. Reflection</w:t>
      </w:r>
    </w:p>
    <w:p>
      <w:pPr>
        <w:spacing w:after="100"/>
      </w:pPr>
      <w:r>
        <w:t xml:space="preserve">Generative AI materially accelerated the routine and documentation-heavy parts of the lifecycle — profiling, boilerplate code, narrative, and slide drafting — freeing time for the judgement-intensive work: framing the problem, choosing metrics, auditing fairness, and deciding mitigations. Used with disciplined verification, it improved throughput and consistency without compromising the integrity of the results. The same discipline is reflected in the product itself, where the LLM augments an auditable model rather than replacing it.</w:t>
      </w:r>
    </w:p>
    <w:p>
      <w:pPr>
        <w:pStyle w:val="Heading1"/>
        <w:spacing w:after="120" w:before="240"/>
      </w:pPr>
      <w:r>
        <w:rPr>
          <w:b/>
          <w:bCs/>
          <w:color w:val="0E1E3D"/>
        </w:rPr>
        <w:t xml:space="preserve">7. Where to find it</w:t>
      </w:r>
    </w:p>
    <w:p>
      <w:pPr>
        <w:pStyle w:val="ListParagraph"/>
        <w:numPr>
          <w:ilvl w:val="0"/>
          <w:numId w:val="1"/>
        </w:numPr>
        <w:spacing w:after="60"/>
      </w:pPr>
      <w:r>
        <w:rPr>
          <w:b/>
          <w:bCs/>
        </w:rPr>
        <w:t xml:space="preserve">Optional GenAI feature: </w:t>
      </w:r>
      <w:r>
        <w:t xml:space="preserve">src/genai_explain.py (runnable; template fallback without a key).</w:t>
      </w:r>
    </w:p>
    <w:p>
      <w:pPr>
        <w:pStyle w:val="ListParagraph"/>
        <w:numPr>
          <w:ilvl w:val="0"/>
          <w:numId w:val="1"/>
        </w:numPr>
        <w:spacing w:after="60"/>
      </w:pPr>
      <w:r>
        <w:rPr>
          <w:b/>
          <w:bCs/>
        </w:rPr>
        <w:t xml:space="preserve">This document: </w:t>
      </w:r>
      <w:r>
        <w:t xml:space="preserve">reports/GenAI_Usage.docx in the repository.</w:t>
      </w:r>
    </w:p>
    <w:p>
      <w:pPr>
        <w:pStyle w:val="ListParagraph"/>
        <w:numPr>
          <w:ilvl w:val="0"/>
          <w:numId w:val="1"/>
        </w:numPr>
        <w:spacing w:after="60"/>
      </w:pPr>
      <w:r>
        <w:rPr>
          <w:b/>
          <w:bCs/>
        </w:rPr>
        <w:t xml:space="preserve">Demonstration: </w:t>
      </w:r>
      <w:r>
        <w:t xml:space="preserve">reports/Deployment_Demo.docx and figures/demo/ (screenshots + GIF).</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Use of Generative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2026-09-03T14:34:05.589Z</dcterms:created>
  <dcterms:modified xsi:type="dcterms:W3CDTF">2026-09-03T14:34:05.589Z</dcterms:modified>
</cp:coreProperties>
</file>

<file path=docProps/custom.xml><?xml version="1.0" encoding="utf-8"?>
<Properties xmlns="http://schemas.openxmlformats.org/officeDocument/2006/custom-properties" xmlns:vt="http://schemas.openxmlformats.org/officeDocument/2006/docPropsVTypes"/>
</file>