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0EB92" w14:textId="77777777" w:rsidR="00A50860" w:rsidRDefault="0034465E">
      <w:pPr>
        <w:pStyle w:val="FirstParagraph"/>
        <w:spacing w:before="0" w:after="120" w:line="360" w:lineRule="auto"/>
        <w:jc w:val="center"/>
      </w:pPr>
      <w:r>
        <w:rPr>
          <w:rFonts w:eastAsia="Times New Roman" w:cs="Times New Roman"/>
          <w:b/>
        </w:rPr>
        <w:t>RECUPERA-SOLO: SISTEMA DE APOIO À DECISÃO PARA RECUPERAÇÃO DE SOLOS SÓDICOS</w:t>
      </w:r>
    </w:p>
    <w:p w14:paraId="40AA1EC0" w14:textId="77777777" w:rsidR="00A50860" w:rsidRDefault="0034465E">
      <w:pPr>
        <w:pStyle w:val="Corpodetexto"/>
        <w:spacing w:before="0" w:after="40" w:line="360" w:lineRule="auto"/>
        <w:jc w:val="center"/>
      </w:pPr>
      <w:r>
        <w:rPr>
          <w:rFonts w:eastAsia="Times New Roman" w:cs="Times New Roman"/>
        </w:rPr>
        <w:t>Nildo Dias</w:t>
      </w:r>
      <w:r>
        <w:rPr>
          <w:rFonts w:eastAsia="Times New Roman" w:cs="Times New Roman"/>
          <w:vertAlign w:val="superscript"/>
        </w:rPr>
        <w:t>1</w:t>
      </w:r>
      <w:r>
        <w:rPr>
          <w:rFonts w:eastAsia="Times New Roman" w:cs="Times New Roman"/>
        </w:rPr>
        <w:t>; Francisco de Assis P. V. de Arruda</w:t>
      </w:r>
      <w:r>
        <w:rPr>
          <w:rFonts w:eastAsia="Times New Roman" w:cs="Times New Roman"/>
          <w:vertAlign w:val="superscript"/>
        </w:rPr>
        <w:t>1</w:t>
      </w:r>
    </w:p>
    <w:p w14:paraId="596A7601" w14:textId="77777777" w:rsidR="00A50860" w:rsidRDefault="0034465E">
      <w:pPr>
        <w:pStyle w:val="Corpodetexto"/>
        <w:spacing w:before="0" w:after="240" w:line="360" w:lineRule="auto"/>
        <w:jc w:val="center"/>
      </w:pPr>
      <w:r>
        <w:rPr>
          <w:rFonts w:eastAsia="Times New Roman" w:cs="Times New Roman"/>
          <w:sz w:val="20"/>
          <w:vertAlign w:val="superscript"/>
        </w:rPr>
        <w:t>1</w:t>
      </w:r>
      <w:r>
        <w:rPr>
          <w:rFonts w:eastAsia="Times New Roman" w:cs="Times New Roman"/>
          <w:sz w:val="20"/>
        </w:rPr>
        <w:t xml:space="preserve"> Universidade Federal Rural do Semi-Árido (UFERSA), Mossoró-RN. E-mails: nildo@ufersa.edu.br; xico@ufersa.edu.br. Autor correspondente: Nildo Dias.</w:t>
      </w:r>
    </w:p>
    <w:p w14:paraId="643DDE6D" w14:textId="77777777" w:rsidR="00A50860" w:rsidRDefault="0034465E">
      <w:pPr>
        <w:pStyle w:val="Corpodetexto"/>
        <w:keepNext/>
        <w:spacing w:before="240" w:after="120" w:line="360" w:lineRule="auto"/>
        <w:jc w:val="center"/>
      </w:pPr>
      <w:r>
        <w:rPr>
          <w:rFonts w:eastAsia="Times New Roman" w:cs="Times New Roman"/>
          <w:b/>
        </w:rPr>
        <w:t>Resumo</w:t>
      </w:r>
    </w:p>
    <w:p w14:paraId="6DF6E751" w14:textId="77777777" w:rsidR="0034465E" w:rsidRDefault="0034465E">
      <w:pPr>
        <w:pStyle w:val="Corpodetexto"/>
        <w:spacing w:before="0" w:after="0" w:line="360" w:lineRule="auto"/>
        <w:jc w:val="both"/>
        <w:rPr>
          <w:rFonts w:eastAsia="Times New Roman" w:cs="Times New Roman"/>
        </w:rPr>
      </w:pPr>
      <w:r>
        <w:rPr>
          <w:rFonts w:eastAsia="Times New Roman" w:cs="Times New Roman"/>
        </w:rPr>
        <w:t>A recuperação de solos sódicos envolve diagnóstico, escolha de corretivo, dose, custo e procedimento, e a decisão é tomada em campo, muitas vezes sem conexão com a internet. Este trabalho descreve o desenvolvimento e a verificação do RECUPERA-SOLO, sistema de apoio à decisão que reúne essas etapas em página estática e em aplicativo Android. O modelo agronômico original foi preservado e reimplementado em HTML, CSS e JavaScript, sem servidor. A saturação por sódio (PST) é calculada pela razão entre o sódio tr</w:t>
      </w:r>
      <w:r>
        <w:rPr>
          <w:rFonts w:eastAsia="Times New Roman" w:cs="Times New Roman"/>
        </w:rPr>
        <w:t>ocável e a capacidade de troca de cátions (CTC); a dose teórica combina o déficit de saturação, a CTC, o poder de neutralização (PE), a profundidade e a densidade do solo; as doses prática e comercial aplicam o coeficiente de eficiência (C) e a pureza do insumo. Oito corr</w:t>
      </w:r>
    </w:p>
    <w:p w14:paraId="2839E862" w14:textId="77777777" w:rsidR="0034465E" w:rsidRDefault="0034465E" w:rsidP="0034465E">
      <w:pPr>
        <w:pStyle w:val="LegendaFigura"/>
        <w:spacing w:after="0"/>
      </w:pPr>
      <w:r>
        <w:t>Figura 1 - Aproximação de baixo posto ilustrando o princípio do LoRA</w:t>
      </w:r>
    </w:p>
    <w:p w14:paraId="7624E25D" w14:textId="77777777" w:rsidR="0034465E" w:rsidRDefault="0034465E" w:rsidP="0034465E">
      <w:pPr>
        <w:rPr>
          <w:rFonts w:eastAsia="Times New Roman"/>
          <w:sz w:val="20"/>
        </w:rPr>
      </w:pPr>
      <w:r>
        <w:rPr>
          <w:rFonts w:eastAsia="Times New Roman"/>
          <w:sz w:val="20"/>
        </w:rPr>
        <w:t>Fonte: Matejkoncal (2026), Wikimedia Commons, CC BY-SA 4.0.</w:t>
      </w:r>
    </w:p>
    <w:p w14:paraId="348AE22D" w14:textId="74A196D8" w:rsidR="00A50860" w:rsidRDefault="0034465E" w:rsidP="0034465E">
      <w:pPr>
        <w:spacing w:after="240"/>
      </w:pPr>
      <w:r>
        <w:rPr>
          <w:rFonts w:eastAsia="Times New Roman"/>
        </w:rPr>
        <w:t>etivos foram cadastrados, com adequação classificada pelo tipo, pelo pH e pelos carbonatos. A entrada de dados recebeu faixas de sanidade, limite de casas decimais e resumo de erros, e a verificação reuniu 15 testes unitários, 25 testes de navegador e auditoria Lighthouse. No caso demonstrativo, a PST inicial foi de 81,4% e o gesso agrícola custou R$ 29.454,73 por hectare, menos da metade do enxofre elementar; o calcário, de menor custo, foi excluído da comparação por baixa prioridade técnica. O sistema ori</w:t>
      </w:r>
      <w:r>
        <w:rPr>
          <w:rFonts w:eastAsia="Times New Roman"/>
        </w:rPr>
        <w:t>enta a decisão e não substitui a recomendação agronômica.</w:t>
      </w:r>
    </w:p>
    <w:p w14:paraId="4F13A560" w14:textId="77777777" w:rsidR="00A50860" w:rsidRDefault="0034465E">
      <w:pPr>
        <w:pStyle w:val="Corpodetexto"/>
        <w:spacing w:before="120" w:after="120" w:line="360" w:lineRule="auto"/>
      </w:pPr>
      <w:r>
        <w:rPr>
          <w:rFonts w:eastAsia="Times New Roman" w:cs="Times New Roman"/>
          <w:b/>
        </w:rPr>
        <w:t xml:space="preserve">Palavras-chave: </w:t>
      </w:r>
      <w:r>
        <w:rPr>
          <w:rFonts w:eastAsia="Times New Roman" w:cs="Times New Roman"/>
        </w:rPr>
        <w:t>Solos sódicos; Gesso agrícola; Software aplicado; Semiárido; Acessibilidade.</w:t>
      </w:r>
    </w:p>
    <w:p w14:paraId="3FBC2339" w14:textId="77777777" w:rsidR="00A50860" w:rsidRDefault="0034465E">
      <w:pPr>
        <w:pStyle w:val="Corpodetexto"/>
        <w:spacing w:before="240" w:after="120" w:line="360" w:lineRule="auto"/>
        <w:jc w:val="center"/>
      </w:pPr>
      <w:r>
        <w:rPr>
          <w:rFonts w:eastAsia="Times New Roman" w:cs="Times New Roman"/>
          <w:b/>
        </w:rPr>
        <w:t>RECUPERA-SOLO: A DECISION SUPPORT SYSTEM FOR SODIC SOIL RECLAMATION</w:t>
      </w:r>
    </w:p>
    <w:p w14:paraId="2FA02942" w14:textId="77777777" w:rsidR="00A50860" w:rsidRDefault="0034465E">
      <w:pPr>
        <w:pStyle w:val="Corpodetexto"/>
        <w:keepNext/>
        <w:spacing w:before="240" w:after="120" w:line="360" w:lineRule="auto"/>
        <w:jc w:val="center"/>
      </w:pPr>
      <w:r>
        <w:rPr>
          <w:rFonts w:eastAsia="Times New Roman" w:cs="Times New Roman"/>
          <w:b/>
        </w:rPr>
        <w:t>Abstract</w:t>
      </w:r>
    </w:p>
    <w:p w14:paraId="2E5BA3DE" w14:textId="77777777" w:rsidR="00A50860" w:rsidRDefault="0034465E">
      <w:pPr>
        <w:pStyle w:val="Corpodetexto"/>
        <w:spacing w:before="0" w:after="0" w:line="360" w:lineRule="auto"/>
        <w:jc w:val="both"/>
      </w:pPr>
      <w:r>
        <w:rPr>
          <w:rFonts w:eastAsia="Times New Roman" w:cs="Times New Roman"/>
        </w:rPr>
        <w:t xml:space="preserve">The reclamation of sodic soils involves diagnosis, amendment selection, dose, cost and procedure, and the decision is often made in the field without internet access. This paper describes the development and verification of RECUPERA-SOLO, a decision support system that gathers these steps in a static page and an Android application. The original agronomic model was preserved and reimplemented in HTML, CSS and JavaScript, without a server. </w:t>
      </w:r>
      <w:r>
        <w:rPr>
          <w:rFonts w:eastAsia="Times New Roman" w:cs="Times New Roman"/>
        </w:rPr>
        <w:lastRenderedPageBreak/>
        <w:t>Sodium saturation (PST) is calculated as the ratio between exchangeable sodium and cation exchange capacity (CEC); the theoretical dose combines the saturation deficit, CEC, neutralizing power (NP), soil depth and bulk density; practical and commercial doses apply the efficiency coefficient (C) and amendment purity. Eight amendments were registered, with suitability classified by type, pH and carbonates. Data entry received range checks, decimal limits and an error summary, and verification included 15 unit</w:t>
      </w:r>
      <w:r>
        <w:rPr>
          <w:rFonts w:eastAsia="Times New Roman" w:cs="Times New Roman"/>
        </w:rPr>
        <w:t xml:space="preserve"> tests, 25 browser tests and a Lighthouse audit. In the demonstration case, initial PST was 81.4% and agricultural gypsum cost R$ 29,454.73 per hectare, less than half the cost of elemental sulfur; limestone, the cheapest option, was excluded from the comparison due to low technical priority. The system guides the decision and does not replace agronomic recommendation.</w:t>
      </w:r>
    </w:p>
    <w:p w14:paraId="0CAA3BCA" w14:textId="77777777" w:rsidR="00A50860" w:rsidRDefault="0034465E">
      <w:pPr>
        <w:pStyle w:val="Corpodetexto"/>
        <w:spacing w:before="120" w:after="120" w:line="360" w:lineRule="auto"/>
      </w:pPr>
      <w:r>
        <w:rPr>
          <w:rFonts w:eastAsia="Times New Roman" w:cs="Times New Roman"/>
          <w:b/>
        </w:rPr>
        <w:t xml:space="preserve">Keywords: </w:t>
      </w:r>
      <w:r>
        <w:rPr>
          <w:rFonts w:eastAsia="Times New Roman" w:cs="Times New Roman"/>
        </w:rPr>
        <w:t>Sodic soils; Agricultural gypsum; Applied software; Semiarid; Accessibility.</w:t>
      </w:r>
    </w:p>
    <w:p w14:paraId="79C47A70" w14:textId="77777777" w:rsidR="00A50860" w:rsidRDefault="0034465E">
      <w:pPr>
        <w:pStyle w:val="Corpodetexto"/>
        <w:keepNext/>
        <w:spacing w:before="240" w:after="120" w:line="360" w:lineRule="auto"/>
        <w:jc w:val="center"/>
      </w:pPr>
      <w:r>
        <w:rPr>
          <w:rFonts w:eastAsia="Times New Roman" w:cs="Times New Roman"/>
          <w:b/>
        </w:rPr>
        <w:t>1 Introdução</w:t>
      </w:r>
    </w:p>
    <w:p w14:paraId="019A1486" w14:textId="77777777" w:rsidR="00A50860" w:rsidRDefault="0034465E">
      <w:pPr>
        <w:pStyle w:val="Corpodetexto"/>
        <w:spacing w:before="0" w:after="0" w:line="360" w:lineRule="auto"/>
        <w:ind w:firstLine="567"/>
        <w:jc w:val="both"/>
      </w:pPr>
      <w:r>
        <w:rPr>
          <w:rFonts w:eastAsia="Times New Roman" w:cs="Times New Roman"/>
        </w:rPr>
        <w:t>Solos afetados por sais e por sódio ocorrem com frequência em áreas irrigadas do semiárido brasileiro, onde a evapotranspiração supera a precipitação e a drenagem é insuficiente. O manejo da irrigação, a qualidade da água e as condições de drenagem controlam o balanço de sais na zona radicular, e o excesso de sódio trocável compromete a estrutura do solo (Dias e Blanco, 2010; Santos et al., 2010). Quando o sódio ocupa o complexo de troca, a argila se dispersa, os poros se obstruem e a infiltração, a aeração</w:t>
      </w:r>
      <w:r>
        <w:rPr>
          <w:rFonts w:eastAsia="Times New Roman" w:cs="Times New Roman"/>
        </w:rPr>
        <w:t xml:space="preserve"> e o desenvolvimento radicular são reduzidos. O resultado é a queda de produtividade e o aumento da susceptibilidade à erosão, mesmo quando a concentração total de sais é moderada (Richards, 1954; Embrapa, 2018).</w:t>
      </w:r>
    </w:p>
    <w:p w14:paraId="0F1219A5" w14:textId="77777777" w:rsidR="00A50860" w:rsidRDefault="0034465E">
      <w:pPr>
        <w:pStyle w:val="Corpodetexto"/>
        <w:spacing w:before="0" w:after="0" w:line="360" w:lineRule="auto"/>
        <w:ind w:firstLine="567"/>
        <w:jc w:val="both"/>
      </w:pPr>
      <w:r>
        <w:rPr>
          <w:rFonts w:eastAsia="Times New Roman" w:cs="Times New Roman"/>
        </w:rPr>
        <w:t>O diagnóstico combina indicadores químicos e físicos. A saturação por sódio (PST) igual ou superior a 15% caracteriza o solo sódico; a condutividade elétrica do extrato de saturação (CEes) igual ou superior a 4 dS m</w:t>
      </w:r>
      <w:r>
        <w:rPr>
          <w:rFonts w:eastAsia="Times New Roman" w:cs="Times New Roman"/>
          <w:vertAlign w:val="superscript"/>
        </w:rPr>
        <w:t>-1</w:t>
      </w:r>
      <w:r>
        <w:rPr>
          <w:rFonts w:eastAsia="Times New Roman" w:cs="Times New Roman"/>
        </w:rPr>
        <w:t xml:space="preserve"> indica salinidade, e a presença das duas condições define o solo salino-sódico (Richards, 1954; Embrapa, 2018). O pH e o teor de carbonatos completam a avaliação, porque interferem na escolha do corretivo e na solubilidade dos materiais. A textura, a drenagem e a qualidade da água condicionam a lixiviação e, portanto, o sucesso da recuperação.</w:t>
      </w:r>
    </w:p>
    <w:p w14:paraId="446E94ED" w14:textId="77777777" w:rsidR="00A50860" w:rsidRDefault="0034465E">
      <w:pPr>
        <w:pStyle w:val="Corpodetexto"/>
        <w:spacing w:before="0" w:after="0" w:line="360" w:lineRule="auto"/>
        <w:ind w:firstLine="567"/>
        <w:jc w:val="both"/>
      </w:pPr>
      <w:r>
        <w:rPr>
          <w:rFonts w:eastAsia="Times New Roman" w:cs="Times New Roman"/>
        </w:rPr>
        <w:t>A correção exige fonte de cálcio para deslocar o sódio, água para lixiviá-lo e drenagem para retirá-lo da zona radicular. O gesso agrícola dissolve-se e fornece Ca sem elevar o pH; o enxofre elementar e o ácido sulfúrico acidificam o meio e liberam Ca dos carbonatos (Rahman et al., 2022; Albuquerque et al., 2018); o calcário fornece Ca, mas dissolve-se pouco em pH alcalino (Leite et al., 2010; Cavalcanti et al., 2018; Mandal, 2023). A dose depende do poder de neutralização (PE), do coeficiente de eficiência</w:t>
      </w:r>
      <w:r>
        <w:rPr>
          <w:rFonts w:eastAsia="Times New Roman" w:cs="Times New Roman"/>
        </w:rPr>
        <w:t xml:space="preserve"> (C), da pureza, da profundidade e da densidade do solo, e o custo depende do preço local e do frete. A escolha entre corretivos combina adequação técnica e custo, e a decisão é tomada em campo, muitas vezes sem conexão.</w:t>
      </w:r>
    </w:p>
    <w:p w14:paraId="61542019" w14:textId="77777777" w:rsidR="00A50860" w:rsidRDefault="0034465E">
      <w:pPr>
        <w:pStyle w:val="Corpodetexto"/>
        <w:spacing w:before="0" w:after="0" w:line="360" w:lineRule="auto"/>
        <w:ind w:firstLine="567"/>
        <w:jc w:val="both"/>
      </w:pPr>
      <w:r>
        <w:rPr>
          <w:rFonts w:eastAsia="Times New Roman" w:cs="Times New Roman"/>
        </w:rPr>
        <w:t>A eficiência da correção depende da coincidência entre a dissolução do corretivo, o transporte do cálcio até o complexo de troca e a remoção do sódio pela água de lixiviação. Em solos com carbonatos, a acidificação provocada pelo enxofre elementar e pelo ácido sulfúrico aumenta a solubilidade do CaCO</w:t>
      </w:r>
      <w:r>
        <w:rPr>
          <w:rFonts w:eastAsia="Times New Roman" w:cs="Times New Roman"/>
          <w:vertAlign w:val="subscript"/>
        </w:rPr>
        <w:t>3</w:t>
      </w:r>
      <w:r>
        <w:rPr>
          <w:rFonts w:eastAsia="Times New Roman" w:cs="Times New Roman"/>
        </w:rPr>
        <w:t xml:space="preserve"> e disponibiliza cálcio; em solos sem carbonatos, a mesma acidificação pode reduzir o pH abaixo da faixa adequada. O calcário, por sua vez, tem solubilidade baixa em pH alcalino e tende a permanecer na superfície, o que explica a prioridade menor nesse cenário (Dias e Blanco, 2010; Tito Sousa et al., 2024).</w:t>
      </w:r>
    </w:p>
    <w:p w14:paraId="73605910" w14:textId="77777777" w:rsidR="00A50860" w:rsidRDefault="0034465E">
      <w:pPr>
        <w:pStyle w:val="Corpodetexto"/>
        <w:spacing w:before="0" w:after="0" w:line="360" w:lineRule="auto"/>
        <w:ind w:firstLine="567"/>
        <w:jc w:val="both"/>
      </w:pPr>
      <w:r>
        <w:rPr>
          <w:rFonts w:eastAsia="Times New Roman" w:cs="Times New Roman"/>
        </w:rPr>
        <w:t>Ferramentas de apoio à decisão reduzem a dependência de cálculo manual e organizam a informação técnica, mas a adoção depende de interface compreensível, entradas validadas e funcionamento offline (Kumar et al., 2024; Adesiji et al., 2024). A ferramenta de origem, uma página de extensão, aceitava valores impossíveis, como pH 15 e notação científica, exigia preço para qualquer resultado, não indicava faixas e dependia de conexão. A reimplementação do cálculo em um sistema verificável permite preservar o conh</w:t>
      </w:r>
      <w:r>
        <w:rPr>
          <w:rFonts w:eastAsia="Times New Roman" w:cs="Times New Roman"/>
        </w:rPr>
        <w:t>ecimento agronômico e ampliar a confiabilidade da entrada.</w:t>
      </w:r>
    </w:p>
    <w:p w14:paraId="5245AFED" w14:textId="77777777" w:rsidR="00A50860" w:rsidRDefault="0034465E">
      <w:pPr>
        <w:pStyle w:val="Corpodetexto"/>
        <w:spacing w:before="0" w:after="0" w:line="360" w:lineRule="auto"/>
        <w:ind w:firstLine="567"/>
        <w:jc w:val="both"/>
      </w:pPr>
      <w:r>
        <w:rPr>
          <w:rFonts w:eastAsia="Times New Roman" w:cs="Times New Roman"/>
        </w:rPr>
        <w:t>O objetivo deste trabalho é desenvolver e verificar um sistema de apoio à decisão que preserve o modelo agronômico original, assegure entradas válidas, acessibilidade e uso offline, e apresente, para um caso demonstrativo, o diagnóstico, as doses e os custos dos corretivos.</w:t>
      </w:r>
    </w:p>
    <w:p w14:paraId="567AED57" w14:textId="77777777" w:rsidR="00A50860" w:rsidRDefault="0034465E">
      <w:pPr>
        <w:pStyle w:val="Corpodetexto"/>
        <w:keepNext/>
        <w:spacing w:before="240" w:after="120" w:line="360" w:lineRule="auto"/>
        <w:jc w:val="center"/>
      </w:pPr>
      <w:r>
        <w:rPr>
          <w:rFonts w:eastAsia="Times New Roman" w:cs="Times New Roman"/>
          <w:b/>
        </w:rPr>
        <w:t>2 Material e Métodos</w:t>
      </w:r>
    </w:p>
    <w:p w14:paraId="44EFFF11" w14:textId="77777777" w:rsidR="00A50860" w:rsidRDefault="0034465E">
      <w:pPr>
        <w:pStyle w:val="Corpodetexto"/>
        <w:keepNext/>
        <w:spacing w:before="120" w:after="60" w:line="360" w:lineRule="auto"/>
      </w:pPr>
      <w:r>
        <w:rPr>
          <w:rFonts w:eastAsia="Times New Roman" w:cs="Times New Roman"/>
          <w:b/>
        </w:rPr>
        <w:t>2.1 Caracterização do estudo</w:t>
      </w:r>
    </w:p>
    <w:p w14:paraId="46190E8F" w14:textId="77777777" w:rsidR="00A50860" w:rsidRDefault="0034465E">
      <w:pPr>
        <w:pStyle w:val="Corpodetexto"/>
        <w:spacing w:before="0" w:after="0" w:line="360" w:lineRule="auto"/>
        <w:ind w:firstLine="567"/>
        <w:jc w:val="both"/>
      </w:pPr>
      <w:r>
        <w:rPr>
          <w:rFonts w:eastAsia="Times New Roman" w:cs="Times New Roman"/>
        </w:rPr>
        <w:t xml:space="preserve">O estudo é aplicado, de desenvolvimento tecnológico, e foi conduzido na Universidade Federal Rural do Semi-Árido (UFERSA), em Mossoró-RN, entre 2025 e 2026. Adotou-se o estudo de caso como estratégia de avaliação, com preservação integral do modelo de cálculo original. Três etapas foram cumpridas: extração do modelo, implementação e verificação. A extração consistiu na leitura das fórmulas, dos coeficientes e dos critérios de classificação; a implementação, na reescrita do cálculo em uma página estática; a </w:t>
      </w:r>
      <w:r>
        <w:rPr>
          <w:rFonts w:eastAsia="Times New Roman" w:cs="Times New Roman"/>
        </w:rPr>
        <w:t>verificação, na execução de testes automatizados, auditoria de acessibilidade e comparação com a versão de origem.</w:t>
      </w:r>
    </w:p>
    <w:p w14:paraId="4A50668E" w14:textId="77777777" w:rsidR="00A50860" w:rsidRDefault="0034465E">
      <w:pPr>
        <w:pStyle w:val="Corpodetexto"/>
        <w:keepNext/>
        <w:spacing w:before="120" w:after="60" w:line="360" w:lineRule="auto"/>
      </w:pPr>
      <w:r>
        <w:rPr>
          <w:rFonts w:eastAsia="Times New Roman" w:cs="Times New Roman"/>
          <w:b/>
        </w:rPr>
        <w:t>2.2 Modelo de cálculo</w:t>
      </w:r>
    </w:p>
    <w:p w14:paraId="097B30ED" w14:textId="77777777" w:rsidR="00A50860" w:rsidRDefault="0034465E">
      <w:pPr>
        <w:pStyle w:val="Corpodetexto"/>
        <w:spacing w:before="0" w:after="0" w:line="360" w:lineRule="auto"/>
        <w:ind w:firstLine="567"/>
        <w:jc w:val="both"/>
      </w:pPr>
      <w:r>
        <w:rPr>
          <w:rFonts w:eastAsia="Times New Roman" w:cs="Times New Roman"/>
        </w:rPr>
        <w:t>Fórmulas, coeficientes e valores de PE foram transcritos sem alteração. A PST inicial é a razão entre o sódio trocável e a CTC, em porcentagem. O déficit é a diferença entre a PST inicial e a meta. A dose teórica (DT), em kg/ha, resulta do produto entre o déficit, a CTC (cmol</w:t>
      </w:r>
      <w:r>
        <w:rPr>
          <w:rFonts w:eastAsia="Times New Roman" w:cs="Times New Roman"/>
          <w:vertAlign w:val="subscript"/>
        </w:rPr>
        <w:t>c</w:t>
      </w:r>
      <w:r>
        <w:rPr>
          <w:rFonts w:eastAsia="Times New Roman" w:cs="Times New Roman"/>
        </w:rPr>
        <w:t xml:space="preserve"> kg</w:t>
      </w:r>
      <w:r>
        <w:rPr>
          <w:rFonts w:eastAsia="Times New Roman" w:cs="Times New Roman"/>
          <w:vertAlign w:val="superscript"/>
        </w:rPr>
        <w:t>-1</w:t>
      </w:r>
      <w:r>
        <w:rPr>
          <w:rFonts w:eastAsia="Times New Roman" w:cs="Times New Roman"/>
        </w:rPr>
        <w:t>), o PE (kg de CaCO</w:t>
      </w:r>
      <w:r>
        <w:rPr>
          <w:rFonts w:eastAsia="Times New Roman" w:cs="Times New Roman"/>
          <w:vertAlign w:val="subscript"/>
        </w:rPr>
        <w:t>3</w:t>
      </w:r>
      <w:r>
        <w:rPr>
          <w:rFonts w:eastAsia="Times New Roman" w:cs="Times New Roman"/>
        </w:rPr>
        <w:t xml:space="preserve"> por 100 kg), a profundidade (cm) e a densidade (g cm</w:t>
      </w:r>
      <w:r>
        <w:rPr>
          <w:rFonts w:eastAsia="Times New Roman" w:cs="Times New Roman"/>
          <w:vertAlign w:val="superscript"/>
        </w:rPr>
        <w:t>-3</w:t>
      </w:r>
      <w:r>
        <w:rPr>
          <w:rFonts w:eastAsia="Times New Roman" w:cs="Times New Roman"/>
        </w:rPr>
        <w:t>), dividido por 100. A dose prática (DP) é a DT multiplicada por C, e a dose comercial (DC) é a DP dividida pela pureza. O custo por hectare é a DC, em toneladas, multiplicada pelo preço por tonelada; o custo total é o custo por hectare multiplicado pela área. O PE expressa a quantidade de CaCO</w:t>
      </w:r>
      <w:r>
        <w:rPr>
          <w:rFonts w:eastAsia="Times New Roman" w:cs="Times New Roman"/>
          <w:vertAlign w:val="subscript"/>
        </w:rPr>
        <w:t>3</w:t>
      </w:r>
      <w:r>
        <w:rPr>
          <w:rFonts w:eastAsia="Times New Roman" w:cs="Times New Roman"/>
        </w:rPr>
        <w:t xml:space="preserve"> equivalente neutralizada por 100 kg do material, e o coeficiente C corrige a eficiência de campo em função da finura e da reatividade.</w:t>
      </w:r>
      <w:r>
        <w:rPr>
          <w:rFonts w:eastAsia="Times New Roman" w:cs="Times New Roman"/>
        </w:rPr>
        <w:t xml:space="preserve"> A pureza converte a dose prática em dose comercial, e o preço converte a dose comercial em custo. A profundidade e a densidade definem a massa de solo corrigida: para uma mesma PST, o aumento da profundidade ou da densidade eleva a dose proporcionalmente.</w:t>
      </w:r>
    </w:p>
    <w:p w14:paraId="5610B7AF" w14:textId="77777777" w:rsidR="00A50860" w:rsidRDefault="0034465E">
      <w:pPr>
        <w:pStyle w:val="Corpodetexto"/>
        <w:spacing w:before="0" w:after="0" w:line="360" w:lineRule="auto"/>
        <w:ind w:firstLine="567"/>
        <w:jc w:val="both"/>
      </w:pPr>
      <w:r>
        <w:rPr>
          <w:rFonts w:eastAsia="Times New Roman" w:cs="Times New Roman"/>
        </w:rPr>
        <w:t>Oito corretivos foram cadastrados (Tabela 1). A adequação é classificada em três grupos: fontes diretas de cálcio são potencialmente adequadas; fontes ácidas são adequadas quando há carbonatos e exigem cautela quando não há; o calcário recebe baixa prioridade em pH alcalino, pela baixa solubilidade. A classificação do solo combina PST e CEes, e a recomendação técnica acompanha cada corretivo selecionado.</w:t>
      </w:r>
    </w:p>
    <w:p w14:paraId="5A638845" w14:textId="77777777" w:rsidR="00A50860" w:rsidRDefault="0034465E">
      <w:pPr>
        <w:pStyle w:val="Corpodetexto"/>
        <w:keepNext/>
        <w:spacing w:before="120" w:after="60" w:line="360" w:lineRule="auto"/>
        <w:jc w:val="center"/>
      </w:pPr>
      <w:r>
        <w:rPr>
          <w:rFonts w:eastAsia="Times New Roman" w:cs="Times New Roman"/>
          <w:b/>
          <w:sz w:val="20"/>
        </w:rPr>
        <w:t>Tabela 1</w:t>
      </w:r>
      <w:r>
        <w:rPr>
          <w:rFonts w:eastAsia="Times New Roman" w:cs="Times New Roman"/>
          <w:sz w:val="20"/>
        </w:rPr>
        <w:t xml:space="preserve"> - Corretivos cadastrados, com tipo, poder de neutralização (PE) e coeficiente de eficiência (C)</w:t>
      </w:r>
    </w:p>
    <w:tbl>
      <w:tblPr>
        <w:tblStyle w:val="Table"/>
        <w:tblW w:w="9070" w:type="dxa"/>
        <w:jc w:val="center"/>
        <w:tblBorders>
          <w:top w:val="single" w:sz="8" w:space="0" w:color="000000"/>
          <w:left w:val="nil"/>
          <w:bottom w:val="single" w:sz="8" w:space="0" w:color="000000"/>
          <w:right w:val="nil"/>
          <w:insideH w:val="single" w:sz="4" w:space="0" w:color="000000"/>
          <w:insideV w:val="nil"/>
        </w:tblBorders>
        <w:tblLayout w:type="fixed"/>
        <w:tblLook w:val="0020" w:firstRow="1" w:lastRow="0" w:firstColumn="0" w:lastColumn="0" w:noHBand="0" w:noVBand="0"/>
      </w:tblPr>
      <w:tblGrid>
        <w:gridCol w:w="3628"/>
        <w:gridCol w:w="2154"/>
        <w:gridCol w:w="1644"/>
        <w:gridCol w:w="1644"/>
      </w:tblGrid>
      <w:tr w:rsidR="00A50860" w14:paraId="2D6736D0" w14:textId="77777777" w:rsidTr="00A50860">
        <w:trPr>
          <w:cnfStyle w:val="100000000000" w:firstRow="1" w:lastRow="0" w:firstColumn="0" w:lastColumn="0" w:oddVBand="0" w:evenVBand="0" w:oddHBand="0" w:evenHBand="0" w:firstRowFirstColumn="0" w:firstRowLastColumn="0" w:lastRowFirstColumn="0" w:lastRowLastColumn="0"/>
          <w:cantSplit/>
          <w:tblHeader/>
          <w:jc w:val="center"/>
        </w:trPr>
        <w:tc>
          <w:tcPr>
            <w:tcW w:w="3628" w:type="dxa"/>
          </w:tcPr>
          <w:p w14:paraId="376F94C9" w14:textId="77777777" w:rsidR="00A50860" w:rsidRDefault="0034465E">
            <w:pPr>
              <w:pStyle w:val="Compact"/>
              <w:keepNext/>
              <w:spacing w:before="20" w:after="20" w:line="360" w:lineRule="auto"/>
              <w:jc w:val="center"/>
            </w:pPr>
            <w:r>
              <w:rPr>
                <w:rFonts w:eastAsia="Times New Roman" w:cs="Times New Roman"/>
                <w:b/>
                <w:sz w:val="20"/>
              </w:rPr>
              <w:t>Corretivo</w:t>
            </w:r>
          </w:p>
        </w:tc>
        <w:tc>
          <w:tcPr>
            <w:tcW w:w="2154" w:type="dxa"/>
          </w:tcPr>
          <w:p w14:paraId="4EABB511" w14:textId="77777777" w:rsidR="00A50860" w:rsidRDefault="0034465E">
            <w:pPr>
              <w:pStyle w:val="Compact"/>
              <w:keepNext/>
              <w:spacing w:before="20" w:after="20" w:line="360" w:lineRule="auto"/>
              <w:jc w:val="center"/>
            </w:pPr>
            <w:r>
              <w:rPr>
                <w:rFonts w:eastAsia="Times New Roman" w:cs="Times New Roman"/>
                <w:b/>
                <w:sz w:val="20"/>
              </w:rPr>
              <w:t>Tipo</w:t>
            </w:r>
          </w:p>
        </w:tc>
        <w:tc>
          <w:tcPr>
            <w:tcW w:w="1644" w:type="dxa"/>
          </w:tcPr>
          <w:p w14:paraId="2C4E230C" w14:textId="77777777" w:rsidR="00A50860" w:rsidRDefault="0034465E">
            <w:pPr>
              <w:pStyle w:val="Compact"/>
              <w:keepNext/>
              <w:spacing w:before="20" w:after="20" w:line="360" w:lineRule="auto"/>
              <w:jc w:val="center"/>
            </w:pPr>
            <w:r>
              <w:rPr>
                <w:rFonts w:eastAsia="Times New Roman" w:cs="Times New Roman"/>
                <w:b/>
                <w:sz w:val="20"/>
              </w:rPr>
              <w:t>PE</w:t>
            </w:r>
          </w:p>
        </w:tc>
        <w:tc>
          <w:tcPr>
            <w:tcW w:w="1644" w:type="dxa"/>
          </w:tcPr>
          <w:p w14:paraId="4CA33CFB" w14:textId="77777777" w:rsidR="00A50860" w:rsidRDefault="0034465E">
            <w:pPr>
              <w:pStyle w:val="Compact"/>
              <w:keepNext/>
              <w:spacing w:before="20" w:after="20" w:line="360" w:lineRule="auto"/>
              <w:jc w:val="center"/>
            </w:pPr>
            <w:r>
              <w:rPr>
                <w:rFonts w:eastAsia="Times New Roman" w:cs="Times New Roman"/>
                <w:b/>
                <w:sz w:val="20"/>
              </w:rPr>
              <w:t>C</w:t>
            </w:r>
          </w:p>
        </w:tc>
      </w:tr>
      <w:tr w:rsidR="00A50860" w14:paraId="12B1A398" w14:textId="77777777" w:rsidTr="00A50860">
        <w:trPr>
          <w:cantSplit/>
          <w:jc w:val="center"/>
        </w:trPr>
        <w:tc>
          <w:tcPr>
            <w:tcW w:w="3628" w:type="dxa"/>
          </w:tcPr>
          <w:p w14:paraId="6BAE83EE" w14:textId="77777777" w:rsidR="00A50860" w:rsidRDefault="0034465E">
            <w:pPr>
              <w:pStyle w:val="Compact"/>
              <w:keepNext/>
              <w:spacing w:before="20" w:after="20" w:line="360" w:lineRule="auto"/>
            </w:pPr>
            <w:r>
              <w:rPr>
                <w:rFonts w:eastAsia="Times New Roman" w:cs="Times New Roman"/>
                <w:sz w:val="20"/>
              </w:rPr>
              <w:t>Gesso agrícola (CaSO</w:t>
            </w:r>
            <w:r>
              <w:rPr>
                <w:rFonts w:eastAsia="Times New Roman" w:cs="Times New Roman"/>
                <w:sz w:val="20"/>
                <w:vertAlign w:val="subscript"/>
              </w:rPr>
              <w:t>4</w:t>
            </w:r>
            <w:r>
              <w:rPr>
                <w:rFonts w:eastAsia="Times New Roman" w:cs="Times New Roman"/>
                <w:sz w:val="20"/>
              </w:rPr>
              <w:t>·2H</w:t>
            </w:r>
            <w:r>
              <w:rPr>
                <w:rFonts w:eastAsia="Times New Roman" w:cs="Times New Roman"/>
                <w:sz w:val="20"/>
                <w:vertAlign w:val="subscript"/>
              </w:rPr>
              <w:t>2</w:t>
            </w:r>
            <w:r>
              <w:rPr>
                <w:rFonts w:eastAsia="Times New Roman" w:cs="Times New Roman"/>
                <w:sz w:val="20"/>
              </w:rPr>
              <w:t>O)</w:t>
            </w:r>
          </w:p>
        </w:tc>
        <w:tc>
          <w:tcPr>
            <w:tcW w:w="2154" w:type="dxa"/>
          </w:tcPr>
          <w:p w14:paraId="21082E69" w14:textId="77777777" w:rsidR="00A50860" w:rsidRDefault="0034465E">
            <w:pPr>
              <w:pStyle w:val="Compact"/>
              <w:keepNext/>
              <w:spacing w:before="20" w:after="20" w:line="360" w:lineRule="auto"/>
            </w:pPr>
            <w:r>
              <w:rPr>
                <w:rFonts w:eastAsia="Times New Roman" w:cs="Times New Roman"/>
                <w:sz w:val="20"/>
              </w:rPr>
              <w:t>Fonte direta</w:t>
            </w:r>
          </w:p>
        </w:tc>
        <w:tc>
          <w:tcPr>
            <w:tcW w:w="1644" w:type="dxa"/>
          </w:tcPr>
          <w:p w14:paraId="51E929D1" w14:textId="77777777" w:rsidR="00A50860" w:rsidRDefault="0034465E">
            <w:pPr>
              <w:pStyle w:val="Compact"/>
              <w:keepNext/>
              <w:spacing w:before="20" w:after="20" w:line="360" w:lineRule="auto"/>
              <w:jc w:val="right"/>
            </w:pPr>
            <w:r>
              <w:rPr>
                <w:rFonts w:eastAsia="Times New Roman" w:cs="Times New Roman"/>
                <w:sz w:val="20"/>
              </w:rPr>
              <w:t>86</w:t>
            </w:r>
          </w:p>
        </w:tc>
        <w:tc>
          <w:tcPr>
            <w:tcW w:w="1644" w:type="dxa"/>
          </w:tcPr>
          <w:p w14:paraId="78F60F30" w14:textId="77777777" w:rsidR="00A50860" w:rsidRDefault="0034465E">
            <w:pPr>
              <w:pStyle w:val="Compact"/>
              <w:keepNext/>
              <w:spacing w:before="20" w:after="20" w:line="360" w:lineRule="auto"/>
              <w:jc w:val="right"/>
            </w:pPr>
            <w:r>
              <w:rPr>
                <w:rFonts w:eastAsia="Times New Roman" w:cs="Times New Roman"/>
                <w:sz w:val="20"/>
              </w:rPr>
              <w:t>1,25</w:t>
            </w:r>
          </w:p>
        </w:tc>
      </w:tr>
      <w:tr w:rsidR="00A50860" w14:paraId="3D3AFF83" w14:textId="77777777" w:rsidTr="00A50860">
        <w:trPr>
          <w:cantSplit/>
          <w:jc w:val="center"/>
        </w:trPr>
        <w:tc>
          <w:tcPr>
            <w:tcW w:w="3628" w:type="dxa"/>
          </w:tcPr>
          <w:p w14:paraId="43DDBB23" w14:textId="77777777" w:rsidR="00A50860" w:rsidRDefault="0034465E">
            <w:pPr>
              <w:pStyle w:val="Compact"/>
              <w:keepNext/>
              <w:spacing w:before="20" w:after="20" w:line="360" w:lineRule="auto"/>
            </w:pPr>
            <w:r>
              <w:rPr>
                <w:rFonts w:eastAsia="Times New Roman" w:cs="Times New Roman"/>
                <w:sz w:val="20"/>
              </w:rPr>
              <w:t>Cloreto de cálcio (CaCl</w:t>
            </w:r>
            <w:r>
              <w:rPr>
                <w:rFonts w:eastAsia="Times New Roman" w:cs="Times New Roman"/>
                <w:sz w:val="20"/>
                <w:vertAlign w:val="subscript"/>
              </w:rPr>
              <w:t>2</w:t>
            </w:r>
            <w:r>
              <w:rPr>
                <w:rFonts w:eastAsia="Times New Roman" w:cs="Times New Roman"/>
                <w:sz w:val="20"/>
              </w:rPr>
              <w:t>·2H</w:t>
            </w:r>
            <w:r>
              <w:rPr>
                <w:rFonts w:eastAsia="Times New Roman" w:cs="Times New Roman"/>
                <w:sz w:val="20"/>
                <w:vertAlign w:val="subscript"/>
              </w:rPr>
              <w:t>2</w:t>
            </w:r>
            <w:r>
              <w:rPr>
                <w:rFonts w:eastAsia="Times New Roman" w:cs="Times New Roman"/>
                <w:sz w:val="20"/>
              </w:rPr>
              <w:t>O)</w:t>
            </w:r>
          </w:p>
        </w:tc>
        <w:tc>
          <w:tcPr>
            <w:tcW w:w="2154" w:type="dxa"/>
          </w:tcPr>
          <w:p w14:paraId="2C60FB0B" w14:textId="77777777" w:rsidR="00A50860" w:rsidRDefault="0034465E">
            <w:pPr>
              <w:pStyle w:val="Compact"/>
              <w:keepNext/>
              <w:spacing w:before="20" w:after="20" w:line="360" w:lineRule="auto"/>
            </w:pPr>
            <w:r>
              <w:rPr>
                <w:rFonts w:eastAsia="Times New Roman" w:cs="Times New Roman"/>
                <w:sz w:val="20"/>
              </w:rPr>
              <w:t>Fonte direta</w:t>
            </w:r>
          </w:p>
        </w:tc>
        <w:tc>
          <w:tcPr>
            <w:tcW w:w="1644" w:type="dxa"/>
          </w:tcPr>
          <w:p w14:paraId="1F8B99DC" w14:textId="77777777" w:rsidR="00A50860" w:rsidRDefault="0034465E">
            <w:pPr>
              <w:pStyle w:val="Compact"/>
              <w:keepNext/>
              <w:spacing w:before="20" w:after="20" w:line="360" w:lineRule="auto"/>
              <w:jc w:val="right"/>
            </w:pPr>
            <w:r>
              <w:rPr>
                <w:rFonts w:eastAsia="Times New Roman" w:cs="Times New Roman"/>
                <w:sz w:val="20"/>
              </w:rPr>
              <w:t>73</w:t>
            </w:r>
          </w:p>
        </w:tc>
        <w:tc>
          <w:tcPr>
            <w:tcW w:w="1644" w:type="dxa"/>
          </w:tcPr>
          <w:p w14:paraId="499A3DA0" w14:textId="77777777" w:rsidR="00A50860" w:rsidRDefault="0034465E">
            <w:pPr>
              <w:pStyle w:val="Compact"/>
              <w:keepNext/>
              <w:spacing w:before="20" w:after="20" w:line="360" w:lineRule="auto"/>
              <w:jc w:val="right"/>
            </w:pPr>
            <w:r>
              <w:rPr>
                <w:rFonts w:eastAsia="Times New Roman" w:cs="Times New Roman"/>
                <w:sz w:val="20"/>
              </w:rPr>
              <w:t>1,10</w:t>
            </w:r>
          </w:p>
        </w:tc>
      </w:tr>
      <w:tr w:rsidR="00A50860" w14:paraId="23346C7E" w14:textId="77777777" w:rsidTr="00A50860">
        <w:trPr>
          <w:cantSplit/>
          <w:jc w:val="center"/>
        </w:trPr>
        <w:tc>
          <w:tcPr>
            <w:tcW w:w="3628" w:type="dxa"/>
          </w:tcPr>
          <w:p w14:paraId="1B691D02" w14:textId="77777777" w:rsidR="00A50860" w:rsidRDefault="0034465E">
            <w:pPr>
              <w:pStyle w:val="Compact"/>
              <w:keepNext/>
              <w:spacing w:before="20" w:after="20" w:line="360" w:lineRule="auto"/>
            </w:pPr>
            <w:r>
              <w:rPr>
                <w:rFonts w:eastAsia="Times New Roman" w:cs="Times New Roman"/>
                <w:sz w:val="20"/>
              </w:rPr>
              <w:t>Enxofre elementar (S)</w:t>
            </w:r>
          </w:p>
        </w:tc>
        <w:tc>
          <w:tcPr>
            <w:tcW w:w="2154" w:type="dxa"/>
          </w:tcPr>
          <w:p w14:paraId="2A8A9617" w14:textId="77777777" w:rsidR="00A50860" w:rsidRDefault="0034465E">
            <w:pPr>
              <w:pStyle w:val="Compact"/>
              <w:keepNext/>
              <w:spacing w:before="20" w:after="20" w:line="360" w:lineRule="auto"/>
            </w:pPr>
            <w:r>
              <w:rPr>
                <w:rFonts w:eastAsia="Times New Roman" w:cs="Times New Roman"/>
                <w:sz w:val="20"/>
              </w:rPr>
              <w:t>Fonte ácida</w:t>
            </w:r>
          </w:p>
        </w:tc>
        <w:tc>
          <w:tcPr>
            <w:tcW w:w="1644" w:type="dxa"/>
          </w:tcPr>
          <w:p w14:paraId="21ACCB52" w14:textId="77777777" w:rsidR="00A50860" w:rsidRDefault="0034465E">
            <w:pPr>
              <w:pStyle w:val="Compact"/>
              <w:keepNext/>
              <w:spacing w:before="20" w:after="20" w:line="360" w:lineRule="auto"/>
              <w:jc w:val="right"/>
            </w:pPr>
            <w:r>
              <w:rPr>
                <w:rFonts w:eastAsia="Times New Roman" w:cs="Times New Roman"/>
                <w:sz w:val="20"/>
              </w:rPr>
              <w:t>16</w:t>
            </w:r>
          </w:p>
        </w:tc>
        <w:tc>
          <w:tcPr>
            <w:tcW w:w="1644" w:type="dxa"/>
          </w:tcPr>
          <w:p w14:paraId="7D00CFE5" w14:textId="77777777" w:rsidR="00A50860" w:rsidRDefault="0034465E">
            <w:pPr>
              <w:pStyle w:val="Compact"/>
              <w:keepNext/>
              <w:spacing w:before="20" w:after="20" w:line="360" w:lineRule="auto"/>
              <w:jc w:val="right"/>
            </w:pPr>
            <w:r>
              <w:rPr>
                <w:rFonts w:eastAsia="Times New Roman" w:cs="Times New Roman"/>
                <w:sz w:val="20"/>
              </w:rPr>
              <w:t>1,25</w:t>
            </w:r>
          </w:p>
        </w:tc>
      </w:tr>
      <w:tr w:rsidR="00A50860" w14:paraId="706D535A" w14:textId="77777777" w:rsidTr="00A50860">
        <w:trPr>
          <w:cantSplit/>
          <w:jc w:val="center"/>
        </w:trPr>
        <w:tc>
          <w:tcPr>
            <w:tcW w:w="3628" w:type="dxa"/>
          </w:tcPr>
          <w:p w14:paraId="2D32F19F" w14:textId="77777777" w:rsidR="00A50860" w:rsidRDefault="0034465E">
            <w:pPr>
              <w:pStyle w:val="Compact"/>
              <w:keepNext/>
              <w:spacing w:before="20" w:after="20" w:line="360" w:lineRule="auto"/>
            </w:pPr>
            <w:r>
              <w:rPr>
                <w:rFonts w:eastAsia="Times New Roman" w:cs="Times New Roman"/>
                <w:sz w:val="20"/>
              </w:rPr>
              <w:t>Ácido sulfúrico (H</w:t>
            </w:r>
            <w:r>
              <w:rPr>
                <w:rFonts w:eastAsia="Times New Roman" w:cs="Times New Roman"/>
                <w:sz w:val="20"/>
                <w:vertAlign w:val="subscript"/>
              </w:rPr>
              <w:t>2</w:t>
            </w:r>
            <w:r>
              <w:rPr>
                <w:rFonts w:eastAsia="Times New Roman" w:cs="Times New Roman"/>
                <w:sz w:val="20"/>
              </w:rPr>
              <w:t>SO</w:t>
            </w:r>
            <w:r>
              <w:rPr>
                <w:rFonts w:eastAsia="Times New Roman" w:cs="Times New Roman"/>
                <w:sz w:val="20"/>
                <w:vertAlign w:val="subscript"/>
              </w:rPr>
              <w:t>4</w:t>
            </w:r>
            <w:r>
              <w:rPr>
                <w:rFonts w:eastAsia="Times New Roman" w:cs="Times New Roman"/>
                <w:sz w:val="20"/>
              </w:rPr>
              <w:t>)</w:t>
            </w:r>
          </w:p>
        </w:tc>
        <w:tc>
          <w:tcPr>
            <w:tcW w:w="2154" w:type="dxa"/>
          </w:tcPr>
          <w:p w14:paraId="166C1E0E" w14:textId="77777777" w:rsidR="00A50860" w:rsidRDefault="0034465E">
            <w:pPr>
              <w:pStyle w:val="Compact"/>
              <w:keepNext/>
              <w:spacing w:before="20" w:after="20" w:line="360" w:lineRule="auto"/>
            </w:pPr>
            <w:r>
              <w:rPr>
                <w:rFonts w:eastAsia="Times New Roman" w:cs="Times New Roman"/>
                <w:sz w:val="20"/>
              </w:rPr>
              <w:t>Fonte ácida</w:t>
            </w:r>
          </w:p>
        </w:tc>
        <w:tc>
          <w:tcPr>
            <w:tcW w:w="1644" w:type="dxa"/>
          </w:tcPr>
          <w:p w14:paraId="4CC9C8E4" w14:textId="77777777" w:rsidR="00A50860" w:rsidRDefault="0034465E">
            <w:pPr>
              <w:pStyle w:val="Compact"/>
              <w:keepNext/>
              <w:spacing w:before="20" w:after="20" w:line="360" w:lineRule="auto"/>
              <w:jc w:val="right"/>
            </w:pPr>
            <w:r>
              <w:rPr>
                <w:rFonts w:eastAsia="Times New Roman" w:cs="Times New Roman"/>
                <w:sz w:val="20"/>
              </w:rPr>
              <w:t>49</w:t>
            </w:r>
          </w:p>
        </w:tc>
        <w:tc>
          <w:tcPr>
            <w:tcW w:w="1644" w:type="dxa"/>
          </w:tcPr>
          <w:p w14:paraId="742CA971" w14:textId="77777777" w:rsidR="00A50860" w:rsidRDefault="0034465E">
            <w:pPr>
              <w:pStyle w:val="Compact"/>
              <w:keepNext/>
              <w:spacing w:before="20" w:after="20" w:line="360" w:lineRule="auto"/>
              <w:jc w:val="right"/>
            </w:pPr>
            <w:r>
              <w:rPr>
                <w:rFonts w:eastAsia="Times New Roman" w:cs="Times New Roman"/>
                <w:sz w:val="20"/>
              </w:rPr>
              <w:t>1,10</w:t>
            </w:r>
          </w:p>
        </w:tc>
      </w:tr>
      <w:tr w:rsidR="00A50860" w14:paraId="26C2B5E0" w14:textId="77777777" w:rsidTr="00A50860">
        <w:trPr>
          <w:cantSplit/>
          <w:jc w:val="center"/>
        </w:trPr>
        <w:tc>
          <w:tcPr>
            <w:tcW w:w="3628" w:type="dxa"/>
          </w:tcPr>
          <w:p w14:paraId="2D2394EA" w14:textId="77777777" w:rsidR="00A50860" w:rsidRDefault="0034465E">
            <w:pPr>
              <w:pStyle w:val="Compact"/>
              <w:keepNext/>
              <w:spacing w:before="20" w:after="20" w:line="360" w:lineRule="auto"/>
            </w:pPr>
            <w:r>
              <w:rPr>
                <w:rFonts w:eastAsia="Times New Roman" w:cs="Times New Roman"/>
                <w:sz w:val="20"/>
              </w:rPr>
              <w:t>Sulfato de ferro (FeSO</w:t>
            </w:r>
            <w:r>
              <w:rPr>
                <w:rFonts w:eastAsia="Times New Roman" w:cs="Times New Roman"/>
                <w:sz w:val="20"/>
                <w:vertAlign w:val="subscript"/>
              </w:rPr>
              <w:t>4</w:t>
            </w:r>
            <w:r>
              <w:rPr>
                <w:rFonts w:eastAsia="Times New Roman" w:cs="Times New Roman"/>
                <w:sz w:val="20"/>
              </w:rPr>
              <w:t>·7H</w:t>
            </w:r>
            <w:r>
              <w:rPr>
                <w:rFonts w:eastAsia="Times New Roman" w:cs="Times New Roman"/>
                <w:sz w:val="20"/>
                <w:vertAlign w:val="subscript"/>
              </w:rPr>
              <w:t>2</w:t>
            </w:r>
            <w:r>
              <w:rPr>
                <w:rFonts w:eastAsia="Times New Roman" w:cs="Times New Roman"/>
                <w:sz w:val="20"/>
              </w:rPr>
              <w:t>O)</w:t>
            </w:r>
          </w:p>
        </w:tc>
        <w:tc>
          <w:tcPr>
            <w:tcW w:w="2154" w:type="dxa"/>
          </w:tcPr>
          <w:p w14:paraId="49149A2B" w14:textId="77777777" w:rsidR="00A50860" w:rsidRDefault="0034465E">
            <w:pPr>
              <w:pStyle w:val="Compact"/>
              <w:keepNext/>
              <w:spacing w:before="20" w:after="20" w:line="360" w:lineRule="auto"/>
            </w:pPr>
            <w:r>
              <w:rPr>
                <w:rFonts w:eastAsia="Times New Roman" w:cs="Times New Roman"/>
                <w:sz w:val="20"/>
              </w:rPr>
              <w:t>Fonte ácida</w:t>
            </w:r>
          </w:p>
        </w:tc>
        <w:tc>
          <w:tcPr>
            <w:tcW w:w="1644" w:type="dxa"/>
          </w:tcPr>
          <w:p w14:paraId="366B3033" w14:textId="77777777" w:rsidR="00A50860" w:rsidRDefault="0034465E">
            <w:pPr>
              <w:pStyle w:val="Compact"/>
              <w:keepNext/>
              <w:spacing w:before="20" w:after="20" w:line="360" w:lineRule="auto"/>
              <w:jc w:val="right"/>
            </w:pPr>
            <w:r>
              <w:rPr>
                <w:rFonts w:eastAsia="Times New Roman" w:cs="Times New Roman"/>
                <w:sz w:val="20"/>
              </w:rPr>
              <w:t>139</w:t>
            </w:r>
          </w:p>
        </w:tc>
        <w:tc>
          <w:tcPr>
            <w:tcW w:w="1644" w:type="dxa"/>
          </w:tcPr>
          <w:p w14:paraId="4924E06E" w14:textId="77777777" w:rsidR="00A50860" w:rsidRDefault="0034465E">
            <w:pPr>
              <w:pStyle w:val="Compact"/>
              <w:keepNext/>
              <w:spacing w:before="20" w:after="20" w:line="360" w:lineRule="auto"/>
              <w:jc w:val="right"/>
            </w:pPr>
            <w:r>
              <w:rPr>
                <w:rFonts w:eastAsia="Times New Roman" w:cs="Times New Roman"/>
                <w:sz w:val="20"/>
              </w:rPr>
              <w:t>1,10</w:t>
            </w:r>
          </w:p>
        </w:tc>
      </w:tr>
      <w:tr w:rsidR="00A50860" w14:paraId="23DD12B3" w14:textId="77777777" w:rsidTr="00A50860">
        <w:trPr>
          <w:cantSplit/>
          <w:jc w:val="center"/>
        </w:trPr>
        <w:tc>
          <w:tcPr>
            <w:tcW w:w="3628" w:type="dxa"/>
          </w:tcPr>
          <w:p w14:paraId="16C82B05" w14:textId="77777777" w:rsidR="00A50860" w:rsidRDefault="0034465E">
            <w:pPr>
              <w:pStyle w:val="Compact"/>
              <w:keepNext/>
              <w:spacing w:before="20" w:after="20" w:line="360" w:lineRule="auto"/>
            </w:pPr>
            <w:r>
              <w:rPr>
                <w:rFonts w:eastAsia="Times New Roman" w:cs="Times New Roman"/>
                <w:sz w:val="20"/>
              </w:rPr>
              <w:t>Sulfato de alumínio (Al</w:t>
            </w:r>
            <w:r>
              <w:rPr>
                <w:rFonts w:eastAsia="Times New Roman" w:cs="Times New Roman"/>
                <w:sz w:val="20"/>
                <w:vertAlign w:val="subscript"/>
              </w:rPr>
              <w:t>2</w:t>
            </w:r>
            <w:r>
              <w:rPr>
                <w:rFonts w:eastAsia="Times New Roman" w:cs="Times New Roman"/>
                <w:sz w:val="20"/>
              </w:rPr>
              <w:t>(SO</w:t>
            </w:r>
            <w:r>
              <w:rPr>
                <w:rFonts w:eastAsia="Times New Roman" w:cs="Times New Roman"/>
                <w:sz w:val="20"/>
                <w:vertAlign w:val="subscript"/>
              </w:rPr>
              <w:t>4</w:t>
            </w:r>
            <w:r>
              <w:rPr>
                <w:rFonts w:eastAsia="Times New Roman" w:cs="Times New Roman"/>
                <w:sz w:val="20"/>
              </w:rPr>
              <w:t>)</w:t>
            </w:r>
            <w:r>
              <w:rPr>
                <w:rFonts w:eastAsia="Times New Roman" w:cs="Times New Roman"/>
                <w:sz w:val="20"/>
                <w:vertAlign w:val="subscript"/>
              </w:rPr>
              <w:t>3</w:t>
            </w:r>
            <w:r>
              <w:rPr>
                <w:rFonts w:eastAsia="Times New Roman" w:cs="Times New Roman"/>
                <w:sz w:val="20"/>
              </w:rPr>
              <w:t>·18H</w:t>
            </w:r>
            <w:r>
              <w:rPr>
                <w:rFonts w:eastAsia="Times New Roman" w:cs="Times New Roman"/>
                <w:sz w:val="20"/>
                <w:vertAlign w:val="subscript"/>
              </w:rPr>
              <w:t>2</w:t>
            </w:r>
            <w:r>
              <w:rPr>
                <w:rFonts w:eastAsia="Times New Roman" w:cs="Times New Roman"/>
                <w:sz w:val="20"/>
              </w:rPr>
              <w:t>O)</w:t>
            </w:r>
          </w:p>
        </w:tc>
        <w:tc>
          <w:tcPr>
            <w:tcW w:w="2154" w:type="dxa"/>
          </w:tcPr>
          <w:p w14:paraId="18270DB9" w14:textId="77777777" w:rsidR="00A50860" w:rsidRDefault="0034465E">
            <w:pPr>
              <w:pStyle w:val="Compact"/>
              <w:keepNext/>
              <w:spacing w:before="20" w:after="20" w:line="360" w:lineRule="auto"/>
            </w:pPr>
            <w:r>
              <w:rPr>
                <w:rFonts w:eastAsia="Times New Roman" w:cs="Times New Roman"/>
                <w:sz w:val="20"/>
              </w:rPr>
              <w:t>Fonte ácida</w:t>
            </w:r>
          </w:p>
        </w:tc>
        <w:tc>
          <w:tcPr>
            <w:tcW w:w="1644" w:type="dxa"/>
          </w:tcPr>
          <w:p w14:paraId="2D4640CF" w14:textId="77777777" w:rsidR="00A50860" w:rsidRDefault="0034465E">
            <w:pPr>
              <w:pStyle w:val="Compact"/>
              <w:keepNext/>
              <w:spacing w:before="20" w:after="20" w:line="360" w:lineRule="auto"/>
              <w:jc w:val="right"/>
            </w:pPr>
            <w:r>
              <w:rPr>
                <w:rFonts w:eastAsia="Times New Roman" w:cs="Times New Roman"/>
                <w:sz w:val="20"/>
              </w:rPr>
              <w:t>111</w:t>
            </w:r>
          </w:p>
        </w:tc>
        <w:tc>
          <w:tcPr>
            <w:tcW w:w="1644" w:type="dxa"/>
          </w:tcPr>
          <w:p w14:paraId="7B310D6D" w14:textId="77777777" w:rsidR="00A50860" w:rsidRDefault="0034465E">
            <w:pPr>
              <w:pStyle w:val="Compact"/>
              <w:keepNext/>
              <w:spacing w:before="20" w:after="20" w:line="360" w:lineRule="auto"/>
              <w:jc w:val="right"/>
            </w:pPr>
            <w:r>
              <w:rPr>
                <w:rFonts w:eastAsia="Times New Roman" w:cs="Times New Roman"/>
                <w:sz w:val="20"/>
              </w:rPr>
              <w:t>1,10</w:t>
            </w:r>
          </w:p>
        </w:tc>
      </w:tr>
      <w:tr w:rsidR="00A50860" w14:paraId="1C2A7714" w14:textId="77777777" w:rsidTr="00A50860">
        <w:trPr>
          <w:cantSplit/>
          <w:jc w:val="center"/>
        </w:trPr>
        <w:tc>
          <w:tcPr>
            <w:tcW w:w="3628" w:type="dxa"/>
          </w:tcPr>
          <w:p w14:paraId="7323197E" w14:textId="77777777" w:rsidR="00A50860" w:rsidRDefault="0034465E">
            <w:pPr>
              <w:pStyle w:val="Compact"/>
              <w:keepNext/>
              <w:spacing w:before="20" w:after="20" w:line="360" w:lineRule="auto"/>
            </w:pPr>
            <w:r>
              <w:rPr>
                <w:rFonts w:eastAsia="Times New Roman" w:cs="Times New Roman"/>
                <w:sz w:val="20"/>
              </w:rPr>
              <w:t>Calcário (CaCO</w:t>
            </w:r>
            <w:r>
              <w:rPr>
                <w:rFonts w:eastAsia="Times New Roman" w:cs="Times New Roman"/>
                <w:sz w:val="20"/>
                <w:vertAlign w:val="subscript"/>
              </w:rPr>
              <w:t>3</w:t>
            </w:r>
            <w:r>
              <w:rPr>
                <w:rFonts w:eastAsia="Times New Roman" w:cs="Times New Roman"/>
                <w:sz w:val="20"/>
              </w:rPr>
              <w:t>)</w:t>
            </w:r>
          </w:p>
        </w:tc>
        <w:tc>
          <w:tcPr>
            <w:tcW w:w="2154" w:type="dxa"/>
          </w:tcPr>
          <w:p w14:paraId="2495E705" w14:textId="77777777" w:rsidR="00A50860" w:rsidRDefault="0034465E">
            <w:pPr>
              <w:pStyle w:val="Compact"/>
              <w:keepNext/>
              <w:spacing w:before="20" w:after="20" w:line="360" w:lineRule="auto"/>
            </w:pPr>
            <w:r>
              <w:rPr>
                <w:rFonts w:eastAsia="Times New Roman" w:cs="Times New Roman"/>
                <w:sz w:val="20"/>
              </w:rPr>
              <w:t>Baixa solubilidade</w:t>
            </w:r>
          </w:p>
        </w:tc>
        <w:tc>
          <w:tcPr>
            <w:tcW w:w="1644" w:type="dxa"/>
          </w:tcPr>
          <w:p w14:paraId="25CC6231" w14:textId="77777777" w:rsidR="00A50860" w:rsidRDefault="0034465E">
            <w:pPr>
              <w:pStyle w:val="Compact"/>
              <w:keepNext/>
              <w:spacing w:before="20" w:after="20" w:line="360" w:lineRule="auto"/>
              <w:jc w:val="right"/>
            </w:pPr>
            <w:r>
              <w:rPr>
                <w:rFonts w:eastAsia="Times New Roman" w:cs="Times New Roman"/>
                <w:sz w:val="20"/>
              </w:rPr>
              <w:t>50</w:t>
            </w:r>
          </w:p>
        </w:tc>
        <w:tc>
          <w:tcPr>
            <w:tcW w:w="1644" w:type="dxa"/>
          </w:tcPr>
          <w:p w14:paraId="2CDFAE32" w14:textId="77777777" w:rsidR="00A50860" w:rsidRDefault="0034465E">
            <w:pPr>
              <w:pStyle w:val="Compact"/>
              <w:keepNext/>
              <w:spacing w:before="20" w:after="20" w:line="360" w:lineRule="auto"/>
              <w:jc w:val="right"/>
            </w:pPr>
            <w:r>
              <w:rPr>
                <w:rFonts w:eastAsia="Times New Roman" w:cs="Times New Roman"/>
                <w:sz w:val="20"/>
              </w:rPr>
              <w:t>1,25</w:t>
            </w:r>
          </w:p>
        </w:tc>
      </w:tr>
      <w:tr w:rsidR="00A50860" w14:paraId="6C7C2E8F" w14:textId="77777777" w:rsidTr="00A50860">
        <w:trPr>
          <w:cantSplit/>
          <w:jc w:val="center"/>
        </w:trPr>
        <w:tc>
          <w:tcPr>
            <w:tcW w:w="3628" w:type="dxa"/>
          </w:tcPr>
          <w:p w14:paraId="2426F59C" w14:textId="77777777" w:rsidR="00A50860" w:rsidRDefault="0034465E">
            <w:pPr>
              <w:pStyle w:val="Compact"/>
              <w:spacing w:before="20" w:after="20" w:line="360" w:lineRule="auto"/>
            </w:pPr>
            <w:r>
              <w:rPr>
                <w:rFonts w:eastAsia="Times New Roman" w:cs="Times New Roman"/>
                <w:sz w:val="20"/>
              </w:rPr>
              <w:t>Resíduo de engenho</w:t>
            </w:r>
          </w:p>
        </w:tc>
        <w:tc>
          <w:tcPr>
            <w:tcW w:w="2154" w:type="dxa"/>
          </w:tcPr>
          <w:p w14:paraId="05A9361F" w14:textId="77777777" w:rsidR="00A50860" w:rsidRDefault="0034465E">
            <w:pPr>
              <w:pStyle w:val="Compact"/>
              <w:spacing w:before="20" w:after="20" w:line="360" w:lineRule="auto"/>
            </w:pPr>
            <w:r>
              <w:rPr>
                <w:rFonts w:eastAsia="Times New Roman" w:cs="Times New Roman"/>
                <w:sz w:val="20"/>
              </w:rPr>
              <w:t>Baixa solubilidade</w:t>
            </w:r>
          </w:p>
        </w:tc>
        <w:tc>
          <w:tcPr>
            <w:tcW w:w="1644" w:type="dxa"/>
          </w:tcPr>
          <w:p w14:paraId="478DEB93" w14:textId="77777777" w:rsidR="00A50860" w:rsidRDefault="0034465E">
            <w:pPr>
              <w:pStyle w:val="Compact"/>
              <w:spacing w:before="20" w:after="20" w:line="360" w:lineRule="auto"/>
              <w:jc w:val="right"/>
            </w:pPr>
            <w:r>
              <w:rPr>
                <w:rFonts w:eastAsia="Times New Roman" w:cs="Times New Roman"/>
                <w:sz w:val="20"/>
              </w:rPr>
              <w:t>20</w:t>
            </w:r>
          </w:p>
        </w:tc>
        <w:tc>
          <w:tcPr>
            <w:tcW w:w="1644" w:type="dxa"/>
          </w:tcPr>
          <w:p w14:paraId="2A93359A" w14:textId="77777777" w:rsidR="00A50860" w:rsidRDefault="0034465E">
            <w:pPr>
              <w:pStyle w:val="Compact"/>
              <w:spacing w:before="20" w:after="20" w:line="360" w:lineRule="auto"/>
              <w:jc w:val="right"/>
            </w:pPr>
            <w:r>
              <w:rPr>
                <w:rFonts w:eastAsia="Times New Roman" w:cs="Times New Roman"/>
                <w:sz w:val="20"/>
              </w:rPr>
              <w:t>1,25</w:t>
            </w:r>
          </w:p>
        </w:tc>
      </w:tr>
    </w:tbl>
    <w:p w14:paraId="73130714" w14:textId="77777777" w:rsidR="00A50860" w:rsidRDefault="0034465E">
      <w:pPr>
        <w:pStyle w:val="FirstParagraph"/>
        <w:spacing w:before="0" w:after="120" w:line="360" w:lineRule="auto"/>
      </w:pPr>
      <w:r>
        <w:rPr>
          <w:rFonts w:eastAsia="Times New Roman" w:cs="Times New Roman"/>
          <w:sz w:val="20"/>
        </w:rPr>
        <w:t>Fonte: dados da pesquisa (2026).</w:t>
      </w:r>
    </w:p>
    <w:p w14:paraId="3C037018" w14:textId="77777777" w:rsidR="00A50860" w:rsidRDefault="0034465E">
      <w:pPr>
        <w:pStyle w:val="Corpodetexto"/>
        <w:keepNext/>
        <w:spacing w:before="120" w:after="60" w:line="360" w:lineRule="auto"/>
      </w:pPr>
      <w:r>
        <w:rPr>
          <w:rFonts w:eastAsia="Times New Roman" w:cs="Times New Roman"/>
          <w:b/>
        </w:rPr>
        <w:t>2.3 Implementação e arquitetura</w:t>
      </w:r>
    </w:p>
    <w:p w14:paraId="6AF01CDC" w14:textId="77777777" w:rsidR="00A50860" w:rsidRDefault="0034465E">
      <w:pPr>
        <w:pStyle w:val="Corpodetexto"/>
        <w:spacing w:before="0" w:after="0" w:line="360" w:lineRule="auto"/>
        <w:ind w:firstLine="567"/>
        <w:jc w:val="both"/>
      </w:pPr>
      <w:r>
        <w:rPr>
          <w:rFonts w:eastAsia="Times New Roman" w:cs="Times New Roman"/>
        </w:rPr>
        <w:t xml:space="preserve">O desenvolvimento seguiu princípios de engenharia de software, com separação entre cálculo, validação e interface (Sommerville, 2019). A página é um único arquivo HTML, com CSS e JavaScript no mesmo diretório, sem servidor e sem banco de dados. O aplicativo Android é empacotado em WebView e assinado por integração contínua, o que permite instalação e uso sem conexão. A ausência de backend mantém os dados no dispositivo e reduz a superfície de ataque. O código é versionado, e os testes são executados a cada </w:t>
      </w:r>
      <w:r>
        <w:rPr>
          <w:rFonts w:eastAsia="Times New Roman" w:cs="Times New Roman"/>
        </w:rPr>
        <w:t>alteração. A publicação da página ocorre em serviço de hospedagem estática, e o aplicativo é gerado em fluxo automatizado, com verificação de assinatura e de hash.</w:t>
      </w:r>
    </w:p>
    <w:p w14:paraId="18902374" w14:textId="77777777" w:rsidR="00A50860" w:rsidRDefault="0034465E">
      <w:pPr>
        <w:pStyle w:val="Corpodetexto"/>
        <w:keepNext/>
        <w:spacing w:before="120" w:after="60" w:line="360" w:lineRule="auto"/>
      </w:pPr>
      <w:r>
        <w:rPr>
          <w:rFonts w:eastAsia="Times New Roman" w:cs="Times New Roman"/>
          <w:b/>
        </w:rPr>
        <w:t>2.4 Validação de entradas e acessibilidade</w:t>
      </w:r>
    </w:p>
    <w:p w14:paraId="6CACD29C" w14:textId="77777777" w:rsidR="00A50860" w:rsidRDefault="0034465E">
      <w:pPr>
        <w:pStyle w:val="Corpodetexto"/>
        <w:spacing w:before="0" w:after="0" w:line="360" w:lineRule="auto"/>
        <w:ind w:firstLine="567"/>
        <w:jc w:val="both"/>
      </w:pPr>
      <w:r>
        <w:rPr>
          <w:rFonts w:eastAsia="Times New Roman" w:cs="Times New Roman"/>
        </w:rPr>
        <w:t>Nove campos numéricos recebem faixas de sanidade, limite de casas decimais e vírgula ou ponto como separador. As faixas adotadas são pH de 0 a 14; CEes de 0 a 50 dS m</w:t>
      </w:r>
      <w:r>
        <w:rPr>
          <w:rFonts w:eastAsia="Times New Roman" w:cs="Times New Roman"/>
          <w:vertAlign w:val="superscript"/>
        </w:rPr>
        <w:t>-1</w:t>
      </w:r>
      <w:r>
        <w:rPr>
          <w:rFonts w:eastAsia="Times New Roman" w:cs="Times New Roman"/>
        </w:rPr>
        <w:t>; CTC de 0,1 a 100 cmol</w:t>
      </w:r>
      <w:r>
        <w:rPr>
          <w:rFonts w:eastAsia="Times New Roman" w:cs="Times New Roman"/>
          <w:vertAlign w:val="subscript"/>
        </w:rPr>
        <w:t>c</w:t>
      </w:r>
      <w:r>
        <w:rPr>
          <w:rFonts w:eastAsia="Times New Roman" w:cs="Times New Roman"/>
        </w:rPr>
        <w:t xml:space="preserve"> kg</w:t>
      </w:r>
      <w:r>
        <w:rPr>
          <w:rFonts w:eastAsia="Times New Roman" w:cs="Times New Roman"/>
          <w:vertAlign w:val="superscript"/>
        </w:rPr>
        <w:t>-1</w:t>
      </w:r>
      <w:r>
        <w:rPr>
          <w:rFonts w:eastAsia="Times New Roman" w:cs="Times New Roman"/>
        </w:rPr>
        <w:t>; sódio de 0 a 100 cmol</w:t>
      </w:r>
      <w:r>
        <w:rPr>
          <w:rFonts w:eastAsia="Times New Roman" w:cs="Times New Roman"/>
          <w:vertAlign w:val="subscript"/>
        </w:rPr>
        <w:t>c</w:t>
      </w:r>
      <w:r>
        <w:rPr>
          <w:rFonts w:eastAsia="Times New Roman" w:cs="Times New Roman"/>
        </w:rPr>
        <w:t xml:space="preserve"> kg</w:t>
      </w:r>
      <w:r>
        <w:rPr>
          <w:rFonts w:eastAsia="Times New Roman" w:cs="Times New Roman"/>
          <w:vertAlign w:val="superscript"/>
        </w:rPr>
        <w:t>-1</w:t>
      </w:r>
      <w:r>
        <w:rPr>
          <w:rFonts w:eastAsia="Times New Roman" w:cs="Times New Roman"/>
        </w:rPr>
        <w:t>, limitado à CTC; CaCO</w:t>
      </w:r>
      <w:r>
        <w:rPr>
          <w:rFonts w:eastAsia="Times New Roman" w:cs="Times New Roman"/>
          <w:vertAlign w:val="subscript"/>
        </w:rPr>
        <w:t>3</w:t>
      </w:r>
      <w:r>
        <w:rPr>
          <w:rFonts w:eastAsia="Times New Roman" w:cs="Times New Roman"/>
        </w:rPr>
        <w:t xml:space="preserve"> de 0 a 100%; densidade de 0,10 a 3,00 g cm</w:t>
      </w:r>
      <w:r>
        <w:rPr>
          <w:rFonts w:eastAsia="Times New Roman" w:cs="Times New Roman"/>
          <w:vertAlign w:val="superscript"/>
        </w:rPr>
        <w:t>-3</w:t>
      </w:r>
      <w:r>
        <w:rPr>
          <w:rFonts w:eastAsia="Times New Roman" w:cs="Times New Roman"/>
        </w:rPr>
        <w:t>; profundidade de 1 a 300 cm; PST final de 0 a 100%; e área de 0,01 a 10.000 ha. O limite de casas decimais varia de zero a duas, conforme o campo. Letras, sinais e notação científica são recusados; a colagem é verificada; o sódio é comparado à CTC; a pureza é obrigatória e o preço é opcional. O aviso aparece durante a digitação e o resumo de erros indica campo, faixa e correção. A</w:t>
      </w:r>
      <w:r>
        <w:rPr>
          <w:rFonts w:eastAsia="Times New Roman" w:cs="Times New Roman"/>
        </w:rPr>
        <w:t xml:space="preserve"> interface foi construída com base na WCAG 2.1, com rótulos associados, foco visível, alvos de toque de 44 px, atributo aria-invalid e resumo de erros navegável (W3C, 2018).</w:t>
      </w:r>
    </w:p>
    <w:p w14:paraId="3D1890BA" w14:textId="77777777" w:rsidR="00A50860" w:rsidRDefault="0034465E">
      <w:pPr>
        <w:pStyle w:val="Corpodetexto"/>
        <w:keepNext/>
        <w:spacing w:before="120" w:after="60" w:line="360" w:lineRule="auto"/>
      </w:pPr>
      <w:r>
        <w:rPr>
          <w:rFonts w:eastAsia="Times New Roman" w:cs="Times New Roman"/>
          <w:b/>
        </w:rPr>
        <w:t>2.5 Verificação</w:t>
      </w:r>
    </w:p>
    <w:p w14:paraId="7274F254" w14:textId="77777777" w:rsidR="00A50860" w:rsidRDefault="0034465E">
      <w:pPr>
        <w:pStyle w:val="Corpodetexto"/>
        <w:spacing w:before="0" w:after="0" w:line="360" w:lineRule="auto"/>
        <w:ind w:firstLine="567"/>
        <w:jc w:val="both"/>
      </w:pPr>
      <w:r>
        <w:rPr>
          <w:rFonts w:eastAsia="Times New Roman" w:cs="Times New Roman"/>
        </w:rPr>
        <w:t>A verificação reúne 15 testes unitários, executados em Node.js, e 25 testes de navegador, executados em Playwright, que cobrem cálculo, validação, acessibilidade e layout. A auditoria Lighthouse compara a versão atual com a original. O protocolo de usabilidade, com oito tarefas e registro de conclusão, tempo, erros e ajuda, foi elaborado para aplicação com produtores e extensionistas, mas não foi aplicado nesta etapa.</w:t>
      </w:r>
    </w:p>
    <w:p w14:paraId="0B817AA7" w14:textId="77777777" w:rsidR="00A50860" w:rsidRDefault="0034465E">
      <w:pPr>
        <w:pStyle w:val="Corpodetexto"/>
        <w:keepNext/>
        <w:spacing w:before="120" w:after="60" w:line="360" w:lineRule="auto"/>
      </w:pPr>
      <w:r>
        <w:rPr>
          <w:rFonts w:eastAsia="Times New Roman" w:cs="Times New Roman"/>
          <w:b/>
        </w:rPr>
        <w:t>2.6 Caso demonstrativo</w:t>
      </w:r>
    </w:p>
    <w:p w14:paraId="014B0F25" w14:textId="77777777" w:rsidR="00A50860" w:rsidRDefault="0034465E">
      <w:pPr>
        <w:pStyle w:val="Corpodetexto"/>
        <w:spacing w:before="0" w:after="0" w:line="360" w:lineRule="auto"/>
        <w:ind w:firstLine="567"/>
        <w:jc w:val="both"/>
      </w:pPr>
      <w:r>
        <w:rPr>
          <w:rFonts w:eastAsia="Times New Roman" w:cs="Times New Roman"/>
        </w:rPr>
        <w:t>O caso demonstrativo adota pH 9,2; CEes 2,4 dS m</w:t>
      </w:r>
      <w:r>
        <w:rPr>
          <w:rFonts w:eastAsia="Times New Roman" w:cs="Times New Roman"/>
          <w:vertAlign w:val="superscript"/>
        </w:rPr>
        <w:t>-1</w:t>
      </w:r>
      <w:r>
        <w:rPr>
          <w:rFonts w:eastAsia="Times New Roman" w:cs="Times New Roman"/>
        </w:rPr>
        <w:t>; CTC 8,6 cmol</w:t>
      </w:r>
      <w:r>
        <w:rPr>
          <w:rFonts w:eastAsia="Times New Roman" w:cs="Times New Roman"/>
          <w:vertAlign w:val="subscript"/>
        </w:rPr>
        <w:t>c</w:t>
      </w:r>
      <w:r>
        <w:rPr>
          <w:rFonts w:eastAsia="Times New Roman" w:cs="Times New Roman"/>
        </w:rPr>
        <w:t xml:space="preserve"> kg</w:t>
      </w:r>
      <w:r>
        <w:rPr>
          <w:rFonts w:eastAsia="Times New Roman" w:cs="Times New Roman"/>
          <w:vertAlign w:val="superscript"/>
        </w:rPr>
        <w:t>-1</w:t>
      </w:r>
      <w:r>
        <w:rPr>
          <w:rFonts w:eastAsia="Times New Roman" w:cs="Times New Roman"/>
        </w:rPr>
        <w:t>; sódio trocável 7,0 cmol</w:t>
      </w:r>
      <w:r>
        <w:rPr>
          <w:rFonts w:eastAsia="Times New Roman" w:cs="Times New Roman"/>
          <w:vertAlign w:val="subscript"/>
        </w:rPr>
        <w:t>c</w:t>
      </w:r>
      <w:r>
        <w:rPr>
          <w:rFonts w:eastAsia="Times New Roman" w:cs="Times New Roman"/>
        </w:rPr>
        <w:t xml:space="preserve"> kg</w:t>
      </w:r>
      <w:r>
        <w:rPr>
          <w:rFonts w:eastAsia="Times New Roman" w:cs="Times New Roman"/>
          <w:vertAlign w:val="superscript"/>
        </w:rPr>
        <w:t>-1</w:t>
      </w:r>
      <w:r>
        <w:rPr>
          <w:rFonts w:eastAsia="Times New Roman" w:cs="Times New Roman"/>
        </w:rPr>
        <w:t>; CaCO</w:t>
      </w:r>
      <w:r>
        <w:rPr>
          <w:rFonts w:eastAsia="Times New Roman" w:cs="Times New Roman"/>
          <w:vertAlign w:val="subscript"/>
        </w:rPr>
        <w:t>3</w:t>
      </w:r>
      <w:r>
        <w:rPr>
          <w:rFonts w:eastAsia="Times New Roman" w:cs="Times New Roman"/>
        </w:rPr>
        <w:t xml:space="preserve"> 1,5%; densidade 1,40 g cm</w:t>
      </w:r>
      <w:r>
        <w:rPr>
          <w:rFonts w:eastAsia="Times New Roman" w:cs="Times New Roman"/>
          <w:vertAlign w:val="superscript"/>
        </w:rPr>
        <w:t>-3</w:t>
      </w:r>
      <w:r>
        <w:rPr>
          <w:rFonts w:eastAsia="Times New Roman" w:cs="Times New Roman"/>
        </w:rPr>
        <w:t>; profundidade 60 cm; meta de PST 10% e área de 1 ha. Os preços de exemplo foram cotados em outubro de 2026, sem frete.</w:t>
      </w:r>
    </w:p>
    <w:p w14:paraId="3790B3F1" w14:textId="77777777" w:rsidR="00A50860" w:rsidRDefault="0034465E">
      <w:pPr>
        <w:pStyle w:val="Corpodetexto"/>
        <w:keepNext/>
        <w:spacing w:before="240" w:after="120" w:line="360" w:lineRule="auto"/>
        <w:jc w:val="center"/>
      </w:pPr>
      <w:r>
        <w:rPr>
          <w:rFonts w:eastAsia="Times New Roman" w:cs="Times New Roman"/>
          <w:b/>
        </w:rPr>
        <w:t>3 Resultados e Discussão</w:t>
      </w:r>
    </w:p>
    <w:p w14:paraId="4553F28D" w14:textId="77777777" w:rsidR="00A50860" w:rsidRDefault="0034465E">
      <w:pPr>
        <w:pStyle w:val="Corpodetexto"/>
        <w:keepNext/>
        <w:spacing w:before="120" w:after="60" w:line="360" w:lineRule="auto"/>
      </w:pPr>
      <w:r>
        <w:rPr>
          <w:rFonts w:eastAsia="Times New Roman" w:cs="Times New Roman"/>
          <w:b/>
        </w:rPr>
        <w:t>3.1 Diagnóstico</w:t>
      </w:r>
    </w:p>
    <w:p w14:paraId="408CF3E6" w14:textId="77777777" w:rsidR="00A50860" w:rsidRDefault="0034465E">
      <w:pPr>
        <w:pStyle w:val="Corpodetexto"/>
        <w:spacing w:before="0" w:after="0" w:line="360" w:lineRule="auto"/>
        <w:ind w:firstLine="567"/>
        <w:jc w:val="both"/>
      </w:pPr>
      <w:r>
        <w:rPr>
          <w:rFonts w:eastAsia="Times New Roman" w:cs="Times New Roman"/>
        </w:rPr>
        <w:t>A PST inicial resulta em 81,4%, com déficit de 71,4 pontos percentuais, e o solo é classificado como sódico, pois a CEes é inferior a 4 dS m</w:t>
      </w:r>
      <w:r>
        <w:rPr>
          <w:rFonts w:eastAsia="Times New Roman" w:cs="Times New Roman"/>
          <w:vertAlign w:val="superscript"/>
        </w:rPr>
        <w:t>-1</w:t>
      </w:r>
      <w:r>
        <w:rPr>
          <w:rFonts w:eastAsia="Times New Roman" w:cs="Times New Roman"/>
        </w:rPr>
        <w:t>. O valor é alto e indica necessidade de correção e de manejo da lixiviação. A ausência de salinidade não reduz a gravidade da sodificação, porque a dispersão da argila depende do sódio trocável e não da concentração total de sais. O resultado é coerente com a literatura, que associa PST elevada à perda de estabilidade estrutural e à redução da condutividade hidráulica (Richards, 1954).</w:t>
      </w:r>
    </w:p>
    <w:p w14:paraId="7A758EE0" w14:textId="77777777" w:rsidR="00A50860" w:rsidRDefault="0034465E">
      <w:pPr>
        <w:pStyle w:val="Corpodetexto"/>
        <w:keepNext/>
        <w:spacing w:before="120" w:after="60" w:line="360" w:lineRule="auto"/>
      </w:pPr>
      <w:r>
        <w:rPr>
          <w:rFonts w:eastAsia="Times New Roman" w:cs="Times New Roman"/>
          <w:b/>
        </w:rPr>
        <w:t>3.2 Doses e custos</w:t>
      </w:r>
    </w:p>
    <w:p w14:paraId="0AF71CCB" w14:textId="77777777" w:rsidR="00A50860" w:rsidRDefault="0034465E">
      <w:pPr>
        <w:pStyle w:val="Corpodetexto"/>
        <w:spacing w:before="0" w:after="0" w:line="360" w:lineRule="auto"/>
        <w:ind w:firstLine="567"/>
        <w:jc w:val="both"/>
      </w:pPr>
      <w:r>
        <w:rPr>
          <w:rFonts w:eastAsia="Times New Roman" w:cs="Times New Roman"/>
        </w:rPr>
        <w:t>A Tabela 2 apresenta as doses e os custos dos três corretivos avaliados.</w:t>
      </w:r>
    </w:p>
    <w:p w14:paraId="45183D23" w14:textId="77777777" w:rsidR="00A50860" w:rsidRDefault="0034465E">
      <w:pPr>
        <w:pStyle w:val="Corpodetexto"/>
        <w:keepNext/>
        <w:spacing w:before="120" w:after="60" w:line="360" w:lineRule="auto"/>
        <w:jc w:val="center"/>
      </w:pPr>
      <w:r>
        <w:rPr>
          <w:rFonts w:eastAsia="Times New Roman" w:cs="Times New Roman"/>
          <w:b/>
          <w:sz w:val="20"/>
        </w:rPr>
        <w:t>Tabela 2</w:t>
      </w:r>
      <w:r>
        <w:rPr>
          <w:rFonts w:eastAsia="Times New Roman" w:cs="Times New Roman"/>
          <w:sz w:val="20"/>
        </w:rPr>
        <w:t xml:space="preserve"> - Doses teórica (DT), prática (DP) e comercial (DC), em kg/ha, e custos por hectare e total, em R$, no caso demonstrativo</w:t>
      </w:r>
    </w:p>
    <w:tbl>
      <w:tblPr>
        <w:tblStyle w:val="Table"/>
        <w:tblW w:w="9070" w:type="dxa"/>
        <w:jc w:val="center"/>
        <w:tblBorders>
          <w:top w:val="single" w:sz="8" w:space="0" w:color="000000"/>
          <w:left w:val="nil"/>
          <w:bottom w:val="single" w:sz="8" w:space="0" w:color="000000"/>
          <w:right w:val="nil"/>
          <w:insideH w:val="single" w:sz="4" w:space="0" w:color="000000"/>
          <w:insideV w:val="nil"/>
        </w:tblBorders>
        <w:tblLayout w:type="fixed"/>
        <w:tblLook w:val="0020" w:firstRow="1" w:lastRow="0" w:firstColumn="0" w:lastColumn="0" w:noHBand="0" w:noVBand="0"/>
      </w:tblPr>
      <w:tblGrid>
        <w:gridCol w:w="1701"/>
        <w:gridCol w:w="1928"/>
        <w:gridCol w:w="1020"/>
        <w:gridCol w:w="1020"/>
        <w:gridCol w:w="1020"/>
        <w:gridCol w:w="1134"/>
        <w:gridCol w:w="1247"/>
      </w:tblGrid>
      <w:tr w:rsidR="00A50860" w14:paraId="0B626949" w14:textId="77777777" w:rsidTr="00A50860">
        <w:trPr>
          <w:cnfStyle w:val="100000000000" w:firstRow="1" w:lastRow="0" w:firstColumn="0" w:lastColumn="0" w:oddVBand="0" w:evenVBand="0" w:oddHBand="0" w:evenHBand="0" w:firstRowFirstColumn="0" w:firstRowLastColumn="0" w:lastRowFirstColumn="0" w:lastRowLastColumn="0"/>
          <w:cantSplit/>
          <w:tblHeader/>
          <w:jc w:val="center"/>
        </w:trPr>
        <w:tc>
          <w:tcPr>
            <w:tcW w:w="1701" w:type="dxa"/>
          </w:tcPr>
          <w:p w14:paraId="4DEE33B1" w14:textId="77777777" w:rsidR="00A50860" w:rsidRDefault="0034465E">
            <w:pPr>
              <w:pStyle w:val="Compact"/>
              <w:keepNext/>
              <w:spacing w:before="20" w:after="20" w:line="360" w:lineRule="auto"/>
              <w:jc w:val="center"/>
            </w:pPr>
            <w:r>
              <w:rPr>
                <w:rFonts w:eastAsia="Times New Roman" w:cs="Times New Roman"/>
                <w:b/>
                <w:sz w:val="20"/>
              </w:rPr>
              <w:t>Corretivo</w:t>
            </w:r>
          </w:p>
        </w:tc>
        <w:tc>
          <w:tcPr>
            <w:tcW w:w="1928" w:type="dxa"/>
          </w:tcPr>
          <w:p w14:paraId="4641EE2F" w14:textId="77777777" w:rsidR="00A50860" w:rsidRDefault="0034465E">
            <w:pPr>
              <w:pStyle w:val="Compact"/>
              <w:keepNext/>
              <w:spacing w:before="20" w:after="20" w:line="360" w:lineRule="auto"/>
              <w:jc w:val="center"/>
            </w:pPr>
            <w:r>
              <w:rPr>
                <w:rFonts w:eastAsia="Times New Roman" w:cs="Times New Roman"/>
                <w:b/>
                <w:sz w:val="20"/>
              </w:rPr>
              <w:t>Adequação</w:t>
            </w:r>
          </w:p>
        </w:tc>
        <w:tc>
          <w:tcPr>
            <w:tcW w:w="1020" w:type="dxa"/>
          </w:tcPr>
          <w:p w14:paraId="6A5B5597" w14:textId="77777777" w:rsidR="00A50860" w:rsidRDefault="0034465E">
            <w:pPr>
              <w:pStyle w:val="Compact"/>
              <w:keepNext/>
              <w:spacing w:before="20" w:after="20" w:line="360" w:lineRule="auto"/>
              <w:jc w:val="center"/>
            </w:pPr>
            <w:r>
              <w:rPr>
                <w:rFonts w:eastAsia="Times New Roman" w:cs="Times New Roman"/>
                <w:b/>
                <w:sz w:val="20"/>
              </w:rPr>
              <w:t>DT</w:t>
            </w:r>
          </w:p>
        </w:tc>
        <w:tc>
          <w:tcPr>
            <w:tcW w:w="1020" w:type="dxa"/>
          </w:tcPr>
          <w:p w14:paraId="4CEF7DDC" w14:textId="77777777" w:rsidR="00A50860" w:rsidRDefault="0034465E">
            <w:pPr>
              <w:pStyle w:val="Compact"/>
              <w:keepNext/>
              <w:spacing w:before="20" w:after="20" w:line="360" w:lineRule="auto"/>
              <w:jc w:val="center"/>
            </w:pPr>
            <w:r>
              <w:rPr>
                <w:rFonts w:eastAsia="Times New Roman" w:cs="Times New Roman"/>
                <w:b/>
                <w:sz w:val="20"/>
              </w:rPr>
              <w:t>DP</w:t>
            </w:r>
          </w:p>
        </w:tc>
        <w:tc>
          <w:tcPr>
            <w:tcW w:w="1020" w:type="dxa"/>
          </w:tcPr>
          <w:p w14:paraId="1ABC525E" w14:textId="77777777" w:rsidR="00A50860" w:rsidRDefault="0034465E">
            <w:pPr>
              <w:pStyle w:val="Compact"/>
              <w:keepNext/>
              <w:spacing w:before="20" w:after="20" w:line="360" w:lineRule="auto"/>
              <w:jc w:val="center"/>
            </w:pPr>
            <w:r>
              <w:rPr>
                <w:rFonts w:eastAsia="Times New Roman" w:cs="Times New Roman"/>
                <w:b/>
                <w:sz w:val="20"/>
              </w:rPr>
              <w:t>DC</w:t>
            </w:r>
          </w:p>
        </w:tc>
        <w:tc>
          <w:tcPr>
            <w:tcW w:w="1134" w:type="dxa"/>
          </w:tcPr>
          <w:p w14:paraId="45B093C6" w14:textId="77777777" w:rsidR="00A50860" w:rsidRDefault="0034465E">
            <w:pPr>
              <w:pStyle w:val="Compact"/>
              <w:keepNext/>
              <w:spacing w:before="20" w:after="20" w:line="360" w:lineRule="auto"/>
              <w:jc w:val="center"/>
            </w:pPr>
            <w:r>
              <w:rPr>
                <w:rFonts w:eastAsia="Times New Roman" w:cs="Times New Roman"/>
                <w:b/>
                <w:sz w:val="20"/>
              </w:rPr>
              <w:t>Custo/ha</w:t>
            </w:r>
          </w:p>
        </w:tc>
        <w:tc>
          <w:tcPr>
            <w:tcW w:w="1247" w:type="dxa"/>
          </w:tcPr>
          <w:p w14:paraId="2221F28A" w14:textId="77777777" w:rsidR="00A50860" w:rsidRDefault="0034465E">
            <w:pPr>
              <w:pStyle w:val="Compact"/>
              <w:keepNext/>
              <w:spacing w:before="20" w:after="20" w:line="360" w:lineRule="auto"/>
              <w:jc w:val="center"/>
            </w:pPr>
            <w:r>
              <w:rPr>
                <w:rFonts w:eastAsia="Times New Roman" w:cs="Times New Roman"/>
                <w:b/>
                <w:sz w:val="20"/>
              </w:rPr>
              <w:t>Total</w:t>
            </w:r>
          </w:p>
        </w:tc>
      </w:tr>
      <w:tr w:rsidR="00A50860" w14:paraId="63976979" w14:textId="77777777" w:rsidTr="00A50860">
        <w:trPr>
          <w:cantSplit/>
          <w:jc w:val="center"/>
        </w:trPr>
        <w:tc>
          <w:tcPr>
            <w:tcW w:w="1701" w:type="dxa"/>
          </w:tcPr>
          <w:p w14:paraId="596DBE21" w14:textId="77777777" w:rsidR="00A50860" w:rsidRDefault="0034465E">
            <w:pPr>
              <w:pStyle w:val="Compact"/>
              <w:keepNext/>
              <w:spacing w:before="20" w:after="20" w:line="360" w:lineRule="auto"/>
            </w:pPr>
            <w:r>
              <w:rPr>
                <w:rFonts w:eastAsia="Times New Roman" w:cs="Times New Roman"/>
                <w:sz w:val="20"/>
              </w:rPr>
              <w:t>Gesso agrícola</w:t>
            </w:r>
          </w:p>
        </w:tc>
        <w:tc>
          <w:tcPr>
            <w:tcW w:w="1928" w:type="dxa"/>
          </w:tcPr>
          <w:p w14:paraId="6223E30F" w14:textId="77777777" w:rsidR="00A50860" w:rsidRDefault="0034465E">
            <w:pPr>
              <w:pStyle w:val="Compact"/>
              <w:keepNext/>
              <w:spacing w:before="20" w:after="20" w:line="360" w:lineRule="auto"/>
            </w:pPr>
            <w:r>
              <w:rPr>
                <w:rFonts w:eastAsia="Times New Roman" w:cs="Times New Roman"/>
                <w:sz w:val="20"/>
              </w:rPr>
              <w:t>Potencialmente adequado</w:t>
            </w:r>
          </w:p>
        </w:tc>
        <w:tc>
          <w:tcPr>
            <w:tcW w:w="1020" w:type="dxa"/>
          </w:tcPr>
          <w:p w14:paraId="15CAA5F2" w14:textId="77777777" w:rsidR="00A50860" w:rsidRDefault="0034465E">
            <w:pPr>
              <w:pStyle w:val="Compact"/>
              <w:keepNext/>
              <w:spacing w:before="20" w:after="20" w:line="360" w:lineRule="auto"/>
              <w:jc w:val="right"/>
            </w:pPr>
            <w:r>
              <w:rPr>
                <w:rFonts w:eastAsia="Times New Roman" w:cs="Times New Roman"/>
                <w:sz w:val="20"/>
              </w:rPr>
              <w:t>44.355,36</w:t>
            </w:r>
          </w:p>
        </w:tc>
        <w:tc>
          <w:tcPr>
            <w:tcW w:w="1020" w:type="dxa"/>
          </w:tcPr>
          <w:p w14:paraId="1A4CF32F" w14:textId="77777777" w:rsidR="00A50860" w:rsidRDefault="0034465E">
            <w:pPr>
              <w:pStyle w:val="Compact"/>
              <w:keepNext/>
              <w:spacing w:before="20" w:after="20" w:line="360" w:lineRule="auto"/>
              <w:jc w:val="right"/>
            </w:pPr>
            <w:r>
              <w:rPr>
                <w:rFonts w:eastAsia="Times New Roman" w:cs="Times New Roman"/>
                <w:sz w:val="20"/>
              </w:rPr>
              <w:t>55.444,20</w:t>
            </w:r>
          </w:p>
        </w:tc>
        <w:tc>
          <w:tcPr>
            <w:tcW w:w="1020" w:type="dxa"/>
          </w:tcPr>
          <w:p w14:paraId="151A0361" w14:textId="77777777" w:rsidR="00A50860" w:rsidRDefault="0034465E">
            <w:pPr>
              <w:pStyle w:val="Compact"/>
              <w:keepNext/>
              <w:spacing w:before="20" w:after="20" w:line="360" w:lineRule="auto"/>
              <w:jc w:val="right"/>
            </w:pPr>
            <w:r>
              <w:rPr>
                <w:rFonts w:eastAsia="Times New Roman" w:cs="Times New Roman"/>
                <w:sz w:val="20"/>
              </w:rPr>
              <w:t>69.305,25</w:t>
            </w:r>
          </w:p>
        </w:tc>
        <w:tc>
          <w:tcPr>
            <w:tcW w:w="1134" w:type="dxa"/>
          </w:tcPr>
          <w:p w14:paraId="220067A6" w14:textId="77777777" w:rsidR="00A50860" w:rsidRDefault="0034465E">
            <w:pPr>
              <w:pStyle w:val="Compact"/>
              <w:keepNext/>
              <w:spacing w:before="20" w:after="20" w:line="360" w:lineRule="auto"/>
              <w:jc w:val="right"/>
            </w:pPr>
            <w:r>
              <w:rPr>
                <w:rFonts w:eastAsia="Times New Roman" w:cs="Times New Roman"/>
                <w:sz w:val="20"/>
              </w:rPr>
              <w:t>29.454,73</w:t>
            </w:r>
          </w:p>
        </w:tc>
        <w:tc>
          <w:tcPr>
            <w:tcW w:w="1247" w:type="dxa"/>
          </w:tcPr>
          <w:p w14:paraId="049502C1" w14:textId="77777777" w:rsidR="00A50860" w:rsidRDefault="0034465E">
            <w:pPr>
              <w:pStyle w:val="Compact"/>
              <w:keepNext/>
              <w:spacing w:before="20" w:after="20" w:line="360" w:lineRule="auto"/>
              <w:jc w:val="right"/>
            </w:pPr>
            <w:r>
              <w:rPr>
                <w:rFonts w:eastAsia="Times New Roman" w:cs="Times New Roman"/>
                <w:sz w:val="20"/>
              </w:rPr>
              <w:t>29.454,73</w:t>
            </w:r>
          </w:p>
        </w:tc>
      </w:tr>
      <w:tr w:rsidR="00A50860" w14:paraId="3BCBA550" w14:textId="77777777" w:rsidTr="00A50860">
        <w:trPr>
          <w:cantSplit/>
          <w:jc w:val="center"/>
        </w:trPr>
        <w:tc>
          <w:tcPr>
            <w:tcW w:w="1701" w:type="dxa"/>
          </w:tcPr>
          <w:p w14:paraId="42B62C1C" w14:textId="77777777" w:rsidR="00A50860" w:rsidRDefault="0034465E">
            <w:pPr>
              <w:pStyle w:val="Compact"/>
              <w:keepNext/>
              <w:spacing w:before="20" w:after="20" w:line="360" w:lineRule="auto"/>
            </w:pPr>
            <w:r>
              <w:rPr>
                <w:rFonts w:eastAsia="Times New Roman" w:cs="Times New Roman"/>
                <w:sz w:val="20"/>
              </w:rPr>
              <w:t>Enxofre elementar</w:t>
            </w:r>
          </w:p>
        </w:tc>
        <w:tc>
          <w:tcPr>
            <w:tcW w:w="1928" w:type="dxa"/>
          </w:tcPr>
          <w:p w14:paraId="61C71040" w14:textId="77777777" w:rsidR="00A50860" w:rsidRDefault="0034465E">
            <w:pPr>
              <w:pStyle w:val="Compact"/>
              <w:keepNext/>
              <w:spacing w:before="20" w:after="20" w:line="360" w:lineRule="auto"/>
            </w:pPr>
            <w:r>
              <w:rPr>
                <w:rFonts w:eastAsia="Times New Roman" w:cs="Times New Roman"/>
                <w:sz w:val="20"/>
              </w:rPr>
              <w:t>Adequado com carbonatos</w:t>
            </w:r>
          </w:p>
        </w:tc>
        <w:tc>
          <w:tcPr>
            <w:tcW w:w="1020" w:type="dxa"/>
          </w:tcPr>
          <w:p w14:paraId="2CC75E8A" w14:textId="77777777" w:rsidR="00A50860" w:rsidRDefault="0034465E">
            <w:pPr>
              <w:pStyle w:val="Compact"/>
              <w:keepNext/>
              <w:spacing w:before="20" w:after="20" w:line="360" w:lineRule="auto"/>
              <w:jc w:val="right"/>
            </w:pPr>
            <w:r>
              <w:rPr>
                <w:rFonts w:eastAsia="Times New Roman" w:cs="Times New Roman"/>
                <w:sz w:val="20"/>
              </w:rPr>
              <w:t>8.252,16</w:t>
            </w:r>
          </w:p>
        </w:tc>
        <w:tc>
          <w:tcPr>
            <w:tcW w:w="1020" w:type="dxa"/>
          </w:tcPr>
          <w:p w14:paraId="77828E33" w14:textId="77777777" w:rsidR="00A50860" w:rsidRDefault="0034465E">
            <w:pPr>
              <w:pStyle w:val="Compact"/>
              <w:keepNext/>
              <w:spacing w:before="20" w:after="20" w:line="360" w:lineRule="auto"/>
              <w:jc w:val="right"/>
            </w:pPr>
            <w:r>
              <w:rPr>
                <w:rFonts w:eastAsia="Times New Roman" w:cs="Times New Roman"/>
                <w:sz w:val="20"/>
              </w:rPr>
              <w:t>10.315,20</w:t>
            </w:r>
          </w:p>
        </w:tc>
        <w:tc>
          <w:tcPr>
            <w:tcW w:w="1020" w:type="dxa"/>
          </w:tcPr>
          <w:p w14:paraId="669631F6" w14:textId="77777777" w:rsidR="00A50860" w:rsidRDefault="0034465E">
            <w:pPr>
              <w:pStyle w:val="Compact"/>
              <w:keepNext/>
              <w:spacing w:before="20" w:after="20" w:line="360" w:lineRule="auto"/>
              <w:jc w:val="right"/>
            </w:pPr>
            <w:r>
              <w:rPr>
                <w:rFonts w:eastAsia="Times New Roman" w:cs="Times New Roman"/>
                <w:sz w:val="20"/>
              </w:rPr>
              <w:t>10.858,11</w:t>
            </w:r>
          </w:p>
        </w:tc>
        <w:tc>
          <w:tcPr>
            <w:tcW w:w="1134" w:type="dxa"/>
          </w:tcPr>
          <w:p w14:paraId="2B0798E3" w14:textId="77777777" w:rsidR="00A50860" w:rsidRDefault="0034465E">
            <w:pPr>
              <w:pStyle w:val="Compact"/>
              <w:keepNext/>
              <w:spacing w:before="20" w:after="20" w:line="360" w:lineRule="auto"/>
              <w:jc w:val="right"/>
            </w:pPr>
            <w:r>
              <w:rPr>
                <w:rFonts w:eastAsia="Times New Roman" w:cs="Times New Roman"/>
                <w:sz w:val="20"/>
              </w:rPr>
              <w:t>67.320,25</w:t>
            </w:r>
          </w:p>
        </w:tc>
        <w:tc>
          <w:tcPr>
            <w:tcW w:w="1247" w:type="dxa"/>
          </w:tcPr>
          <w:p w14:paraId="5D81133B" w14:textId="77777777" w:rsidR="00A50860" w:rsidRDefault="0034465E">
            <w:pPr>
              <w:pStyle w:val="Compact"/>
              <w:keepNext/>
              <w:spacing w:before="20" w:after="20" w:line="360" w:lineRule="auto"/>
              <w:jc w:val="right"/>
            </w:pPr>
            <w:r>
              <w:rPr>
                <w:rFonts w:eastAsia="Times New Roman" w:cs="Times New Roman"/>
                <w:sz w:val="20"/>
              </w:rPr>
              <w:t>67.320,25</w:t>
            </w:r>
          </w:p>
        </w:tc>
      </w:tr>
      <w:tr w:rsidR="00A50860" w14:paraId="4B0AC96B" w14:textId="77777777" w:rsidTr="00A50860">
        <w:trPr>
          <w:cantSplit/>
          <w:jc w:val="center"/>
        </w:trPr>
        <w:tc>
          <w:tcPr>
            <w:tcW w:w="1701" w:type="dxa"/>
          </w:tcPr>
          <w:p w14:paraId="0E91B09A" w14:textId="77777777" w:rsidR="00A50860" w:rsidRDefault="0034465E">
            <w:pPr>
              <w:pStyle w:val="Compact"/>
              <w:spacing w:before="20" w:after="20" w:line="360" w:lineRule="auto"/>
            </w:pPr>
            <w:r>
              <w:rPr>
                <w:rFonts w:eastAsia="Times New Roman" w:cs="Times New Roman"/>
                <w:sz w:val="20"/>
              </w:rPr>
              <w:t>Calcário</w:t>
            </w:r>
          </w:p>
        </w:tc>
        <w:tc>
          <w:tcPr>
            <w:tcW w:w="1928" w:type="dxa"/>
          </w:tcPr>
          <w:p w14:paraId="0630C2D0" w14:textId="77777777" w:rsidR="00A50860" w:rsidRDefault="0034465E">
            <w:pPr>
              <w:pStyle w:val="Compact"/>
              <w:spacing w:before="20" w:after="20" w:line="360" w:lineRule="auto"/>
            </w:pPr>
            <w:r>
              <w:rPr>
                <w:rFonts w:eastAsia="Times New Roman" w:cs="Times New Roman"/>
                <w:sz w:val="20"/>
              </w:rPr>
              <w:t>Baixa prioridade</w:t>
            </w:r>
          </w:p>
        </w:tc>
        <w:tc>
          <w:tcPr>
            <w:tcW w:w="1020" w:type="dxa"/>
          </w:tcPr>
          <w:p w14:paraId="17AE6840" w14:textId="77777777" w:rsidR="00A50860" w:rsidRDefault="0034465E">
            <w:pPr>
              <w:pStyle w:val="Compact"/>
              <w:spacing w:before="20" w:after="20" w:line="360" w:lineRule="auto"/>
              <w:jc w:val="right"/>
            </w:pPr>
            <w:r>
              <w:rPr>
                <w:rFonts w:eastAsia="Times New Roman" w:cs="Times New Roman"/>
                <w:sz w:val="20"/>
              </w:rPr>
              <w:t>25.788,00</w:t>
            </w:r>
          </w:p>
        </w:tc>
        <w:tc>
          <w:tcPr>
            <w:tcW w:w="1020" w:type="dxa"/>
          </w:tcPr>
          <w:p w14:paraId="18E22C0E" w14:textId="77777777" w:rsidR="00A50860" w:rsidRDefault="0034465E">
            <w:pPr>
              <w:pStyle w:val="Compact"/>
              <w:spacing w:before="20" w:after="20" w:line="360" w:lineRule="auto"/>
              <w:jc w:val="right"/>
            </w:pPr>
            <w:r>
              <w:rPr>
                <w:rFonts w:eastAsia="Times New Roman" w:cs="Times New Roman"/>
                <w:sz w:val="20"/>
              </w:rPr>
              <w:t>32.235,00</w:t>
            </w:r>
          </w:p>
        </w:tc>
        <w:tc>
          <w:tcPr>
            <w:tcW w:w="1020" w:type="dxa"/>
          </w:tcPr>
          <w:p w14:paraId="37C0CF88" w14:textId="77777777" w:rsidR="00A50860" w:rsidRDefault="0034465E">
            <w:pPr>
              <w:pStyle w:val="Compact"/>
              <w:spacing w:before="20" w:after="20" w:line="360" w:lineRule="auto"/>
              <w:jc w:val="right"/>
            </w:pPr>
            <w:r>
              <w:rPr>
                <w:rFonts w:eastAsia="Times New Roman" w:cs="Times New Roman"/>
                <w:sz w:val="20"/>
              </w:rPr>
              <w:t>32.235,00</w:t>
            </w:r>
          </w:p>
        </w:tc>
        <w:tc>
          <w:tcPr>
            <w:tcW w:w="1134" w:type="dxa"/>
          </w:tcPr>
          <w:p w14:paraId="7AE661F4" w14:textId="77777777" w:rsidR="00A50860" w:rsidRDefault="0034465E">
            <w:pPr>
              <w:pStyle w:val="Compact"/>
              <w:spacing w:before="20" w:after="20" w:line="360" w:lineRule="auto"/>
              <w:jc w:val="right"/>
            </w:pPr>
            <w:r>
              <w:rPr>
                <w:rFonts w:eastAsia="Times New Roman" w:cs="Times New Roman"/>
                <w:sz w:val="20"/>
              </w:rPr>
              <w:t>8.767,92</w:t>
            </w:r>
          </w:p>
        </w:tc>
        <w:tc>
          <w:tcPr>
            <w:tcW w:w="1247" w:type="dxa"/>
          </w:tcPr>
          <w:p w14:paraId="7348CDC4" w14:textId="77777777" w:rsidR="00A50860" w:rsidRDefault="0034465E">
            <w:pPr>
              <w:pStyle w:val="Compact"/>
              <w:spacing w:before="20" w:after="20" w:line="360" w:lineRule="auto"/>
              <w:jc w:val="right"/>
            </w:pPr>
            <w:r>
              <w:rPr>
                <w:rFonts w:eastAsia="Times New Roman" w:cs="Times New Roman"/>
                <w:sz w:val="20"/>
              </w:rPr>
              <w:t>8.767,92</w:t>
            </w:r>
          </w:p>
        </w:tc>
      </w:tr>
    </w:tbl>
    <w:p w14:paraId="77DDF964" w14:textId="77777777" w:rsidR="00A50860" w:rsidRDefault="0034465E">
      <w:pPr>
        <w:pStyle w:val="FirstParagraph"/>
        <w:spacing w:before="0" w:after="120" w:line="360" w:lineRule="auto"/>
      </w:pPr>
      <w:r>
        <w:rPr>
          <w:rFonts w:eastAsia="Times New Roman" w:cs="Times New Roman"/>
          <w:sz w:val="20"/>
        </w:rPr>
        <w:t>Fonte: dados da pesquisa (2026).</w:t>
      </w:r>
    </w:p>
    <w:p w14:paraId="19B56445" w14:textId="77777777" w:rsidR="00A50860" w:rsidRDefault="0034465E">
      <w:pPr>
        <w:pStyle w:val="Corpodetexto"/>
        <w:spacing w:before="0" w:after="0" w:line="360" w:lineRule="auto"/>
        <w:ind w:firstLine="567"/>
        <w:jc w:val="both"/>
      </w:pPr>
      <w:r>
        <w:rPr>
          <w:rFonts w:eastAsia="Times New Roman" w:cs="Times New Roman"/>
        </w:rPr>
        <w:t>O gesso exige 69.305,25 kg/ha e custa R$ 29.454,73/ha; o enxofre, 10.858,11 kg/ha e R$ 67.320,25/ha; o calcário, 32.235,00 kg/ha e R$ 8.767,92/ha. O calcário tem o menor custo, mas recebe baixa prioridade pela baixa solubilidade em pH 9,2 com carbonatos, e não participa da indicação de menor custo. A exclusão evita a escolha de insumo tecnicamente inadequado. O gesso custa menos da metade do enxofre, o que é coerente com a literatura, que indica o gesso como corretivo de uso corrente na recuperação de solos</w:t>
      </w:r>
      <w:r>
        <w:rPr>
          <w:rFonts w:eastAsia="Times New Roman" w:cs="Times New Roman"/>
        </w:rPr>
        <w:t xml:space="preserve"> sódicos (Leite et al., 2010; Cavalcanti et al., 2018; Mandal, 2023). O enxofre elementar, embora eficiente, depende da oxidação microbiana e apresenta custo elevado.</w:t>
      </w:r>
    </w:p>
    <w:p w14:paraId="5ED4771E" w14:textId="77777777" w:rsidR="00A50860" w:rsidRDefault="0034465E">
      <w:pPr>
        <w:pStyle w:val="Corpodetexto"/>
        <w:spacing w:before="0" w:after="0" w:line="360" w:lineRule="auto"/>
        <w:ind w:firstLine="567"/>
        <w:jc w:val="both"/>
      </w:pPr>
      <w:r>
        <w:rPr>
          <w:rFonts w:eastAsia="Times New Roman" w:cs="Times New Roman"/>
        </w:rPr>
        <w:t>A dose de gesso é elevada e decorre da combinação de PST inicial de 81,4%, meta de 10% e profundidade de 60 cm. A dose é proporcional ao déficit e à massa de solo corrigida; a redução da profundidade para 30 cm, mantidas as demais condições, reduziria a dose comercial pela metade. A pureza também altera o resultado: com pureza de 60%, a dose comercial do gesso passaria de 69,3 t/ha para 92,4 t/ha.</w:t>
      </w:r>
    </w:p>
    <w:p w14:paraId="17EAA1C0" w14:textId="77777777" w:rsidR="00A50860" w:rsidRDefault="0034465E">
      <w:pPr>
        <w:pStyle w:val="Corpodetexto"/>
        <w:spacing w:before="0" w:after="0" w:line="360" w:lineRule="auto"/>
        <w:ind w:firstLine="567"/>
        <w:jc w:val="both"/>
      </w:pPr>
      <w:r>
        <w:rPr>
          <w:rFonts w:eastAsia="Times New Roman" w:cs="Times New Roman"/>
        </w:rPr>
        <w:t xml:space="preserve">Os resultados obtidos são consistentes com estudos que avaliaram corretivos em solos salino-sódicos. A aplicação de gesso e de resíduos de gesso reduziu a sodicidade e melhorou atributos físicos (Cavalcanti et al., 2018; Yadav et al., 2025); o ácido sulfúrico apresentou efeito semelhante ao gesso em condições controladas (Leite et al., 2010; Albuquerque et al., 2018); formulações de nano-gesso permitiram redução de dose (Abd El-Halim et al., 2022; El-Henawy et al., 2024); condicionadores orgânicos e carvão </w:t>
      </w:r>
      <w:r>
        <w:rPr>
          <w:rFonts w:eastAsia="Times New Roman" w:cs="Times New Roman"/>
        </w:rPr>
        <w:t>vegetal também foram avaliados (Karapouloutidou e Gasparatos, 2019; Kanagavalli et al., 2025); e a lixiviação com gesso e biochar foi testada em colunas (Souza et al., 2023).</w:t>
      </w:r>
    </w:p>
    <w:p w14:paraId="1F4C1326" w14:textId="77777777" w:rsidR="00A50860" w:rsidRDefault="0034465E">
      <w:pPr>
        <w:pStyle w:val="Corpodetexto"/>
        <w:spacing w:before="0" w:after="0" w:line="360" w:lineRule="auto"/>
        <w:ind w:firstLine="567"/>
        <w:jc w:val="both"/>
      </w:pPr>
      <w:r>
        <w:rPr>
          <w:rFonts w:eastAsia="Times New Roman" w:cs="Times New Roman"/>
        </w:rPr>
        <w:t>A dose comercial é sensível à pureza, e o custo, ao preço e ao frete. A indicação de menor custo só é emitida quando todos os corretivos selecionados têm pureza e preço, o que impede que um único preço determine o resultado. A comparação entre corretivos com purezas diferentes exige a conversão para a base comercial, e a ausência dessa conversão é uma fonte comum de erro em cálculos manuais. O sistema mantém a distinção entre dose teórica, prática e comercial, o que torna explícito o efeito da pureza e do c</w:t>
      </w:r>
      <w:r>
        <w:rPr>
          <w:rFonts w:eastAsia="Times New Roman" w:cs="Times New Roman"/>
        </w:rPr>
        <w:t>oeficiente de eficiência.</w:t>
      </w:r>
    </w:p>
    <w:p w14:paraId="44876ED3" w14:textId="77777777" w:rsidR="00A50860" w:rsidRDefault="0034465E">
      <w:pPr>
        <w:pStyle w:val="Corpodetexto"/>
        <w:keepNext/>
        <w:spacing w:before="120" w:after="60" w:line="360" w:lineRule="auto"/>
      </w:pPr>
      <w:r>
        <w:rPr>
          <w:rFonts w:eastAsia="Times New Roman" w:cs="Times New Roman"/>
          <w:b/>
        </w:rPr>
        <w:t>3.3 Interface e verificação</w:t>
      </w:r>
    </w:p>
    <w:p w14:paraId="1AB35C36" w14:textId="77777777" w:rsidR="00A50860" w:rsidRDefault="0034465E">
      <w:pPr>
        <w:pStyle w:val="Corpodetexto"/>
        <w:spacing w:before="0" w:after="0" w:line="360" w:lineRule="auto"/>
        <w:ind w:firstLine="567"/>
        <w:jc w:val="both"/>
      </w:pPr>
      <w:r>
        <w:rPr>
          <w:rFonts w:eastAsia="Times New Roman" w:cs="Times New Roman"/>
        </w:rPr>
        <w:t>A Figura 1 apresenta o diagnóstico e a recomendação gerados para o caso demonstrativo. A Figura 2 mostra o aviso de valor inválido no campo de pH.</w:t>
      </w:r>
    </w:p>
    <w:p w14:paraId="6DE54900" w14:textId="77777777" w:rsidR="00A50860" w:rsidRDefault="0034465E">
      <w:pPr>
        <w:pStyle w:val="CaptionedFigure"/>
        <w:keepNext w:val="0"/>
        <w:spacing w:after="0" w:line="360" w:lineRule="auto"/>
        <w:jc w:val="center"/>
      </w:pPr>
      <w:r>
        <w:rPr>
          <w:rFonts w:eastAsia="Times New Roman" w:cs="Times New Roman"/>
          <w:noProof/>
        </w:rPr>
        <w:drawing>
          <wp:inline distT="0" distB="0" distL="0" distR="0" wp14:anchorId="4859761C" wp14:editId="2B14F95F">
            <wp:extent cx="5760000" cy="1180864"/>
            <wp:effectExtent l="0" t="0" r="0" b="0"/>
            <wp:docPr id="10" name="Picture" descr="Figura 1 - Diagnóstico e recomendação gerados pelo RECUPERA-SOLO para o caso demonstrativo"/>
            <wp:cNvGraphicFramePr/>
            <a:graphic xmlns:a="http://schemas.openxmlformats.org/drawingml/2006/main">
              <a:graphicData uri="http://schemas.openxmlformats.org/drawingml/2006/picture">
                <pic:pic xmlns:pic="http://schemas.openxmlformats.org/drawingml/2006/picture">
                  <pic:nvPicPr>
                    <pic:cNvPr id="11" name="Picture" descr="figura1.png"/>
                    <pic:cNvPicPr>
                      <a:picLocks noChangeAspect="1" noChangeArrowheads="1"/>
                    </pic:cNvPicPr>
                  </pic:nvPicPr>
                  <pic:blipFill>
                    <a:blip r:embed="rId7"/>
                    <a:stretch>
                      <a:fillRect/>
                    </a:stretch>
                  </pic:blipFill>
                  <pic:spPr bwMode="auto">
                    <a:xfrm>
                      <a:off x="0" y="0"/>
                      <a:ext cx="5760000" cy="1180864"/>
                    </a:xfrm>
                    <a:prstGeom prst="rect">
                      <a:avLst/>
                    </a:prstGeom>
                    <a:noFill/>
                    <a:ln w="9525">
                      <a:noFill/>
                      <a:headEnd/>
                      <a:tailEnd/>
                    </a:ln>
                  </pic:spPr>
                </pic:pic>
              </a:graphicData>
            </a:graphic>
          </wp:inline>
        </w:drawing>
      </w:r>
    </w:p>
    <w:p w14:paraId="102E667C" w14:textId="77777777" w:rsidR="00A50860" w:rsidRDefault="0034465E">
      <w:pPr>
        <w:pStyle w:val="ImageCaption"/>
        <w:spacing w:before="60" w:after="60" w:line="360" w:lineRule="auto"/>
        <w:jc w:val="center"/>
      </w:pPr>
      <w:r>
        <w:rPr>
          <w:rFonts w:eastAsia="Times New Roman" w:cs="Times New Roman"/>
          <w:b/>
          <w:sz w:val="20"/>
        </w:rPr>
        <w:t>Figura 1</w:t>
      </w:r>
      <w:r>
        <w:rPr>
          <w:rFonts w:eastAsia="Times New Roman" w:cs="Times New Roman"/>
          <w:sz w:val="20"/>
        </w:rPr>
        <w:t xml:space="preserve"> - Diagnóstico e recomendação gerados pelo RECUPERA-SOLO para o caso demonstrativo</w:t>
      </w:r>
    </w:p>
    <w:p w14:paraId="5F1E62A9" w14:textId="77777777" w:rsidR="00A50860" w:rsidRDefault="0034465E">
      <w:pPr>
        <w:pStyle w:val="FirstParagraph"/>
        <w:spacing w:before="0" w:after="120" w:line="360" w:lineRule="auto"/>
      </w:pPr>
      <w:r>
        <w:rPr>
          <w:rFonts w:eastAsia="Times New Roman" w:cs="Times New Roman"/>
          <w:sz w:val="20"/>
        </w:rPr>
        <w:t>Fonte: dados da pesquisa (2026).</w:t>
      </w:r>
    </w:p>
    <w:p w14:paraId="2BBBCF67" w14:textId="77777777" w:rsidR="00A50860" w:rsidRDefault="0034465E">
      <w:pPr>
        <w:pStyle w:val="CaptionedFigure"/>
        <w:keepNext w:val="0"/>
        <w:spacing w:after="0" w:line="360" w:lineRule="auto"/>
        <w:jc w:val="center"/>
      </w:pPr>
      <w:r>
        <w:rPr>
          <w:rFonts w:eastAsia="Times New Roman" w:cs="Times New Roman"/>
          <w:noProof/>
        </w:rPr>
        <w:drawing>
          <wp:inline distT="0" distB="0" distL="0" distR="0" wp14:anchorId="5EAF8C40" wp14:editId="0FA44BD2">
            <wp:extent cx="2880000" cy="2273683"/>
            <wp:effectExtent l="0" t="0" r="0" b="0"/>
            <wp:docPr id="13" name="Picture" descr="Figura 2 - Aviso de valor inválido no campo de pH, com indicação da faixa aceita"/>
            <wp:cNvGraphicFramePr/>
            <a:graphic xmlns:a="http://schemas.openxmlformats.org/drawingml/2006/main">
              <a:graphicData uri="http://schemas.openxmlformats.org/drawingml/2006/picture">
                <pic:pic xmlns:pic="http://schemas.openxmlformats.org/drawingml/2006/picture">
                  <pic:nvPicPr>
                    <pic:cNvPr id="14" name="Picture" descr="figura2.png"/>
                    <pic:cNvPicPr>
                      <a:picLocks noChangeAspect="1" noChangeArrowheads="1"/>
                    </pic:cNvPicPr>
                  </pic:nvPicPr>
                  <pic:blipFill>
                    <a:blip r:embed="rId8"/>
                    <a:stretch>
                      <a:fillRect/>
                    </a:stretch>
                  </pic:blipFill>
                  <pic:spPr bwMode="auto">
                    <a:xfrm>
                      <a:off x="0" y="0"/>
                      <a:ext cx="2880000" cy="2273683"/>
                    </a:xfrm>
                    <a:prstGeom prst="rect">
                      <a:avLst/>
                    </a:prstGeom>
                    <a:noFill/>
                    <a:ln w="9525">
                      <a:noFill/>
                      <a:headEnd/>
                      <a:tailEnd/>
                    </a:ln>
                  </pic:spPr>
                </pic:pic>
              </a:graphicData>
            </a:graphic>
          </wp:inline>
        </w:drawing>
      </w:r>
    </w:p>
    <w:p w14:paraId="5F106C5F" w14:textId="77777777" w:rsidR="00A50860" w:rsidRDefault="0034465E">
      <w:pPr>
        <w:pStyle w:val="ImageCaption"/>
        <w:spacing w:before="60" w:after="60" w:line="360" w:lineRule="auto"/>
        <w:jc w:val="center"/>
      </w:pPr>
      <w:r>
        <w:rPr>
          <w:rFonts w:eastAsia="Times New Roman" w:cs="Times New Roman"/>
          <w:b/>
          <w:sz w:val="20"/>
        </w:rPr>
        <w:t>Figura 2</w:t>
      </w:r>
      <w:r>
        <w:rPr>
          <w:rFonts w:eastAsia="Times New Roman" w:cs="Times New Roman"/>
          <w:sz w:val="20"/>
        </w:rPr>
        <w:t xml:space="preserve"> - Aviso de valor inválido no campo de pH, com indicação da faixa aceita</w:t>
      </w:r>
    </w:p>
    <w:p w14:paraId="141A5D12" w14:textId="77777777" w:rsidR="00A50860" w:rsidRDefault="0034465E">
      <w:pPr>
        <w:pStyle w:val="FirstParagraph"/>
        <w:spacing w:before="0" w:after="120" w:line="360" w:lineRule="auto"/>
      </w:pPr>
      <w:r>
        <w:rPr>
          <w:rFonts w:eastAsia="Times New Roman" w:cs="Times New Roman"/>
          <w:sz w:val="20"/>
        </w:rPr>
        <w:t>Fonte: dados da pesquisa (2026).</w:t>
      </w:r>
    </w:p>
    <w:p w14:paraId="527125DF" w14:textId="77777777" w:rsidR="00A50860" w:rsidRDefault="0034465E">
      <w:pPr>
        <w:pStyle w:val="Corpodetexto"/>
        <w:spacing w:before="0" w:after="0" w:line="360" w:lineRule="auto"/>
        <w:ind w:firstLine="567"/>
        <w:jc w:val="both"/>
      </w:pPr>
      <w:r>
        <w:rPr>
          <w:rFonts w:eastAsia="Times New Roman" w:cs="Times New Roman"/>
        </w:rPr>
        <w:t>Na verificação, pH 15 passou a ser recusado com indicação de campo, faixa e correção, enquanto a versão de origem seguia para o cálculo. Os 40 testes automatizados aprovam cálculo, validação e os requisitos de acessibilidade verificados. A auditoria Lighthouse subiu de 0,81 para 1,00 em acessibilidade e de 0,75 para 1,00 em busca e estrutura. O aplicativo, de 3,5 MB, repete o resultado sem conexão. A Tabela 3 resume a comparação entre a versão de origem e a versão atual.</w:t>
      </w:r>
    </w:p>
    <w:p w14:paraId="59C6CDE7" w14:textId="77777777" w:rsidR="00A50860" w:rsidRDefault="0034465E">
      <w:pPr>
        <w:pStyle w:val="Corpodetexto"/>
        <w:keepNext/>
        <w:spacing w:before="120" w:after="60" w:line="360" w:lineRule="auto"/>
        <w:jc w:val="center"/>
      </w:pPr>
      <w:r>
        <w:rPr>
          <w:rFonts w:eastAsia="Times New Roman" w:cs="Times New Roman"/>
          <w:b/>
          <w:sz w:val="20"/>
        </w:rPr>
        <w:t>Tabela 3</w:t>
      </w:r>
      <w:r>
        <w:rPr>
          <w:rFonts w:eastAsia="Times New Roman" w:cs="Times New Roman"/>
          <w:sz w:val="20"/>
        </w:rPr>
        <w:t xml:space="preserve"> - Comparação entre a versão de origem e a versão atual do RECUPERA-SOLO</w:t>
      </w:r>
    </w:p>
    <w:tbl>
      <w:tblPr>
        <w:tblStyle w:val="Table"/>
        <w:tblW w:w="9070" w:type="dxa"/>
        <w:jc w:val="center"/>
        <w:tblBorders>
          <w:top w:val="single" w:sz="8" w:space="0" w:color="000000"/>
          <w:left w:val="nil"/>
          <w:bottom w:val="single" w:sz="8" w:space="0" w:color="000000"/>
          <w:right w:val="nil"/>
          <w:insideH w:val="single" w:sz="4" w:space="0" w:color="000000"/>
          <w:insideV w:val="nil"/>
        </w:tblBorders>
        <w:tblLayout w:type="fixed"/>
        <w:tblLook w:val="0020" w:firstRow="1" w:lastRow="0" w:firstColumn="0" w:lastColumn="0" w:noHBand="0" w:noVBand="0"/>
      </w:tblPr>
      <w:tblGrid>
        <w:gridCol w:w="2834"/>
        <w:gridCol w:w="3118"/>
        <w:gridCol w:w="3118"/>
      </w:tblGrid>
      <w:tr w:rsidR="00A50860" w14:paraId="46A7891F" w14:textId="77777777" w:rsidTr="00A50860">
        <w:trPr>
          <w:cnfStyle w:val="100000000000" w:firstRow="1" w:lastRow="0" w:firstColumn="0" w:lastColumn="0" w:oddVBand="0" w:evenVBand="0" w:oddHBand="0" w:evenHBand="0" w:firstRowFirstColumn="0" w:firstRowLastColumn="0" w:lastRowFirstColumn="0" w:lastRowLastColumn="0"/>
          <w:cantSplit/>
          <w:tblHeader/>
          <w:jc w:val="center"/>
        </w:trPr>
        <w:tc>
          <w:tcPr>
            <w:tcW w:w="2835" w:type="dxa"/>
          </w:tcPr>
          <w:p w14:paraId="3AD5F45B" w14:textId="77777777" w:rsidR="00A50860" w:rsidRDefault="0034465E">
            <w:pPr>
              <w:pStyle w:val="Compact"/>
              <w:keepNext/>
              <w:spacing w:before="20" w:after="20" w:line="360" w:lineRule="auto"/>
              <w:jc w:val="center"/>
            </w:pPr>
            <w:r>
              <w:rPr>
                <w:rFonts w:eastAsia="Times New Roman" w:cs="Times New Roman"/>
                <w:b/>
                <w:sz w:val="20"/>
              </w:rPr>
              <w:t>Item</w:t>
            </w:r>
          </w:p>
        </w:tc>
        <w:tc>
          <w:tcPr>
            <w:tcW w:w="3118" w:type="dxa"/>
          </w:tcPr>
          <w:p w14:paraId="3D0C0DF1" w14:textId="77777777" w:rsidR="00A50860" w:rsidRDefault="0034465E">
            <w:pPr>
              <w:pStyle w:val="Compact"/>
              <w:keepNext/>
              <w:spacing w:before="20" w:after="20" w:line="360" w:lineRule="auto"/>
              <w:jc w:val="center"/>
            </w:pPr>
            <w:r>
              <w:rPr>
                <w:rFonts w:eastAsia="Times New Roman" w:cs="Times New Roman"/>
                <w:b/>
                <w:sz w:val="20"/>
              </w:rPr>
              <w:t>Versão de origem</w:t>
            </w:r>
          </w:p>
        </w:tc>
        <w:tc>
          <w:tcPr>
            <w:tcW w:w="3118" w:type="dxa"/>
          </w:tcPr>
          <w:p w14:paraId="127FA9F3" w14:textId="77777777" w:rsidR="00A50860" w:rsidRDefault="0034465E">
            <w:pPr>
              <w:pStyle w:val="Compact"/>
              <w:keepNext/>
              <w:spacing w:before="20" w:after="20" w:line="360" w:lineRule="auto"/>
              <w:jc w:val="center"/>
            </w:pPr>
            <w:r>
              <w:rPr>
                <w:rFonts w:eastAsia="Times New Roman" w:cs="Times New Roman"/>
                <w:b/>
                <w:sz w:val="20"/>
              </w:rPr>
              <w:t>Versão atual</w:t>
            </w:r>
          </w:p>
        </w:tc>
      </w:tr>
      <w:tr w:rsidR="00A50860" w14:paraId="38B937B4" w14:textId="77777777" w:rsidTr="00A50860">
        <w:trPr>
          <w:cantSplit/>
          <w:jc w:val="center"/>
        </w:trPr>
        <w:tc>
          <w:tcPr>
            <w:tcW w:w="2835" w:type="dxa"/>
          </w:tcPr>
          <w:p w14:paraId="24444CCB" w14:textId="77777777" w:rsidR="00A50860" w:rsidRDefault="0034465E">
            <w:pPr>
              <w:pStyle w:val="Compact"/>
              <w:keepNext/>
              <w:spacing w:before="20" w:after="20" w:line="360" w:lineRule="auto"/>
            </w:pPr>
            <w:r>
              <w:rPr>
                <w:rFonts w:eastAsia="Times New Roman" w:cs="Times New Roman"/>
                <w:sz w:val="20"/>
              </w:rPr>
              <w:t>Letras e notação científica</w:t>
            </w:r>
          </w:p>
        </w:tc>
        <w:tc>
          <w:tcPr>
            <w:tcW w:w="3118" w:type="dxa"/>
          </w:tcPr>
          <w:p w14:paraId="6B42DC1D" w14:textId="77777777" w:rsidR="00A50860" w:rsidRDefault="0034465E">
            <w:pPr>
              <w:pStyle w:val="Compact"/>
              <w:keepNext/>
              <w:spacing w:before="20" w:after="20" w:line="360" w:lineRule="auto"/>
            </w:pPr>
            <w:r>
              <w:rPr>
                <w:rFonts w:eastAsia="Times New Roman" w:cs="Times New Roman"/>
                <w:sz w:val="20"/>
              </w:rPr>
              <w:t>aceitas</w:t>
            </w:r>
          </w:p>
        </w:tc>
        <w:tc>
          <w:tcPr>
            <w:tcW w:w="3118" w:type="dxa"/>
          </w:tcPr>
          <w:p w14:paraId="7F03329A" w14:textId="77777777" w:rsidR="00A50860" w:rsidRDefault="0034465E">
            <w:pPr>
              <w:pStyle w:val="Compact"/>
              <w:keepNext/>
              <w:spacing w:before="20" w:after="20" w:line="360" w:lineRule="auto"/>
            </w:pPr>
            <w:r>
              <w:rPr>
                <w:rFonts w:eastAsia="Times New Roman" w:cs="Times New Roman"/>
                <w:sz w:val="20"/>
              </w:rPr>
              <w:t>recusadas</w:t>
            </w:r>
          </w:p>
        </w:tc>
      </w:tr>
      <w:tr w:rsidR="00A50860" w14:paraId="28954C31" w14:textId="77777777" w:rsidTr="00A50860">
        <w:trPr>
          <w:cantSplit/>
          <w:jc w:val="center"/>
        </w:trPr>
        <w:tc>
          <w:tcPr>
            <w:tcW w:w="2835" w:type="dxa"/>
          </w:tcPr>
          <w:p w14:paraId="349AD4AD" w14:textId="77777777" w:rsidR="00A50860" w:rsidRDefault="0034465E">
            <w:pPr>
              <w:pStyle w:val="Compact"/>
              <w:keepNext/>
              <w:spacing w:before="20" w:after="20" w:line="360" w:lineRule="auto"/>
            </w:pPr>
            <w:r>
              <w:rPr>
                <w:rFonts w:eastAsia="Times New Roman" w:cs="Times New Roman"/>
                <w:sz w:val="20"/>
              </w:rPr>
              <w:t>Valores fora da faixa</w:t>
            </w:r>
          </w:p>
        </w:tc>
        <w:tc>
          <w:tcPr>
            <w:tcW w:w="3118" w:type="dxa"/>
          </w:tcPr>
          <w:p w14:paraId="32DDB3FC" w14:textId="77777777" w:rsidR="00A50860" w:rsidRDefault="0034465E">
            <w:pPr>
              <w:pStyle w:val="Compact"/>
              <w:keepNext/>
              <w:spacing w:before="20" w:after="20" w:line="360" w:lineRule="auto"/>
            </w:pPr>
            <w:r>
              <w:rPr>
                <w:rFonts w:eastAsia="Times New Roman" w:cs="Times New Roman"/>
                <w:sz w:val="20"/>
              </w:rPr>
              <w:t>aceitos no envio</w:t>
            </w:r>
          </w:p>
        </w:tc>
        <w:tc>
          <w:tcPr>
            <w:tcW w:w="3118" w:type="dxa"/>
          </w:tcPr>
          <w:p w14:paraId="7E4E9ACB" w14:textId="77777777" w:rsidR="00A50860" w:rsidRDefault="0034465E">
            <w:pPr>
              <w:pStyle w:val="Compact"/>
              <w:keepNext/>
              <w:spacing w:before="20" w:after="20" w:line="360" w:lineRule="auto"/>
            </w:pPr>
            <w:r>
              <w:rPr>
                <w:rFonts w:eastAsia="Times New Roman" w:cs="Times New Roman"/>
                <w:sz w:val="20"/>
              </w:rPr>
              <w:t>aviso imediato</w:t>
            </w:r>
          </w:p>
        </w:tc>
      </w:tr>
      <w:tr w:rsidR="00A50860" w14:paraId="3EA41C0B" w14:textId="77777777" w:rsidTr="00A50860">
        <w:trPr>
          <w:cantSplit/>
          <w:jc w:val="center"/>
        </w:trPr>
        <w:tc>
          <w:tcPr>
            <w:tcW w:w="2835" w:type="dxa"/>
          </w:tcPr>
          <w:p w14:paraId="0298C3C1" w14:textId="77777777" w:rsidR="00A50860" w:rsidRDefault="0034465E">
            <w:pPr>
              <w:pStyle w:val="Compact"/>
              <w:keepNext/>
              <w:spacing w:before="20" w:after="20" w:line="360" w:lineRule="auto"/>
            </w:pPr>
            <w:r>
              <w:rPr>
                <w:rFonts w:eastAsia="Times New Roman" w:cs="Times New Roman"/>
                <w:sz w:val="20"/>
              </w:rPr>
              <w:t>Casas decimais</w:t>
            </w:r>
          </w:p>
        </w:tc>
        <w:tc>
          <w:tcPr>
            <w:tcW w:w="3118" w:type="dxa"/>
          </w:tcPr>
          <w:p w14:paraId="399A6F52" w14:textId="77777777" w:rsidR="00A50860" w:rsidRDefault="0034465E">
            <w:pPr>
              <w:pStyle w:val="Compact"/>
              <w:keepNext/>
              <w:spacing w:before="20" w:after="20" w:line="360" w:lineRule="auto"/>
            </w:pPr>
            <w:r>
              <w:rPr>
                <w:rFonts w:eastAsia="Times New Roman" w:cs="Times New Roman"/>
                <w:sz w:val="20"/>
              </w:rPr>
              <w:t>sem limite</w:t>
            </w:r>
          </w:p>
        </w:tc>
        <w:tc>
          <w:tcPr>
            <w:tcW w:w="3118" w:type="dxa"/>
          </w:tcPr>
          <w:p w14:paraId="74AD7D12" w14:textId="77777777" w:rsidR="00A50860" w:rsidRDefault="0034465E">
            <w:pPr>
              <w:pStyle w:val="Compact"/>
              <w:keepNext/>
              <w:spacing w:before="20" w:after="20" w:line="360" w:lineRule="auto"/>
            </w:pPr>
            <w:r>
              <w:rPr>
                <w:rFonts w:eastAsia="Times New Roman" w:cs="Times New Roman"/>
                <w:sz w:val="20"/>
              </w:rPr>
              <w:t>zero a duas por campo</w:t>
            </w:r>
          </w:p>
        </w:tc>
      </w:tr>
      <w:tr w:rsidR="00A50860" w14:paraId="1008147F" w14:textId="77777777" w:rsidTr="00A50860">
        <w:trPr>
          <w:cantSplit/>
          <w:jc w:val="center"/>
        </w:trPr>
        <w:tc>
          <w:tcPr>
            <w:tcW w:w="2835" w:type="dxa"/>
          </w:tcPr>
          <w:p w14:paraId="38D49941" w14:textId="77777777" w:rsidR="00A50860" w:rsidRDefault="0034465E">
            <w:pPr>
              <w:pStyle w:val="Compact"/>
              <w:keepNext/>
              <w:spacing w:before="20" w:after="20" w:line="360" w:lineRule="auto"/>
            </w:pPr>
            <w:r>
              <w:rPr>
                <w:rFonts w:eastAsia="Times New Roman" w:cs="Times New Roman"/>
                <w:sz w:val="20"/>
              </w:rPr>
              <w:t>Preço</w:t>
            </w:r>
          </w:p>
        </w:tc>
        <w:tc>
          <w:tcPr>
            <w:tcW w:w="3118" w:type="dxa"/>
          </w:tcPr>
          <w:p w14:paraId="4F08227C" w14:textId="77777777" w:rsidR="00A50860" w:rsidRDefault="0034465E">
            <w:pPr>
              <w:pStyle w:val="Compact"/>
              <w:keepNext/>
              <w:spacing w:before="20" w:after="20" w:line="360" w:lineRule="auto"/>
            </w:pPr>
            <w:r>
              <w:rPr>
                <w:rFonts w:eastAsia="Times New Roman" w:cs="Times New Roman"/>
                <w:sz w:val="20"/>
              </w:rPr>
              <w:t>obrigatório</w:t>
            </w:r>
          </w:p>
        </w:tc>
        <w:tc>
          <w:tcPr>
            <w:tcW w:w="3118" w:type="dxa"/>
          </w:tcPr>
          <w:p w14:paraId="061FE104" w14:textId="77777777" w:rsidR="00A50860" w:rsidRDefault="0034465E">
            <w:pPr>
              <w:pStyle w:val="Compact"/>
              <w:keepNext/>
              <w:spacing w:before="20" w:after="20" w:line="360" w:lineRule="auto"/>
            </w:pPr>
            <w:r>
              <w:rPr>
                <w:rFonts w:eastAsia="Times New Roman" w:cs="Times New Roman"/>
                <w:sz w:val="20"/>
              </w:rPr>
              <w:t>opcional</w:t>
            </w:r>
          </w:p>
        </w:tc>
      </w:tr>
      <w:tr w:rsidR="00A50860" w14:paraId="1E39CB09" w14:textId="77777777" w:rsidTr="00A50860">
        <w:trPr>
          <w:cantSplit/>
          <w:jc w:val="center"/>
        </w:trPr>
        <w:tc>
          <w:tcPr>
            <w:tcW w:w="2835" w:type="dxa"/>
          </w:tcPr>
          <w:p w14:paraId="21070EE6" w14:textId="77777777" w:rsidR="00A50860" w:rsidRDefault="0034465E">
            <w:pPr>
              <w:pStyle w:val="Compact"/>
              <w:keepNext/>
              <w:spacing w:before="20" w:after="20" w:line="360" w:lineRule="auto"/>
            </w:pPr>
            <w:r>
              <w:rPr>
                <w:rFonts w:eastAsia="Times New Roman" w:cs="Times New Roman"/>
                <w:sz w:val="20"/>
              </w:rPr>
              <w:t>Comparação de custo</w:t>
            </w:r>
          </w:p>
        </w:tc>
        <w:tc>
          <w:tcPr>
            <w:tcW w:w="3118" w:type="dxa"/>
          </w:tcPr>
          <w:p w14:paraId="26D36154" w14:textId="77777777" w:rsidR="00A50860" w:rsidRDefault="0034465E">
            <w:pPr>
              <w:pStyle w:val="Compact"/>
              <w:keepNext/>
              <w:spacing w:before="20" w:after="20" w:line="360" w:lineRule="auto"/>
            </w:pPr>
            <w:r>
              <w:rPr>
                <w:rFonts w:eastAsia="Times New Roman" w:cs="Times New Roman"/>
                <w:sz w:val="20"/>
              </w:rPr>
              <w:t>qualquer item com preço</w:t>
            </w:r>
          </w:p>
        </w:tc>
        <w:tc>
          <w:tcPr>
            <w:tcW w:w="3118" w:type="dxa"/>
          </w:tcPr>
          <w:p w14:paraId="164989D7" w14:textId="77777777" w:rsidR="00A50860" w:rsidRDefault="0034465E">
            <w:pPr>
              <w:pStyle w:val="Compact"/>
              <w:keepNext/>
              <w:spacing w:before="20" w:after="20" w:line="360" w:lineRule="auto"/>
            </w:pPr>
            <w:r>
              <w:rPr>
                <w:rFonts w:eastAsia="Times New Roman" w:cs="Times New Roman"/>
                <w:sz w:val="20"/>
              </w:rPr>
              <w:t>exige pureza e preço em todos</w:t>
            </w:r>
          </w:p>
        </w:tc>
      </w:tr>
      <w:tr w:rsidR="00A50860" w14:paraId="7C626498" w14:textId="77777777" w:rsidTr="00A50860">
        <w:trPr>
          <w:cantSplit/>
          <w:jc w:val="center"/>
        </w:trPr>
        <w:tc>
          <w:tcPr>
            <w:tcW w:w="2835" w:type="dxa"/>
          </w:tcPr>
          <w:p w14:paraId="2A2EC826" w14:textId="77777777" w:rsidR="00A50860" w:rsidRDefault="0034465E">
            <w:pPr>
              <w:pStyle w:val="Compact"/>
              <w:keepNext/>
              <w:spacing w:before="20" w:after="20" w:line="360" w:lineRule="auto"/>
            </w:pPr>
            <w:r>
              <w:rPr>
                <w:rFonts w:eastAsia="Times New Roman" w:cs="Times New Roman"/>
                <w:sz w:val="20"/>
              </w:rPr>
              <w:t>Acessibilidade (Lighthouse)</w:t>
            </w:r>
          </w:p>
        </w:tc>
        <w:tc>
          <w:tcPr>
            <w:tcW w:w="3118" w:type="dxa"/>
          </w:tcPr>
          <w:p w14:paraId="5FC13644" w14:textId="77777777" w:rsidR="00A50860" w:rsidRDefault="0034465E">
            <w:pPr>
              <w:pStyle w:val="Compact"/>
              <w:keepNext/>
              <w:spacing w:before="20" w:after="20" w:line="360" w:lineRule="auto"/>
            </w:pPr>
            <w:r>
              <w:rPr>
                <w:rFonts w:eastAsia="Times New Roman" w:cs="Times New Roman"/>
                <w:sz w:val="20"/>
              </w:rPr>
              <w:t>0,81</w:t>
            </w:r>
          </w:p>
        </w:tc>
        <w:tc>
          <w:tcPr>
            <w:tcW w:w="3118" w:type="dxa"/>
          </w:tcPr>
          <w:p w14:paraId="124BAE17" w14:textId="77777777" w:rsidR="00A50860" w:rsidRDefault="0034465E">
            <w:pPr>
              <w:pStyle w:val="Compact"/>
              <w:keepNext/>
              <w:spacing w:before="20" w:after="20" w:line="360" w:lineRule="auto"/>
            </w:pPr>
            <w:r>
              <w:rPr>
                <w:rFonts w:eastAsia="Times New Roman" w:cs="Times New Roman"/>
                <w:sz w:val="20"/>
              </w:rPr>
              <w:t>1,00</w:t>
            </w:r>
          </w:p>
        </w:tc>
      </w:tr>
      <w:tr w:rsidR="00A50860" w14:paraId="127CD2A9" w14:textId="77777777" w:rsidTr="00A50860">
        <w:trPr>
          <w:cantSplit/>
          <w:jc w:val="center"/>
        </w:trPr>
        <w:tc>
          <w:tcPr>
            <w:tcW w:w="2835" w:type="dxa"/>
          </w:tcPr>
          <w:p w14:paraId="65BA1CEB" w14:textId="77777777" w:rsidR="00A50860" w:rsidRDefault="0034465E">
            <w:pPr>
              <w:pStyle w:val="Compact"/>
              <w:keepNext/>
              <w:spacing w:before="20" w:after="20" w:line="360" w:lineRule="auto"/>
            </w:pPr>
            <w:r>
              <w:rPr>
                <w:rFonts w:eastAsia="Times New Roman" w:cs="Times New Roman"/>
                <w:sz w:val="20"/>
              </w:rPr>
              <w:t>Busca e estrutura (Lighthouse)</w:t>
            </w:r>
          </w:p>
        </w:tc>
        <w:tc>
          <w:tcPr>
            <w:tcW w:w="3118" w:type="dxa"/>
          </w:tcPr>
          <w:p w14:paraId="2FF44D65" w14:textId="77777777" w:rsidR="00A50860" w:rsidRDefault="0034465E">
            <w:pPr>
              <w:pStyle w:val="Compact"/>
              <w:keepNext/>
              <w:spacing w:before="20" w:after="20" w:line="360" w:lineRule="auto"/>
            </w:pPr>
            <w:r>
              <w:rPr>
                <w:rFonts w:eastAsia="Times New Roman" w:cs="Times New Roman"/>
                <w:sz w:val="20"/>
              </w:rPr>
              <w:t>0,75</w:t>
            </w:r>
          </w:p>
        </w:tc>
        <w:tc>
          <w:tcPr>
            <w:tcW w:w="3118" w:type="dxa"/>
          </w:tcPr>
          <w:p w14:paraId="4A49F65B" w14:textId="77777777" w:rsidR="00A50860" w:rsidRDefault="0034465E">
            <w:pPr>
              <w:pStyle w:val="Compact"/>
              <w:keepNext/>
              <w:spacing w:before="20" w:after="20" w:line="360" w:lineRule="auto"/>
            </w:pPr>
            <w:r>
              <w:rPr>
                <w:rFonts w:eastAsia="Times New Roman" w:cs="Times New Roman"/>
                <w:sz w:val="20"/>
              </w:rPr>
              <w:t>1,00</w:t>
            </w:r>
          </w:p>
        </w:tc>
      </w:tr>
      <w:tr w:rsidR="00A50860" w14:paraId="7AF90407" w14:textId="77777777" w:rsidTr="00A50860">
        <w:trPr>
          <w:cantSplit/>
          <w:jc w:val="center"/>
        </w:trPr>
        <w:tc>
          <w:tcPr>
            <w:tcW w:w="2835" w:type="dxa"/>
          </w:tcPr>
          <w:p w14:paraId="59AA4973" w14:textId="77777777" w:rsidR="00A50860" w:rsidRDefault="0034465E">
            <w:pPr>
              <w:pStyle w:val="Compact"/>
              <w:spacing w:before="20" w:after="20" w:line="360" w:lineRule="auto"/>
            </w:pPr>
            <w:r>
              <w:rPr>
                <w:rFonts w:eastAsia="Times New Roman" w:cs="Times New Roman"/>
                <w:sz w:val="20"/>
              </w:rPr>
              <w:t>Uso sem internet</w:t>
            </w:r>
          </w:p>
        </w:tc>
        <w:tc>
          <w:tcPr>
            <w:tcW w:w="3118" w:type="dxa"/>
          </w:tcPr>
          <w:p w14:paraId="74D0B97C" w14:textId="77777777" w:rsidR="00A50860" w:rsidRDefault="0034465E">
            <w:pPr>
              <w:pStyle w:val="Compact"/>
              <w:spacing w:before="20" w:after="20" w:line="360" w:lineRule="auto"/>
            </w:pPr>
            <w:r>
              <w:rPr>
                <w:rFonts w:eastAsia="Times New Roman" w:cs="Times New Roman"/>
                <w:sz w:val="20"/>
              </w:rPr>
              <w:t>não</w:t>
            </w:r>
          </w:p>
        </w:tc>
        <w:tc>
          <w:tcPr>
            <w:tcW w:w="3118" w:type="dxa"/>
          </w:tcPr>
          <w:p w14:paraId="0668BBCB" w14:textId="77777777" w:rsidR="00A50860" w:rsidRDefault="0034465E">
            <w:pPr>
              <w:pStyle w:val="Compact"/>
              <w:spacing w:before="20" w:after="20" w:line="360" w:lineRule="auto"/>
            </w:pPr>
            <w:r>
              <w:rPr>
                <w:rFonts w:eastAsia="Times New Roman" w:cs="Times New Roman"/>
                <w:sz w:val="20"/>
              </w:rPr>
              <w:t>sim, por aplicativo</w:t>
            </w:r>
          </w:p>
        </w:tc>
      </w:tr>
    </w:tbl>
    <w:p w14:paraId="3E1C83F8" w14:textId="77777777" w:rsidR="00A50860" w:rsidRDefault="0034465E">
      <w:pPr>
        <w:pStyle w:val="FirstParagraph"/>
        <w:spacing w:before="0" w:after="120" w:line="360" w:lineRule="auto"/>
      </w:pPr>
      <w:r>
        <w:rPr>
          <w:rFonts w:eastAsia="Times New Roman" w:cs="Times New Roman"/>
          <w:sz w:val="20"/>
        </w:rPr>
        <w:t>Fonte: dados da pesquisa (2026).</w:t>
      </w:r>
    </w:p>
    <w:p w14:paraId="66FF8BA5" w14:textId="77777777" w:rsidR="00A50860" w:rsidRDefault="0034465E">
      <w:pPr>
        <w:pStyle w:val="Corpodetexto"/>
        <w:spacing w:before="0" w:after="0" w:line="360" w:lineRule="auto"/>
        <w:ind w:firstLine="567"/>
        <w:jc w:val="both"/>
      </w:pPr>
      <w:r>
        <w:rPr>
          <w:rFonts w:eastAsia="Times New Roman" w:cs="Times New Roman"/>
        </w:rPr>
        <w:t>Os resultados confirmam que a validação de entradas reduz erros grosseiros e que o uso offline amplia o alcance em campo. A comparação com a literatura de usabilidade de aplicativos agrícolas indica que a clareza dos rótulos e a previsibilidade das mensagens são determinantes para a adoção (Adesiji et al., 2024; Pliakoura et al., 2018). A avaliação com usuários, no entanto, permanece pendente, e os resultados obtidos até aqui se restringem à verificação técnica e ao caso demonstrativo.</w:t>
      </w:r>
    </w:p>
    <w:p w14:paraId="749D2EE0" w14:textId="77777777" w:rsidR="00A50860" w:rsidRDefault="0034465E">
      <w:pPr>
        <w:pStyle w:val="Corpodetexto"/>
        <w:keepNext/>
        <w:spacing w:before="120" w:after="60" w:line="360" w:lineRule="auto"/>
      </w:pPr>
      <w:r>
        <w:rPr>
          <w:rFonts w:eastAsia="Times New Roman" w:cs="Times New Roman"/>
          <w:b/>
        </w:rPr>
        <w:t>3.4 Limitações</w:t>
      </w:r>
    </w:p>
    <w:p w14:paraId="4D1C43D5" w14:textId="77777777" w:rsidR="00A50860" w:rsidRDefault="0034465E">
      <w:pPr>
        <w:pStyle w:val="Corpodetexto"/>
        <w:spacing w:before="0" w:after="0" w:line="360" w:lineRule="auto"/>
        <w:ind w:firstLine="567"/>
        <w:jc w:val="both"/>
      </w:pPr>
      <w:r>
        <w:rPr>
          <w:rFonts w:eastAsia="Times New Roman" w:cs="Times New Roman"/>
        </w:rPr>
        <w:t>A textura, a drenagem e a qualidade da água não entram no cálculo, como na versão de origem. Os preços são uma fotografia do mercado local, sem frete, e devem ser atualizados a cada safra. O caso é demonstrativo e não substitui experimento de campo. A avaliação de usabilidade foi planejada, mas não aplicada. Essas limitações não invalidam o modelo de cálculo, mas restringem a generalização dos resultados.</w:t>
      </w:r>
    </w:p>
    <w:p w14:paraId="506310FA" w14:textId="77777777" w:rsidR="00A50860" w:rsidRDefault="0034465E">
      <w:pPr>
        <w:pStyle w:val="Corpodetexto"/>
        <w:keepNext/>
        <w:spacing w:before="240" w:after="120" w:line="360" w:lineRule="auto"/>
        <w:jc w:val="center"/>
      </w:pPr>
      <w:r>
        <w:rPr>
          <w:rFonts w:eastAsia="Times New Roman" w:cs="Times New Roman"/>
          <w:b/>
        </w:rPr>
        <w:t>4 Conclusão</w:t>
      </w:r>
    </w:p>
    <w:p w14:paraId="038F356B" w14:textId="77777777" w:rsidR="00A50860" w:rsidRDefault="0034465E">
      <w:pPr>
        <w:pStyle w:val="Corpodetexto"/>
        <w:spacing w:before="0" w:after="0" w:line="360" w:lineRule="auto"/>
        <w:ind w:firstLine="567"/>
        <w:jc w:val="both"/>
      </w:pPr>
      <w:r>
        <w:rPr>
          <w:rFonts w:eastAsia="Times New Roman" w:cs="Times New Roman"/>
        </w:rPr>
        <w:t>O RECUPERA-SOLO reúne diagnóstico, dose, custo e procedimento em uma ferramenta que preserva o modelo agronômico original e amplia a confiabilidade das entradas. A decisão é orientada pelo sistema, não substituída por ele: textura, drenagem e qualidade da água permanecem fora do cálculo, e os preços refletem cotação local, sem frete. A verificação técnica confirmou o cálculo, a validação e a acessibilidade, e o caso demonstrativo mostrou que o gesso agrícola é a alternativa de menor custo entre os corretivo</w:t>
      </w:r>
      <w:r>
        <w:rPr>
          <w:rFonts w:eastAsia="Times New Roman" w:cs="Times New Roman"/>
        </w:rPr>
        <w:t>s tecnicamente adequados, com exclusão do calcário pela baixa solubilidade em pH alcalino. A continuidade inclui a aplicação do protocolo de usabilidade e a incorporação das variáveis ausentes.</w:t>
      </w:r>
    </w:p>
    <w:p w14:paraId="2801013F" w14:textId="77777777" w:rsidR="00A50860" w:rsidRDefault="0034465E">
      <w:pPr>
        <w:pStyle w:val="Corpodetexto"/>
        <w:keepNext/>
        <w:spacing w:before="240" w:after="120" w:line="360" w:lineRule="auto"/>
        <w:jc w:val="center"/>
      </w:pPr>
      <w:r>
        <w:rPr>
          <w:rFonts w:eastAsia="Times New Roman" w:cs="Times New Roman"/>
          <w:b/>
        </w:rPr>
        <w:t>Referências</w:t>
      </w:r>
    </w:p>
    <w:p w14:paraId="49998A47" w14:textId="77777777" w:rsidR="00A50860" w:rsidRDefault="0034465E" w:rsidP="0034465E">
      <w:pPr>
        <w:pStyle w:val="Corpodetexto"/>
        <w:spacing w:before="0" w:after="120" w:line="360" w:lineRule="auto"/>
        <w:jc w:val="both"/>
      </w:pPr>
      <w:r>
        <w:rPr>
          <w:rFonts w:eastAsia="Times New Roman" w:cs="Times New Roman"/>
        </w:rPr>
        <w:t>Abd El-Halim, A. E. A.; Salama, A. M.; Ibrahim, M. M.; Aiad, M. A.; Shokr, M. Nano-gypsum in low dose improves the physicochemical properties of saline-sodic soil. Archives of Agronomy and Soil Science, v. 69, n. 12, p. 2286-2299, 2022. https://doi.org/10.1080/03650340.2022.2149741</w:t>
      </w:r>
    </w:p>
    <w:p w14:paraId="225AAF12" w14:textId="77777777" w:rsidR="00A50860" w:rsidRDefault="0034465E" w:rsidP="0034465E">
      <w:pPr>
        <w:pStyle w:val="Corpodetexto"/>
        <w:spacing w:before="0" w:after="120" w:line="360" w:lineRule="auto"/>
        <w:jc w:val="both"/>
      </w:pPr>
      <w:r>
        <w:rPr>
          <w:rFonts w:eastAsia="Times New Roman" w:cs="Times New Roman"/>
        </w:rPr>
        <w:t>Adesiji, G. B.; Adelowo, J. Y.; Komolafe, S. E.; Adesiji, T. T. Farmers’ perceived rating and usability attributes of agricultural mobile phone apps. Smart Agricultural Technology, v. 8, p. 100501, 2024. https://doi.org/10.1016/j.atech.2024.100501</w:t>
      </w:r>
    </w:p>
    <w:p w14:paraId="0BFB00E3" w14:textId="77777777" w:rsidR="00A50860" w:rsidRDefault="0034465E" w:rsidP="0034465E">
      <w:pPr>
        <w:pStyle w:val="Corpodetexto"/>
        <w:spacing w:before="0" w:after="120" w:line="360" w:lineRule="auto"/>
        <w:jc w:val="both"/>
      </w:pPr>
      <w:r>
        <w:rPr>
          <w:rFonts w:eastAsia="Times New Roman" w:cs="Times New Roman"/>
        </w:rPr>
        <w:t>Albuquerque, A. S.; Fonsêca, N. C.; Santos, R. V.; Medeiros, W. P. Atributos químicos em solo salino-sódico e efeito do ácido sulfúrico no crescimento da Prosopis juliflora. Revista de Ciências Agrárias, v. 61, 2018. https://doi.org/10.22491/rca.2018.2811</w:t>
      </w:r>
    </w:p>
    <w:p w14:paraId="375DB28C" w14:textId="77777777" w:rsidR="00A50860" w:rsidRDefault="0034465E" w:rsidP="0034465E">
      <w:pPr>
        <w:pStyle w:val="Corpodetexto"/>
        <w:spacing w:before="0" w:after="120" w:line="360" w:lineRule="auto"/>
        <w:jc w:val="both"/>
      </w:pPr>
      <w:r>
        <w:rPr>
          <w:rFonts w:eastAsia="Times New Roman" w:cs="Times New Roman"/>
        </w:rPr>
        <w:t>Cavalcanti, N. S.; Rolim, M. M.; Santos Júnior, J. A.; Barros, M. F. C. Resíduo de gesso na recuperação de solo salino-sódico proveniente de perímetro irrigado do semiárido brasileiro. Irriga, v. 23, n. 3, p. 505-517, 2018. https://doi.org/10.15809/irriga.2018v23n3p505-517</w:t>
      </w:r>
    </w:p>
    <w:p w14:paraId="20977389" w14:textId="77777777" w:rsidR="00A50860" w:rsidRDefault="0034465E" w:rsidP="0034465E">
      <w:pPr>
        <w:pStyle w:val="Corpodetexto"/>
        <w:spacing w:before="0" w:after="120" w:line="360" w:lineRule="auto"/>
        <w:jc w:val="both"/>
      </w:pPr>
      <w:r>
        <w:rPr>
          <w:rFonts w:eastAsia="Times New Roman" w:cs="Times New Roman"/>
        </w:rPr>
        <w:t>Dias, N. S.; Blanco, F. F. (Org.). Manejo da salinidade na agricultura: estudos básicos e aplicados. Fortaleza: INCTSal, 2010. 472p.</w:t>
      </w:r>
    </w:p>
    <w:p w14:paraId="6D381DF7" w14:textId="77777777" w:rsidR="00A50860" w:rsidRDefault="0034465E" w:rsidP="0034465E">
      <w:pPr>
        <w:pStyle w:val="Corpodetexto"/>
        <w:spacing w:before="0" w:after="120" w:line="360" w:lineRule="auto"/>
        <w:jc w:val="both"/>
      </w:pPr>
      <w:r>
        <w:rPr>
          <w:rFonts w:eastAsia="Times New Roman" w:cs="Times New Roman"/>
        </w:rPr>
        <w:t>El-Henawy, A.; Khalifa, M.; Gaheen, S.; El-Faramawy, H. Gypsum and nano-gypsum effects on certain soil characteristics and sorghum yield under saline-sodic soil conditions. Egyptian Journal of Soil Science, v. 64, n. 3, 2024. https://doi.org/10.21608/ejss.2024.283535.1749</w:t>
      </w:r>
    </w:p>
    <w:p w14:paraId="1CE28CB6" w14:textId="77777777" w:rsidR="00A50860" w:rsidRDefault="0034465E" w:rsidP="0034465E">
      <w:pPr>
        <w:pStyle w:val="Corpodetexto"/>
        <w:spacing w:before="0" w:after="120" w:line="360" w:lineRule="auto"/>
        <w:jc w:val="both"/>
      </w:pPr>
      <w:r>
        <w:rPr>
          <w:rFonts w:eastAsia="Times New Roman" w:cs="Times New Roman"/>
        </w:rPr>
        <w:t>Embrapa. Sistema brasileiro de classificação de solos. 5. ed. Brasília: Embrapa, 2018. 356p.</w:t>
      </w:r>
    </w:p>
    <w:p w14:paraId="3A3CDEE2" w14:textId="77777777" w:rsidR="00A50860" w:rsidRDefault="0034465E" w:rsidP="0034465E">
      <w:pPr>
        <w:pStyle w:val="Corpodetexto"/>
        <w:spacing w:before="0" w:after="120" w:line="360" w:lineRule="auto"/>
        <w:jc w:val="both"/>
      </w:pPr>
      <w:r>
        <w:rPr>
          <w:rFonts w:eastAsia="Times New Roman" w:cs="Times New Roman"/>
        </w:rPr>
        <w:t>Kanagavalli, A.; Sherene Jenita Rajammal, T.; Baskar, M.; Vanniarajan, C.; Parthasarathi, R.; Selvamurugan, M. Exploring the sodicity reclamation efficiency of coalchar. Journal of Soil Salinity and Water Quality, v. 17, n. 2, p. 173-180, 2025. https://doi.org/10.56093/jsswq.v17i2.167290</w:t>
      </w:r>
    </w:p>
    <w:p w14:paraId="4C3F69DB" w14:textId="77777777" w:rsidR="00A50860" w:rsidRDefault="0034465E" w:rsidP="0034465E">
      <w:pPr>
        <w:pStyle w:val="Corpodetexto"/>
        <w:spacing w:before="0" w:after="120" w:line="360" w:lineRule="auto"/>
        <w:jc w:val="both"/>
      </w:pPr>
      <w:r>
        <w:rPr>
          <w:rFonts w:eastAsia="Times New Roman" w:cs="Times New Roman"/>
        </w:rPr>
        <w:t>Karapouloutidou, S.; Gasparatos, D. Effects of biostimulant and organic amendment on soil properties and nutrient status of Lactuca sativa in a calcareous saline-sodic soil. Agriculture, v. 9, n. 8, p. 164, 2019. https://doi.org/10.3390/agriculture9080164</w:t>
      </w:r>
    </w:p>
    <w:p w14:paraId="37CCC3A9" w14:textId="77777777" w:rsidR="00A50860" w:rsidRDefault="0034465E" w:rsidP="0034465E">
      <w:pPr>
        <w:pStyle w:val="Corpodetexto"/>
        <w:spacing w:before="0" w:after="120" w:line="360" w:lineRule="auto"/>
        <w:jc w:val="both"/>
      </w:pPr>
      <w:r>
        <w:rPr>
          <w:rFonts w:eastAsia="Times New Roman" w:cs="Times New Roman"/>
        </w:rPr>
        <w:t>Kumar, J.; Patel, N.; Sahoo, P. K.; Sudhishri, S.; Yadav, R.; Vibhute, S. D. Development of sensor and decision support system (DSS)-based automated irrigation system for enhancing water productivity of tomato crop. Journal of Soil Salinity and Water Quality, v. 16, n. 2, p. 307-316, 2024. https://doi.org/10.56093/jsswq.v16i2.156426</w:t>
      </w:r>
    </w:p>
    <w:p w14:paraId="457B00B6" w14:textId="77777777" w:rsidR="00A50860" w:rsidRDefault="0034465E" w:rsidP="0034465E">
      <w:pPr>
        <w:pStyle w:val="Corpodetexto"/>
        <w:spacing w:before="0" w:after="120" w:line="360" w:lineRule="auto"/>
        <w:jc w:val="both"/>
      </w:pPr>
      <w:r>
        <w:rPr>
          <w:rFonts w:eastAsia="Times New Roman" w:cs="Times New Roman"/>
        </w:rPr>
        <w:t>Leite, E. M.; Diniz, A. A.; Cavalcante, L. F.; Gheyi, H. R.; Campos, V. B. Redução da sodicidade em solo irrigado com a utilização de ácido sulfúrico e gesso agrícola. Revista Caatinga, v. 23, n. 2, p. 110-116, 2010. https://periodicos.ufersa.edu.br/caatinga/article/view/1419</w:t>
      </w:r>
    </w:p>
    <w:p w14:paraId="1AD7298D" w14:textId="77777777" w:rsidR="00A50860" w:rsidRDefault="0034465E" w:rsidP="0034465E">
      <w:pPr>
        <w:pStyle w:val="Corpodetexto"/>
        <w:spacing w:before="0" w:after="120" w:line="360" w:lineRule="auto"/>
        <w:jc w:val="both"/>
      </w:pPr>
      <w:r>
        <w:rPr>
          <w:rFonts w:eastAsia="Times New Roman" w:cs="Times New Roman"/>
        </w:rPr>
        <w:t>Mandal, A. K. Necessity for quantified measurement of soil sodicity and selection of suitable gypsum amendment for proper reclamation of sodic soils. Pedosphere, v. 33, n. 1, p. 231-235, 2023. https://doi.org/10.1016/j.pedsph.2022.06.038</w:t>
      </w:r>
    </w:p>
    <w:p w14:paraId="4B61BB1F" w14:textId="77777777" w:rsidR="00A50860" w:rsidRDefault="0034465E" w:rsidP="0034465E">
      <w:pPr>
        <w:pStyle w:val="Corpodetexto"/>
        <w:spacing w:before="0" w:after="120" w:line="360" w:lineRule="auto"/>
        <w:jc w:val="both"/>
      </w:pPr>
      <w:r>
        <w:rPr>
          <w:rFonts w:eastAsia="Times New Roman" w:cs="Times New Roman"/>
        </w:rPr>
        <w:t>Pliakoura, A. P.; Beligiannis, G.; Kontogeorgos, A. Mobile device applications usability assessment: the example of an agricultural management application. Journal of Agricultural Informatics, v. 9, n. 3, 2018. https://doi.org/10.17700/jai.2018.9.3.460</w:t>
      </w:r>
    </w:p>
    <w:p w14:paraId="7F54773D" w14:textId="77777777" w:rsidR="00A50860" w:rsidRDefault="0034465E" w:rsidP="0034465E">
      <w:pPr>
        <w:pStyle w:val="Corpodetexto"/>
        <w:spacing w:before="0" w:after="120" w:line="360" w:lineRule="auto"/>
        <w:jc w:val="both"/>
      </w:pPr>
      <w:r>
        <w:rPr>
          <w:rFonts w:eastAsia="Times New Roman" w:cs="Times New Roman"/>
        </w:rPr>
        <w:t>Rahman, R. M. A.; Manikandan, K.; Prabhaharan, J. D.; Shenbagavalli, S.; Deepana, P. Efficacy of sulphuric acid and gypsum amendments on sodic soil reclamation under various water regimes. Agrochimica, v. 66, n. 2, p. 169-181, 2022. https://doi.org/10.12871/000218572022235</w:t>
      </w:r>
    </w:p>
    <w:p w14:paraId="666F5D56" w14:textId="77777777" w:rsidR="00A50860" w:rsidRDefault="0034465E" w:rsidP="0034465E">
      <w:pPr>
        <w:pStyle w:val="Corpodetexto"/>
        <w:spacing w:before="0" w:after="120" w:line="360" w:lineRule="auto"/>
        <w:jc w:val="both"/>
      </w:pPr>
      <w:r>
        <w:rPr>
          <w:rFonts w:eastAsia="Times New Roman" w:cs="Times New Roman"/>
        </w:rPr>
        <w:t>Richards, L. A. (Ed.). Diagnosis and improvement of saline and alkali soils. Washington: USDA, 1954. 160p. (Agriculture Handbook, 60).</w:t>
      </w:r>
    </w:p>
    <w:p w14:paraId="595CA7F3" w14:textId="77777777" w:rsidR="00A50860" w:rsidRDefault="0034465E" w:rsidP="0034465E">
      <w:pPr>
        <w:pStyle w:val="Corpodetexto"/>
        <w:spacing w:before="0" w:after="120" w:line="360" w:lineRule="auto"/>
        <w:jc w:val="both"/>
      </w:pPr>
      <w:r>
        <w:rPr>
          <w:rFonts w:eastAsia="Times New Roman" w:cs="Times New Roman"/>
        </w:rPr>
        <w:t>Santos, R. V.; Cavalcante, L. F.; Vital, A. F. M. Interação salinidade-fertilidade do solo. In: Gheyi, H. R.; Dias, N. S.; Lacerda, C. F. (Ed.). Manejo da salinidade na agricultura: estudos básicos e aplicados. Fortaleza: INCTSal, 2010. cap. 6, p. 83-92.</w:t>
      </w:r>
    </w:p>
    <w:p w14:paraId="52A3EAD8" w14:textId="77777777" w:rsidR="00A50860" w:rsidRDefault="0034465E" w:rsidP="0034465E">
      <w:pPr>
        <w:pStyle w:val="Corpodetexto"/>
        <w:spacing w:before="0" w:after="120" w:line="360" w:lineRule="auto"/>
        <w:jc w:val="both"/>
      </w:pPr>
      <w:r>
        <w:rPr>
          <w:rFonts w:eastAsia="Times New Roman" w:cs="Times New Roman"/>
        </w:rPr>
        <w:t>Sommerville, I. Engenharia de software. 10. ed. São Paulo: Pearson, 2019. 768p.</w:t>
      </w:r>
    </w:p>
    <w:p w14:paraId="75754AF0" w14:textId="77777777" w:rsidR="00A50860" w:rsidRDefault="0034465E" w:rsidP="0034465E">
      <w:pPr>
        <w:pStyle w:val="Corpodetexto"/>
        <w:spacing w:before="0" w:after="120" w:line="360" w:lineRule="auto"/>
        <w:jc w:val="both"/>
      </w:pPr>
      <w:r>
        <w:rPr>
          <w:rFonts w:eastAsia="Times New Roman" w:cs="Times New Roman"/>
        </w:rPr>
        <w:t>Souza, J. J.; Farias, C. S.; Santos, D. B.; Lima, R. M. Efeito da lixiviação sob a solução do solo salino-sódico enriquecido de gesso agrícola e biochar. Cadernos Macambira, v. 8, n. especial 1, p. 231-237, 2023. https://doi.org/10.59033/cm.v8iespecial1.1150</w:t>
      </w:r>
    </w:p>
    <w:p w14:paraId="2FC8DDA9" w14:textId="77777777" w:rsidR="00A50860" w:rsidRDefault="0034465E" w:rsidP="0034465E">
      <w:pPr>
        <w:pStyle w:val="Corpodetexto"/>
        <w:spacing w:before="0" w:after="120" w:line="360" w:lineRule="auto"/>
        <w:jc w:val="both"/>
      </w:pPr>
      <w:r>
        <w:rPr>
          <w:rFonts w:eastAsia="Times New Roman" w:cs="Times New Roman"/>
        </w:rPr>
        <w:t>Tito Sousa, I.; Ferraz, D. S.; Carvalho, R. L.; Silva, A. M. Atuação de diferentes corretivos na recuperação de solo salino-sódico cultivado com Pithecellobium dulce (Roxb.) Benth. Revista Brasileira de Geografia Física, v. 17, n. 1, p. 626-637, 2024. https://doi.org/10.26848/rbgf.v17.1.p626-637</w:t>
      </w:r>
    </w:p>
    <w:p w14:paraId="47EC7BA1" w14:textId="77777777" w:rsidR="00A50860" w:rsidRDefault="0034465E" w:rsidP="0034465E">
      <w:pPr>
        <w:pStyle w:val="Corpodetexto"/>
        <w:spacing w:before="0" w:after="120" w:line="360" w:lineRule="auto"/>
        <w:jc w:val="both"/>
      </w:pPr>
      <w:r>
        <w:rPr>
          <w:rFonts w:eastAsia="Times New Roman" w:cs="Times New Roman"/>
        </w:rPr>
        <w:t>World Wide Web Consortium (W3C). Web Content Accessibility Guidelines (WCAG) 2.1. Cambridge: W3C, 2018. Disponível em: https://www.w3.org/TR/WCAG21/. Acesso em: 22 out. 2026.</w:t>
      </w:r>
    </w:p>
    <w:p w14:paraId="564FA428" w14:textId="77777777" w:rsidR="00A50860" w:rsidRDefault="0034465E" w:rsidP="0034465E">
      <w:pPr>
        <w:pStyle w:val="Corpodetexto"/>
        <w:spacing w:before="0" w:after="120" w:line="360" w:lineRule="auto"/>
        <w:jc w:val="both"/>
      </w:pPr>
      <w:r>
        <w:rPr>
          <w:rFonts w:eastAsia="Times New Roman" w:cs="Times New Roman"/>
        </w:rPr>
        <w:t>Yadav, R.; Kumar, K.; Kumari, K.; Prakash, R.; Singh, A. Effect of gypsum and zinc on performance and nutrient content of wheat crop under sodic water irrigation. Journal of Soil Salinity and Water Quality, v. 17, n. 1, p. 27-34, 2025. https://doi.org/10.56093/jsswq.v17i1.166341</w:t>
      </w:r>
    </w:p>
    <w:sectPr w:rsidR="00A50860">
      <w:footerReference w:type="default" r:id="rId9"/>
      <w:footnotePr>
        <w:numRestart w:val="eachSect"/>
      </w:footnotePr>
      <w:pgSz w:w="11906" w:h="16838"/>
      <w:pgMar w:top="1134" w:right="1417" w:bottom="1134" w:left="1417" w:header="567" w:footer="567" w:gutter="0"/>
      <w:lnNumType w:countBy="1" w:distance="360"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55C00" w14:textId="77777777" w:rsidR="00963799" w:rsidRDefault="00963799">
      <w:pPr>
        <w:spacing w:after="0"/>
      </w:pPr>
      <w:r>
        <w:separator/>
      </w:r>
    </w:p>
  </w:endnote>
  <w:endnote w:type="continuationSeparator" w:id="0">
    <w:p w14:paraId="6470C193" w14:textId="77777777" w:rsidR="00963799" w:rsidRDefault="009637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2D52A" w14:textId="77777777" w:rsidR="00A50860" w:rsidRDefault="0034465E">
    <w:pPr>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4A6AF" w14:textId="77777777" w:rsidR="00963799" w:rsidRDefault="00963799">
      <w:pPr>
        <w:spacing w:after="0"/>
      </w:pPr>
      <w:r>
        <w:separator/>
      </w:r>
    </w:p>
  </w:footnote>
  <w:footnote w:type="continuationSeparator" w:id="0">
    <w:p w14:paraId="19B92B3C" w14:textId="77777777" w:rsidR="00963799" w:rsidRDefault="0096379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20E8C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99053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50860"/>
    <w:rsid w:val="0034465E"/>
    <w:rsid w:val="0053620C"/>
    <w:rsid w:val="005F4854"/>
    <w:rsid w:val="00963799"/>
    <w:rsid w:val="00A50860"/>
    <w:rsid w:val="00C50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A0DF6"/>
  <w15:docId w15:val="{C3532349-01C5-454A-B6AF-279875C0F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Nmerodelinha">
    <w:name w:val="line number"/>
    <w:basedOn w:val="Fontepargpadro"/>
    <w:rsid w:val="00C50477"/>
  </w:style>
  <w:style w:type="paragraph" w:customStyle="1" w:styleId="LegendaFigura">
    <w:name w:val="Legenda Figura"/>
    <w:basedOn w:val="Legenda"/>
    <w:rsid w:val="0034465E"/>
    <w:pPr>
      <w:spacing w:line="360" w:lineRule="auto"/>
      <w:jc w:val="both"/>
    </w:pPr>
    <w:rPr>
      <w:rFonts w:eastAsia="Times New Roman" w:cs="Times New Roman"/>
    </w:rPr>
  </w:style>
  <w:style w:type="paragraph" w:customStyle="1" w:styleId="LegendaTabela">
    <w:name w:val="Legenda Tabela"/>
    <w:basedOn w:val="Legenda"/>
    <w:rsid w:val="0034465E"/>
    <w:pPr>
      <w:spacing w:after="0" w:line="360" w:lineRule="auto"/>
      <w:jc w:val="both"/>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3645</Words>
  <Characters>19686</Characters>
  <Application>Microsoft Office Word</Application>
  <DocSecurity>0</DocSecurity>
  <Lines>164</Lines>
  <Paragraphs>46</Paragraphs>
  <ScaleCrop>false</ScaleCrop>
  <Company/>
  <LinksUpToDate>false</LinksUpToDate>
  <CharactersWithSpaces>23285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RECUPERA-SOLO: sistema de apoio à decisão para recuperação de solos sódicos</dc:title>
  <dc:subject>Artigo científico</dc:subject>
  <dc:creator>Nildo Dias; Francisco de Assis P. V. de Arruda</dc:creator>
  <cp:keywords/>
  <cp:lastModifiedBy>Xico</cp:lastModifiedBy>
  <cp:revision>3</cp:revision>
  <dcterms:created xsi:type="dcterms:W3CDTF">2026-10-22T18:56:00Z</dcterms:created>
  <dcterms:modified xsi:type="dcterms:W3CDTF">2026-10-22T19:48:00Z</dcterms:modified>
</cp:coreProperties>
</file>