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Ind w:w="-115" w:type="dxa"/>
        <w:tblBorders>
          <w:top w:val="single" w:sz="2" w:space="0" w:color="CC0000"/>
          <w:left w:val="single" w:sz="2" w:space="0" w:color="CC0000"/>
          <w:bottom w:val="single" w:sz="2" w:space="0" w:color="CC0000"/>
          <w:insideH w:val="single" w:sz="2" w:space="0" w:color="CC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3735"/>
        <w:gridCol w:w="5910"/>
      </w:tblGrid>
      <w:tr w:rsidR="007A664C" w14:paraId="0072AD9E" w14:textId="77777777">
        <w:tc>
          <w:tcPr>
            <w:tcW w:w="3735" w:type="dxa"/>
            <w:tcBorders>
              <w:top w:val="single" w:sz="2" w:space="0" w:color="CC0000"/>
              <w:left w:val="single" w:sz="2" w:space="0" w:color="CC0000"/>
              <w:bottom w:val="single" w:sz="2" w:space="0" w:color="CC0000"/>
            </w:tcBorders>
            <w:shd w:val="clear" w:color="auto" w:fill="FFFFFF"/>
            <w:tcMar>
              <w:left w:w="99" w:type="dxa"/>
            </w:tcMar>
          </w:tcPr>
          <w:p w14:paraId="0072AD9C" w14:textId="77777777" w:rsidR="007A664C" w:rsidRDefault="00EF58A5">
            <w:pPr>
              <w:pStyle w:val="TableContents"/>
              <w:jc w:val="center"/>
              <w:rPr>
                <w:color w:val="800000"/>
              </w:rPr>
            </w:pPr>
            <w:r>
              <w:rPr>
                <w:rFonts w:ascii="Arial" w:hAnsi="Arial" w:cs="Nimbus Sans L;Arial"/>
                <w:b/>
                <w:bCs/>
                <w:color w:val="800000"/>
                <w:sz w:val="20"/>
                <w:szCs w:val="20"/>
              </w:rPr>
              <w:t>Master in Omics Data Analysis</w:t>
            </w:r>
          </w:p>
        </w:tc>
        <w:tc>
          <w:tcPr>
            <w:tcW w:w="5910" w:type="dxa"/>
            <w:tcBorders>
              <w:top w:val="single" w:sz="2" w:space="0" w:color="CC0000"/>
              <w:left w:val="single" w:sz="2" w:space="0" w:color="CC0000"/>
              <w:bottom w:val="single" w:sz="2" w:space="0" w:color="CC0000"/>
              <w:right w:val="single" w:sz="2" w:space="0" w:color="CC0000"/>
            </w:tcBorders>
            <w:shd w:val="clear" w:color="auto" w:fill="FFFFFF"/>
            <w:tcMar>
              <w:left w:w="99" w:type="dxa"/>
            </w:tcMar>
          </w:tcPr>
          <w:p w14:paraId="0072AD9D" w14:textId="77777777" w:rsidR="007A664C" w:rsidRDefault="00EF58A5">
            <w:pPr>
              <w:pStyle w:val="TableContents"/>
              <w:jc w:val="center"/>
              <w:rPr>
                <w:color w:val="800000"/>
              </w:rPr>
            </w:pPr>
            <w:r>
              <w:rPr>
                <w:rFonts w:ascii="Arial" w:hAnsi="Arial" w:cs="Nimbus Sans L;Arial"/>
                <w:b/>
                <w:bCs/>
                <w:color w:val="800000"/>
                <w:sz w:val="20"/>
                <w:szCs w:val="20"/>
              </w:rPr>
              <w:t>Gene regulation exercise</w:t>
            </w:r>
          </w:p>
        </w:tc>
      </w:tr>
      <w:tr w:rsidR="007A664C" w14:paraId="0072ADA1" w14:textId="77777777">
        <w:tc>
          <w:tcPr>
            <w:tcW w:w="3735" w:type="dxa"/>
            <w:tcBorders>
              <w:top w:val="single" w:sz="2" w:space="0" w:color="CC0000"/>
              <w:left w:val="single" w:sz="2" w:space="0" w:color="CC0000"/>
              <w:bottom w:val="single" w:sz="2" w:space="0" w:color="CC0000"/>
            </w:tcBorders>
            <w:shd w:val="clear" w:color="auto" w:fill="FFFFFF"/>
            <w:tcMar>
              <w:left w:w="99" w:type="dxa"/>
            </w:tcMar>
          </w:tcPr>
          <w:p w14:paraId="0072AD9F" w14:textId="77777777" w:rsidR="007A664C" w:rsidRDefault="00EF58A5">
            <w:pPr>
              <w:pStyle w:val="TableContents"/>
              <w:jc w:val="center"/>
              <w:rPr>
                <w:color w:val="800000"/>
              </w:rPr>
            </w:pPr>
            <w:proofErr w:type="spellStart"/>
            <w:r>
              <w:rPr>
                <w:rFonts w:ascii="Arial" w:hAnsi="Arial" w:cs="Nimbus Sans L;Arial"/>
                <w:color w:val="800000"/>
                <w:sz w:val="20"/>
                <w:szCs w:val="20"/>
              </w:rPr>
              <w:t>Universitat</w:t>
            </w:r>
            <w:proofErr w:type="spellEnd"/>
            <w:r>
              <w:rPr>
                <w:rFonts w:ascii="Arial" w:hAnsi="Arial" w:cs="Nimbus Sans L;Arial"/>
                <w:color w:val="800000"/>
                <w:sz w:val="20"/>
                <w:szCs w:val="20"/>
              </w:rPr>
              <w:t xml:space="preserve"> de Vic</w:t>
            </w:r>
          </w:p>
        </w:tc>
        <w:tc>
          <w:tcPr>
            <w:tcW w:w="5910" w:type="dxa"/>
            <w:tcBorders>
              <w:top w:val="single" w:sz="2" w:space="0" w:color="CC0000"/>
              <w:left w:val="single" w:sz="2" w:space="0" w:color="CC0000"/>
              <w:bottom w:val="single" w:sz="2" w:space="0" w:color="CC0000"/>
              <w:right w:val="single" w:sz="2" w:space="0" w:color="CC0000"/>
            </w:tcBorders>
            <w:shd w:val="clear" w:color="auto" w:fill="FFFFFF"/>
            <w:tcMar>
              <w:left w:w="99" w:type="dxa"/>
            </w:tcMar>
          </w:tcPr>
          <w:p w14:paraId="0072ADA0" w14:textId="77777777" w:rsidR="007A664C" w:rsidRDefault="00EF58A5">
            <w:pPr>
              <w:pStyle w:val="TableContents"/>
              <w:jc w:val="center"/>
            </w:pPr>
            <w:r>
              <w:rPr>
                <w:rFonts w:ascii="Arial" w:hAnsi="Arial" w:cs="Nimbus Sans L;Arial"/>
                <w:color w:val="800000"/>
                <w:sz w:val="20"/>
                <w:szCs w:val="20"/>
              </w:rPr>
              <w:t>Teacher: J.M. Serrat</w:t>
            </w:r>
          </w:p>
        </w:tc>
      </w:tr>
      <w:tr w:rsidR="007A664C" w14:paraId="0072ADA3" w14:textId="77777777">
        <w:tc>
          <w:tcPr>
            <w:tcW w:w="9645" w:type="dxa"/>
            <w:gridSpan w:val="2"/>
            <w:tcBorders>
              <w:top w:val="single" w:sz="2" w:space="0" w:color="CC0000"/>
              <w:left w:val="single" w:sz="2" w:space="0" w:color="CC0000"/>
              <w:bottom w:val="single" w:sz="2" w:space="0" w:color="CC0000"/>
              <w:right w:val="single" w:sz="2" w:space="0" w:color="CC0000"/>
            </w:tcBorders>
            <w:shd w:val="clear" w:color="auto" w:fill="FFFFFF"/>
            <w:tcMar>
              <w:left w:w="99" w:type="dxa"/>
            </w:tcMar>
          </w:tcPr>
          <w:p w14:paraId="0072ADA2" w14:textId="6481ECF2" w:rsidR="007A664C" w:rsidRDefault="00EF58A5">
            <w:pPr>
              <w:pStyle w:val="TableContents"/>
              <w:rPr>
                <w:color w:val="800000"/>
              </w:rPr>
            </w:pPr>
            <w:r>
              <w:rPr>
                <w:rFonts w:ascii="Arial" w:hAnsi="Arial" w:cs="Nimbus Sans L;Arial"/>
                <w:color w:val="800000"/>
                <w:sz w:val="20"/>
                <w:szCs w:val="20"/>
              </w:rPr>
              <w:t xml:space="preserve">Name and Surname: </w:t>
            </w:r>
            <w:r w:rsidR="00932615">
              <w:rPr>
                <w:rFonts w:ascii="Arial" w:hAnsi="Arial" w:cs="Nimbus Sans L;Arial"/>
                <w:color w:val="800000"/>
                <w:sz w:val="20"/>
                <w:szCs w:val="20"/>
              </w:rPr>
              <w:t>Pierre Wensel</w:t>
            </w:r>
          </w:p>
        </w:tc>
      </w:tr>
    </w:tbl>
    <w:p w14:paraId="0072ADA4" w14:textId="77777777" w:rsidR="007A664C" w:rsidRDefault="007A664C"/>
    <w:p w14:paraId="0072ADA5" w14:textId="77777777" w:rsidR="007A664C" w:rsidRDefault="00EF58A5">
      <w:r>
        <w:rPr>
          <w:rFonts w:ascii="Arial" w:hAnsi="Arial"/>
          <w:b/>
          <w:bCs/>
        </w:rPr>
        <w:t xml:space="preserve">How the authors of the article </w:t>
      </w:r>
      <w:r>
        <w:rPr>
          <w:rFonts w:ascii="Arial" w:hAnsi="Arial"/>
          <w:i/>
          <w:iCs/>
        </w:rPr>
        <w:t>Enhancers: five essential questions</w:t>
      </w:r>
      <w:r>
        <w:rPr>
          <w:rFonts w:ascii="Arial" w:hAnsi="Arial"/>
          <w:b/>
          <w:bCs/>
        </w:rPr>
        <w:t xml:space="preserve"> answer the following questions? Write no more than five sentences for each question. </w:t>
      </w:r>
    </w:p>
    <w:p w14:paraId="0072ADA6" w14:textId="77777777" w:rsidR="007A664C" w:rsidRDefault="007A664C"/>
    <w:tbl>
      <w:tblPr>
        <w:tblW w:w="9639" w:type="dxa"/>
        <w:tblInd w:w="-11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9639"/>
      </w:tblGrid>
      <w:tr w:rsidR="007A664C" w14:paraId="0072ADA8" w14:textId="77777777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9" w:type="dxa"/>
            </w:tcMar>
          </w:tcPr>
          <w:p w14:paraId="0072ADA7" w14:textId="77777777" w:rsidR="007A664C" w:rsidRDefault="00EF58A5">
            <w:pPr>
              <w:tabs>
                <w:tab w:val="left" w:pos="360"/>
              </w:tabs>
              <w:jc w:val="both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 What are the challenges in identifying all enhancers and their functions?</w:t>
            </w:r>
          </w:p>
        </w:tc>
      </w:tr>
      <w:tr w:rsidR="007A664C" w14:paraId="0072ADBE" w14:textId="77777777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9" w:type="dxa"/>
            </w:tcMar>
          </w:tcPr>
          <w:p w14:paraId="0072ADA9" w14:textId="77777777" w:rsidR="007A664C" w:rsidRDefault="007A664C">
            <w:pPr>
              <w:pStyle w:val="TableContents"/>
            </w:pPr>
          </w:p>
          <w:p w14:paraId="0072ADAA" w14:textId="5A9947BB" w:rsidR="007A664C" w:rsidRDefault="002100F9">
            <w:pPr>
              <w:pStyle w:val="TableContents"/>
            </w:pPr>
            <w:r>
              <w:t>(1)</w:t>
            </w:r>
            <w:r w:rsidR="00BA122C">
              <w:t xml:space="preserve"> </w:t>
            </w:r>
            <w:r>
              <w:t>T</w:t>
            </w:r>
            <w:r w:rsidR="00E83B87">
              <w:t xml:space="preserve">he </w:t>
            </w:r>
            <w:r w:rsidR="00C43C7B">
              <w:t xml:space="preserve">relatively high, scattered </w:t>
            </w:r>
            <w:r w:rsidR="00E83B87">
              <w:t xml:space="preserve">distribution </w:t>
            </w:r>
            <w:r w:rsidR="00C43C7B">
              <w:t xml:space="preserve">of </w:t>
            </w:r>
            <w:r w:rsidR="00BA122C">
              <w:t xml:space="preserve">enhancers </w:t>
            </w:r>
            <w:r w:rsidR="007029E0">
              <w:t>in</w:t>
            </w:r>
            <w:r w:rsidR="00BA122C">
              <w:t xml:space="preserve"> 98% of the </w:t>
            </w:r>
            <w:r w:rsidR="007029E0">
              <w:t>non-</w:t>
            </w:r>
            <w:r w:rsidR="00AD128F">
              <w:t>protein-</w:t>
            </w:r>
            <w:r w:rsidR="007029E0">
              <w:t xml:space="preserve">coding DNA of </w:t>
            </w:r>
            <w:r w:rsidR="00AD128F">
              <w:t xml:space="preserve">the </w:t>
            </w:r>
            <w:r w:rsidR="00BA122C">
              <w:t xml:space="preserve">human genome </w:t>
            </w:r>
            <w:r w:rsidR="00C9158D">
              <w:t>results in</w:t>
            </w:r>
            <w:r w:rsidR="00BA122C">
              <w:t xml:space="preserve"> a large </w:t>
            </w:r>
            <w:r w:rsidR="009B3271">
              <w:t xml:space="preserve">(billions of bp) </w:t>
            </w:r>
            <w:r w:rsidR="00BA122C">
              <w:t xml:space="preserve">search </w:t>
            </w:r>
            <w:r w:rsidR="00EA30C8">
              <w:t>region</w:t>
            </w:r>
            <w:r w:rsidR="00BA122C">
              <w:t>.</w:t>
            </w:r>
            <w:r>
              <w:t xml:space="preserve"> (2)</w:t>
            </w:r>
            <w:r w:rsidR="00A861CC">
              <w:t xml:space="preserve"> </w:t>
            </w:r>
            <w:r>
              <w:t>C</w:t>
            </w:r>
            <w:r w:rsidR="00BA122C">
              <w:t>is</w:t>
            </w:r>
            <w:r w:rsidR="00A861CC">
              <w:t xml:space="preserve">-regulating </w:t>
            </w:r>
            <w:r w:rsidR="00751B56">
              <w:t>enhancer</w:t>
            </w:r>
            <w:r w:rsidR="001015F0">
              <w:t>s can regulate multiple genes</w:t>
            </w:r>
            <w:r w:rsidR="008E50A0">
              <w:t>, adding complexity. (3) E</w:t>
            </w:r>
            <w:r w:rsidR="001015F0">
              <w:t xml:space="preserve">nhancer </w:t>
            </w:r>
            <w:r w:rsidR="00BA122C">
              <w:t xml:space="preserve">location relative to </w:t>
            </w:r>
            <w:r w:rsidR="001015F0">
              <w:t>such</w:t>
            </w:r>
            <w:r w:rsidR="00BA122C">
              <w:t xml:space="preserve"> target gene (or genes) is highly variable</w:t>
            </w:r>
            <w:r w:rsidR="00EA30C8">
              <w:t xml:space="preserve"> </w:t>
            </w:r>
            <w:r w:rsidR="005F423D">
              <w:t xml:space="preserve">and hard to predict </w:t>
            </w:r>
            <w:r w:rsidR="00EA30C8">
              <w:t>(</w:t>
            </w:r>
            <w:proofErr w:type="gramStart"/>
            <w:r w:rsidR="00EA30C8">
              <w:t>e.g.</w:t>
            </w:r>
            <w:proofErr w:type="gramEnd"/>
            <w:r w:rsidR="00EA30C8">
              <w:t xml:space="preserve"> </w:t>
            </w:r>
            <w:r w:rsidR="00BA122C">
              <w:t>upstream or downstream of genes</w:t>
            </w:r>
            <w:r w:rsidR="008971D1">
              <w:t>,</w:t>
            </w:r>
            <w:r w:rsidR="00BA122C">
              <w:t xml:space="preserve"> within introns</w:t>
            </w:r>
            <w:r w:rsidR="008971D1">
              <w:t>,</w:t>
            </w:r>
            <w:r w:rsidR="00736078">
              <w:t xml:space="preserve"> </w:t>
            </w:r>
            <w:r w:rsidR="00190C7C">
              <w:t>proximate or distant to promoters</w:t>
            </w:r>
            <w:r w:rsidR="00B80A43">
              <w:t>, etc.). (4) E</w:t>
            </w:r>
            <w:r w:rsidR="00BA122C">
              <w:t>nhancers cannot be identified computationally from DNA sequence alone with high confidence</w:t>
            </w:r>
            <w:r w:rsidR="00596BE1">
              <w:t xml:space="preserve"> </w:t>
            </w:r>
            <w:r w:rsidR="00B61D73">
              <w:t xml:space="preserve">as with protein-coding genes </w:t>
            </w:r>
            <w:r w:rsidR="00596BE1">
              <w:t xml:space="preserve">because </w:t>
            </w:r>
            <w:r w:rsidR="000A685D">
              <w:t>the general sequence code of enhancers, if one exists at all, is poorly understood.</w:t>
            </w:r>
            <w:r w:rsidR="000A685D">
              <w:t xml:space="preserve"> </w:t>
            </w:r>
            <w:r w:rsidR="00CE6AB0">
              <w:t>(</w:t>
            </w:r>
            <w:proofErr w:type="gramStart"/>
            <w:r w:rsidR="00CE6AB0">
              <w:t>5)E</w:t>
            </w:r>
            <w:r w:rsidR="00BA122C">
              <w:t>nhancer</w:t>
            </w:r>
            <w:proofErr w:type="gramEnd"/>
            <w:r w:rsidR="00CE6AB0">
              <w:t xml:space="preserve"> activity </w:t>
            </w:r>
            <w:r w:rsidR="005F423D">
              <w:t xml:space="preserve">is difficult to predict or understand, as it </w:t>
            </w:r>
            <w:r w:rsidR="00BA122C">
              <w:t>can be</w:t>
            </w:r>
            <w:r w:rsidR="00CE6AB0">
              <w:t xml:space="preserve"> </w:t>
            </w:r>
            <w:r w:rsidR="001B77B6">
              <w:t>restricted to a particular tissue or cell type, a time point in life, or to specific physiological, pathological or environmental conditions</w:t>
            </w:r>
            <w:r w:rsidR="005F423D">
              <w:t>.</w:t>
            </w:r>
          </w:p>
          <w:p w14:paraId="0072ADAB" w14:textId="77777777" w:rsidR="007A664C" w:rsidRDefault="007A664C">
            <w:pPr>
              <w:pStyle w:val="TableContents"/>
            </w:pPr>
          </w:p>
          <w:p w14:paraId="0072ADAC" w14:textId="77777777" w:rsidR="007A664C" w:rsidRDefault="007A664C">
            <w:pPr>
              <w:pStyle w:val="TableContents"/>
            </w:pPr>
          </w:p>
          <w:p w14:paraId="0072ADAD" w14:textId="77777777" w:rsidR="007A664C" w:rsidRDefault="007A664C">
            <w:pPr>
              <w:pStyle w:val="TableContents"/>
            </w:pPr>
          </w:p>
          <w:p w14:paraId="0072ADAE" w14:textId="77777777" w:rsidR="007A664C" w:rsidRDefault="007A664C">
            <w:pPr>
              <w:pStyle w:val="TableContents"/>
            </w:pPr>
          </w:p>
          <w:p w14:paraId="0072ADAF" w14:textId="77777777" w:rsidR="007A664C" w:rsidRDefault="007A664C">
            <w:pPr>
              <w:pStyle w:val="TableContents"/>
            </w:pPr>
          </w:p>
          <w:p w14:paraId="0072ADB0" w14:textId="77777777" w:rsidR="007A664C" w:rsidRDefault="007A664C">
            <w:pPr>
              <w:pStyle w:val="TableContents"/>
            </w:pPr>
          </w:p>
          <w:p w14:paraId="0072ADB1" w14:textId="77777777" w:rsidR="007A664C" w:rsidRDefault="007A664C">
            <w:pPr>
              <w:pStyle w:val="TableContents"/>
            </w:pPr>
          </w:p>
          <w:p w14:paraId="0072ADB2" w14:textId="77777777" w:rsidR="007A664C" w:rsidRDefault="007A664C">
            <w:pPr>
              <w:pStyle w:val="TableContents"/>
            </w:pPr>
          </w:p>
          <w:p w14:paraId="0072ADB3" w14:textId="77777777" w:rsidR="007A664C" w:rsidRDefault="007A664C">
            <w:pPr>
              <w:pStyle w:val="TableContents"/>
            </w:pPr>
          </w:p>
          <w:p w14:paraId="0072ADB4" w14:textId="77777777" w:rsidR="007A664C" w:rsidRDefault="007A664C">
            <w:pPr>
              <w:pStyle w:val="TableContents"/>
            </w:pPr>
          </w:p>
          <w:p w14:paraId="0072ADB5" w14:textId="77777777" w:rsidR="007A664C" w:rsidRDefault="007A664C">
            <w:pPr>
              <w:pStyle w:val="TableContents"/>
            </w:pPr>
          </w:p>
          <w:p w14:paraId="0072ADB6" w14:textId="77777777" w:rsidR="007A664C" w:rsidRDefault="007A664C">
            <w:pPr>
              <w:pStyle w:val="TableContents"/>
            </w:pPr>
          </w:p>
          <w:p w14:paraId="0072ADB7" w14:textId="77777777" w:rsidR="007A664C" w:rsidRDefault="007A664C">
            <w:pPr>
              <w:pStyle w:val="TableContents"/>
            </w:pPr>
          </w:p>
          <w:p w14:paraId="0072ADB8" w14:textId="77777777" w:rsidR="007A664C" w:rsidRDefault="007A664C">
            <w:pPr>
              <w:pStyle w:val="TableContents"/>
            </w:pPr>
          </w:p>
          <w:p w14:paraId="0072ADB9" w14:textId="77777777" w:rsidR="007A664C" w:rsidRDefault="007A664C">
            <w:pPr>
              <w:pStyle w:val="TableContents"/>
            </w:pPr>
          </w:p>
          <w:p w14:paraId="0072ADBA" w14:textId="77777777" w:rsidR="007A664C" w:rsidRDefault="007A664C">
            <w:pPr>
              <w:pStyle w:val="TableContents"/>
            </w:pPr>
          </w:p>
          <w:p w14:paraId="0072ADBB" w14:textId="77777777" w:rsidR="007A664C" w:rsidRDefault="007A664C">
            <w:pPr>
              <w:pStyle w:val="TableContents"/>
            </w:pPr>
          </w:p>
          <w:p w14:paraId="0072ADBC" w14:textId="77777777" w:rsidR="007A664C" w:rsidRDefault="007A664C">
            <w:pPr>
              <w:pStyle w:val="TableContents"/>
            </w:pPr>
          </w:p>
          <w:p w14:paraId="0072ADBD" w14:textId="77777777" w:rsidR="007A664C" w:rsidRDefault="007A664C">
            <w:pPr>
              <w:pStyle w:val="TableContents"/>
            </w:pPr>
          </w:p>
        </w:tc>
      </w:tr>
    </w:tbl>
    <w:p w14:paraId="0072ADBF" w14:textId="77777777" w:rsidR="007A664C" w:rsidRDefault="007A664C">
      <w:pPr>
        <w:pStyle w:val="Textbody"/>
      </w:pPr>
    </w:p>
    <w:tbl>
      <w:tblPr>
        <w:tblW w:w="9639" w:type="dxa"/>
        <w:tblInd w:w="-11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9639"/>
      </w:tblGrid>
      <w:tr w:rsidR="007A664C" w14:paraId="0072ADC1" w14:textId="77777777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9" w:type="dxa"/>
            </w:tcMar>
          </w:tcPr>
          <w:p w14:paraId="0072ADC0" w14:textId="72B5CE8E" w:rsidR="007A664C" w:rsidRDefault="00EF58A5">
            <w:pPr>
              <w:pStyle w:val="TableContents"/>
              <w:jc w:val="both"/>
            </w:pPr>
            <w:r>
              <w:rPr>
                <w:rFonts w:ascii="Arial" w:hAnsi="Arial" w:cs="Nimbus Sans L;Arial"/>
                <w:b/>
                <w:bCs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How do enhancers bring about gen</w:t>
            </w:r>
            <w:r w:rsidR="00D35959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expression?</w:t>
            </w:r>
          </w:p>
        </w:tc>
      </w:tr>
      <w:tr w:rsidR="007A664C" w14:paraId="0072ADD6" w14:textId="77777777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9" w:type="dxa"/>
            </w:tcMar>
          </w:tcPr>
          <w:p w14:paraId="0072ADC2" w14:textId="77777777" w:rsidR="007A664C" w:rsidRDefault="007A664C">
            <w:pPr>
              <w:pStyle w:val="TableContents"/>
            </w:pPr>
          </w:p>
          <w:p w14:paraId="0072ADC3" w14:textId="0DDF539A" w:rsidR="007A664C" w:rsidRDefault="001177C4">
            <w:pPr>
              <w:pStyle w:val="TableContents"/>
            </w:pPr>
            <w:r>
              <w:t>Enhancers are DNA</w:t>
            </w:r>
            <w:r w:rsidR="00F85857">
              <w:t xml:space="preserve"> cis-</w:t>
            </w:r>
            <w:r>
              <w:t xml:space="preserve">regulatory elements that </w:t>
            </w:r>
            <w:r w:rsidR="005164E2">
              <w:t xml:space="preserve">from a distance </w:t>
            </w:r>
            <w:r>
              <w:t>activate transcription of a gene or genes to higher levels than would be the case in their absence</w:t>
            </w:r>
            <w:r w:rsidR="00E42D11">
              <w:t xml:space="preserve">. Enhancers form </w:t>
            </w:r>
            <w:r>
              <w:t>chromatin loops</w:t>
            </w:r>
            <w:r w:rsidR="00C541A7">
              <w:t xml:space="preserve"> that can</w:t>
            </w:r>
            <w:r w:rsidR="002A0CCC">
              <w:t xml:space="preserve"> be established</w:t>
            </w:r>
            <w:r w:rsidR="009A5DF8">
              <w:t>, activated,</w:t>
            </w:r>
            <w:r w:rsidR="002A0CCC">
              <w:t xml:space="preserve"> or stabilized via, potentially, </w:t>
            </w:r>
            <w:r w:rsidR="00874B56">
              <w:t xml:space="preserve">their </w:t>
            </w:r>
            <w:r w:rsidR="00E04D6C">
              <w:t xml:space="preserve">own </w:t>
            </w:r>
            <w:proofErr w:type="spellStart"/>
            <w:r w:rsidR="002A0CCC">
              <w:t>eRNA</w:t>
            </w:r>
            <w:proofErr w:type="spellEnd"/>
            <w:r w:rsidR="002A0CCC">
              <w:t xml:space="preserve"> transcription, all</w:t>
            </w:r>
            <w:r>
              <w:t xml:space="preserve"> to </w:t>
            </w:r>
            <w:r w:rsidR="00E42D11">
              <w:t>(a)</w:t>
            </w:r>
            <w:r>
              <w:t>bring the</w:t>
            </w:r>
            <w:r w:rsidR="00BD7762">
              <w:t>mselves</w:t>
            </w:r>
            <w:r>
              <w:t xml:space="preserve"> and target gene into proximity</w:t>
            </w:r>
            <w:r w:rsidR="00E42D11">
              <w:t xml:space="preserve">, </w:t>
            </w:r>
            <w:r w:rsidR="007264AF">
              <w:t xml:space="preserve">(b) </w:t>
            </w:r>
            <w:r w:rsidR="005038AF">
              <w:t xml:space="preserve">recruit </w:t>
            </w:r>
            <w:r w:rsidR="00AD7408">
              <w:t xml:space="preserve">and </w:t>
            </w:r>
            <w:r w:rsidR="007264AF">
              <w:t xml:space="preserve">increase the local </w:t>
            </w:r>
            <w:r w:rsidR="00FA1F1E">
              <w:t xml:space="preserve">and focal </w:t>
            </w:r>
            <w:r w:rsidR="007264AF">
              <w:t xml:space="preserve">concentration of </w:t>
            </w:r>
            <w:r w:rsidR="00D90C92">
              <w:t xml:space="preserve">interacting </w:t>
            </w:r>
            <w:r w:rsidR="007264AF">
              <w:t xml:space="preserve">transcription machinery components </w:t>
            </w:r>
            <w:r w:rsidR="00AD7408">
              <w:t xml:space="preserve">(e.g. </w:t>
            </w:r>
            <w:r w:rsidR="003E07DA">
              <w:t xml:space="preserve">DNA-binding </w:t>
            </w:r>
            <w:r w:rsidR="00AD7408">
              <w:t xml:space="preserve">general transcription factors (GTFs) </w:t>
            </w:r>
            <w:r w:rsidR="003E07DA">
              <w:t xml:space="preserve">bound to promoters </w:t>
            </w:r>
            <w:r w:rsidR="006A2855">
              <w:t>and enhancers</w:t>
            </w:r>
            <w:r w:rsidR="001A5514">
              <w:t xml:space="preserve">, </w:t>
            </w:r>
            <w:r w:rsidR="00AD7408">
              <w:t>RNA polymerase II (Pol II)</w:t>
            </w:r>
            <w:r w:rsidR="001A5514">
              <w:t xml:space="preserve">, </w:t>
            </w:r>
            <w:r w:rsidR="001A5514">
              <w:t>Mediator co-activator complex</w:t>
            </w:r>
            <w:r w:rsidR="001A5514">
              <w:t>es</w:t>
            </w:r>
            <w:r w:rsidR="00126CBB">
              <w:t>)</w:t>
            </w:r>
            <w:r w:rsidR="00AD7408">
              <w:t xml:space="preserve"> </w:t>
            </w:r>
            <w:r w:rsidR="007264AF">
              <w:t>in the target gene</w:t>
            </w:r>
            <w:r w:rsidR="00BD3BE4">
              <w:t>(s) vicinity</w:t>
            </w:r>
            <w:r w:rsidR="00111AC3">
              <w:t xml:space="preserve">, (c) </w:t>
            </w:r>
            <w:r w:rsidR="00022734">
              <w:t>centrally host the</w:t>
            </w:r>
            <w:r w:rsidR="00126CBB">
              <w:t xml:space="preserve"> </w:t>
            </w:r>
            <w:r w:rsidR="000A401F">
              <w:t xml:space="preserve">assembly of pre- </w:t>
            </w:r>
            <w:r w:rsidR="000A401F">
              <w:t>initiation complex (PIC)</w:t>
            </w:r>
            <w:r w:rsidR="001B146E">
              <w:t xml:space="preserve"> that it then can</w:t>
            </w:r>
            <w:r w:rsidR="007264AF">
              <w:t xml:space="preserve"> ‘deliver’ to a promoter</w:t>
            </w:r>
            <w:r w:rsidR="00AA45AE">
              <w:t xml:space="preserve"> or activated gene</w:t>
            </w:r>
            <w:r w:rsidR="000E7002">
              <w:t>, (</w:t>
            </w:r>
            <w:r w:rsidR="001B146E">
              <w:t>d</w:t>
            </w:r>
            <w:r w:rsidR="000E7002">
              <w:t xml:space="preserve">) enable </w:t>
            </w:r>
            <w:r w:rsidR="00F36149">
              <w:t xml:space="preserve">nuclear relocation of the enhancer–promoter pair to a </w:t>
            </w:r>
            <w:r w:rsidR="007051F4">
              <w:t>neighborhood</w:t>
            </w:r>
            <w:r w:rsidR="00F36149">
              <w:t xml:space="preserve"> that is </w:t>
            </w:r>
            <w:proofErr w:type="spellStart"/>
            <w:r w:rsidR="00F36149">
              <w:t>favourable</w:t>
            </w:r>
            <w:proofErr w:type="spellEnd"/>
            <w:r w:rsidR="00F36149">
              <w:t xml:space="preserve"> for tran</w:t>
            </w:r>
            <w:r w:rsidR="000E7002">
              <w:t>scription</w:t>
            </w:r>
            <w:r w:rsidR="00B2445D">
              <w:t>, (</w:t>
            </w:r>
            <w:r w:rsidR="009525FD">
              <w:t>e</w:t>
            </w:r>
            <w:r w:rsidR="00B2445D">
              <w:t xml:space="preserve">) </w:t>
            </w:r>
            <w:r w:rsidR="000F3480">
              <w:t xml:space="preserve">influence both Pol II initiation and elongation </w:t>
            </w:r>
            <w:r w:rsidR="00B2445D">
              <w:t xml:space="preserve">via </w:t>
            </w:r>
            <w:r w:rsidR="000F3480">
              <w:t>direct participation of transcription machinery components in looping</w:t>
            </w:r>
            <w:r w:rsidR="00874B56">
              <w:t xml:space="preserve">. </w:t>
            </w:r>
            <w:r w:rsidR="00FD56B9">
              <w:t xml:space="preserve">enhancer looping on a genome-wide scale may organize active regions of the genome and may determine the destiny of certain genes for </w:t>
            </w:r>
            <w:r w:rsidR="00FD56B9">
              <w:lastRenderedPageBreak/>
              <w:t>transcription factories. I</w:t>
            </w:r>
          </w:p>
          <w:p w14:paraId="0072ADC4" w14:textId="77777777" w:rsidR="007A664C" w:rsidRDefault="007A664C">
            <w:pPr>
              <w:pStyle w:val="TableContents"/>
            </w:pPr>
          </w:p>
          <w:p w14:paraId="0072ADC5" w14:textId="77777777" w:rsidR="007A664C" w:rsidRDefault="007A664C">
            <w:pPr>
              <w:pStyle w:val="TableContents"/>
            </w:pPr>
          </w:p>
          <w:p w14:paraId="0072ADC6" w14:textId="77777777" w:rsidR="007A664C" w:rsidRDefault="007A664C">
            <w:pPr>
              <w:pStyle w:val="TableContents"/>
            </w:pPr>
          </w:p>
          <w:p w14:paraId="0072ADC7" w14:textId="77777777" w:rsidR="007A664C" w:rsidRDefault="007A664C">
            <w:pPr>
              <w:pStyle w:val="TableContents"/>
            </w:pPr>
          </w:p>
          <w:p w14:paraId="0072ADC8" w14:textId="77777777" w:rsidR="007A664C" w:rsidRDefault="007A664C">
            <w:pPr>
              <w:pStyle w:val="TableContents"/>
            </w:pPr>
          </w:p>
          <w:p w14:paraId="0072ADC9" w14:textId="77777777" w:rsidR="007A664C" w:rsidRDefault="007A664C">
            <w:pPr>
              <w:pStyle w:val="TableContents"/>
            </w:pPr>
          </w:p>
          <w:p w14:paraId="0072ADCA" w14:textId="77777777" w:rsidR="007A664C" w:rsidRDefault="007A664C">
            <w:pPr>
              <w:pStyle w:val="TableContents"/>
            </w:pPr>
          </w:p>
          <w:p w14:paraId="0072ADCB" w14:textId="77777777" w:rsidR="007A664C" w:rsidRDefault="007A664C">
            <w:pPr>
              <w:pStyle w:val="TableContents"/>
            </w:pPr>
          </w:p>
          <w:p w14:paraId="0072ADCC" w14:textId="77777777" w:rsidR="007A664C" w:rsidRDefault="007A664C">
            <w:pPr>
              <w:pStyle w:val="TableContents"/>
            </w:pPr>
          </w:p>
          <w:p w14:paraId="0072ADCD" w14:textId="77777777" w:rsidR="007A664C" w:rsidRDefault="007A664C">
            <w:pPr>
              <w:pStyle w:val="TableContents"/>
            </w:pPr>
          </w:p>
          <w:p w14:paraId="0072ADCE" w14:textId="77777777" w:rsidR="007A664C" w:rsidRDefault="007A664C">
            <w:pPr>
              <w:pStyle w:val="TableContents"/>
            </w:pPr>
          </w:p>
          <w:p w14:paraId="0072ADCF" w14:textId="77777777" w:rsidR="007A664C" w:rsidRDefault="007A664C">
            <w:pPr>
              <w:pStyle w:val="TableContents"/>
            </w:pPr>
          </w:p>
          <w:p w14:paraId="0072ADD0" w14:textId="77777777" w:rsidR="007A664C" w:rsidRDefault="007A664C">
            <w:pPr>
              <w:pStyle w:val="TableContents"/>
            </w:pPr>
          </w:p>
          <w:p w14:paraId="0072ADD1" w14:textId="77777777" w:rsidR="007A664C" w:rsidRDefault="007A664C">
            <w:pPr>
              <w:pStyle w:val="TableContents"/>
            </w:pPr>
          </w:p>
          <w:p w14:paraId="0072ADD2" w14:textId="77777777" w:rsidR="007A664C" w:rsidRDefault="007A664C">
            <w:pPr>
              <w:pStyle w:val="TableContents"/>
            </w:pPr>
          </w:p>
          <w:p w14:paraId="0072ADD3" w14:textId="77777777" w:rsidR="007A664C" w:rsidRDefault="007A664C">
            <w:pPr>
              <w:pStyle w:val="TableContents"/>
            </w:pPr>
          </w:p>
          <w:p w14:paraId="0072ADD4" w14:textId="77777777" w:rsidR="007A664C" w:rsidRDefault="007A664C">
            <w:pPr>
              <w:pStyle w:val="TableContents"/>
            </w:pPr>
          </w:p>
          <w:p w14:paraId="0072ADD5" w14:textId="77777777" w:rsidR="007A664C" w:rsidRDefault="007A664C">
            <w:pPr>
              <w:pStyle w:val="TableContents"/>
            </w:pPr>
          </w:p>
        </w:tc>
      </w:tr>
      <w:tr w:rsidR="007A664C" w14:paraId="0072ADD8" w14:textId="77777777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9" w:type="dxa"/>
            </w:tcMar>
          </w:tcPr>
          <w:p w14:paraId="0072ADD7" w14:textId="77777777" w:rsidR="007A664C" w:rsidRDefault="00EF58A5">
            <w:pPr>
              <w:pStyle w:val="TableContents"/>
              <w:ind w:left="-1" w:right="12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3. </w:t>
            </w:r>
            <w:r>
              <w:rPr>
                <w:rFonts w:ascii="Arial" w:hAnsi="Arial" w:cs="Nimbus Sans L;Arial"/>
                <w:b/>
                <w:bCs/>
                <w:sz w:val="20"/>
                <w:szCs w:val="20"/>
              </w:rPr>
              <w:t>How do mutations and variants in enhancers influence human disease?</w:t>
            </w:r>
          </w:p>
        </w:tc>
      </w:tr>
      <w:tr w:rsidR="007A664C" w14:paraId="0072ADF4" w14:textId="77777777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9" w:type="dxa"/>
            </w:tcMar>
          </w:tcPr>
          <w:p w14:paraId="0072ADD9" w14:textId="77777777" w:rsidR="007A664C" w:rsidRDefault="007A664C">
            <w:pPr>
              <w:pStyle w:val="TableContents"/>
            </w:pPr>
          </w:p>
          <w:p w14:paraId="0072ADDA" w14:textId="77777777" w:rsidR="007A664C" w:rsidRDefault="007A664C">
            <w:pPr>
              <w:pStyle w:val="TableContents"/>
            </w:pPr>
          </w:p>
          <w:p w14:paraId="0072ADDB" w14:textId="6AC38A88" w:rsidR="007A664C" w:rsidRDefault="006C63E6">
            <w:pPr>
              <w:pStyle w:val="TableContents"/>
            </w:pPr>
            <w:r>
              <w:t xml:space="preserve">Genetic variation </w:t>
            </w:r>
            <w:r w:rsidR="00C5595C">
              <w:t xml:space="preserve">due to </w:t>
            </w:r>
            <w:r w:rsidR="00002B9D">
              <w:t xml:space="preserve">rare or common </w:t>
            </w:r>
            <w:r w:rsidR="00717F89">
              <w:t>mutations</w:t>
            </w:r>
            <w:r w:rsidR="00C5595C">
              <w:t>, etc.</w:t>
            </w:r>
            <w:r w:rsidR="00717F89">
              <w:t xml:space="preserve"> </w:t>
            </w:r>
            <w:r>
              <w:t xml:space="preserve">in </w:t>
            </w:r>
            <w:r w:rsidR="00ED3200">
              <w:t>pre-existing</w:t>
            </w:r>
            <w:r w:rsidR="00B2589E">
              <w:t xml:space="preserve"> (as well as </w:t>
            </w:r>
            <w:proofErr w:type="gramStart"/>
            <w:r w:rsidR="00B2589E">
              <w:t>newly</w:t>
            </w:r>
            <w:r w:rsidR="009A63BE">
              <w:t>-</w:t>
            </w:r>
            <w:r w:rsidR="00B2589E">
              <w:t>formed</w:t>
            </w:r>
            <w:proofErr w:type="gramEnd"/>
            <w:r w:rsidR="00B2589E">
              <w:t xml:space="preserve"> via gain-of-function) </w:t>
            </w:r>
            <w:r>
              <w:t xml:space="preserve">distant </w:t>
            </w:r>
            <w:r w:rsidR="00C5595C">
              <w:t xml:space="preserve">gene-regulatory </w:t>
            </w:r>
            <w:r>
              <w:t xml:space="preserve">enhancers has been linked to </w:t>
            </w:r>
            <w:r w:rsidR="0019236B">
              <w:t xml:space="preserve">small and large phenotypic effects, </w:t>
            </w:r>
            <w:r w:rsidR="00013AAB">
              <w:t xml:space="preserve">such as </w:t>
            </w:r>
            <w:r>
              <w:t>several human Mendelian disorders</w:t>
            </w:r>
            <w:r w:rsidR="00CC6228">
              <w:t xml:space="preserve"> </w:t>
            </w:r>
            <w:r w:rsidR="00E279C5">
              <w:t>and complex disease traits</w:t>
            </w:r>
            <w:r w:rsidR="00013AAB">
              <w:t xml:space="preserve">. </w:t>
            </w:r>
            <w:r w:rsidR="00E20AD1">
              <w:t>Such variants may have an impact on the risk for more than one disease</w:t>
            </w:r>
            <w:r w:rsidR="00E20AD1">
              <w:t>.</w:t>
            </w:r>
            <w:r w:rsidR="0000095F">
              <w:t xml:space="preserve"> W</w:t>
            </w:r>
            <w:r w:rsidR="0000095F">
              <w:t xml:space="preserve">hereas </w:t>
            </w:r>
            <w:r w:rsidR="0000095F">
              <w:t>mutations</w:t>
            </w:r>
            <w:r w:rsidR="0000095F">
              <w:t xml:space="preserve"> in protein-coding sequences may alter broader aspects of gene expression like RNA processing</w:t>
            </w:r>
            <w:r w:rsidR="00C563A3">
              <w:t xml:space="preserve">, RNA </w:t>
            </w:r>
            <w:r w:rsidR="0000095F">
              <w:t xml:space="preserve">stability, </w:t>
            </w:r>
            <w:r w:rsidR="00C563A3">
              <w:t xml:space="preserve">and </w:t>
            </w:r>
            <w:r w:rsidR="0000095F">
              <w:t>protein folding, etc.</w:t>
            </w:r>
            <w:r w:rsidR="00C563A3">
              <w:t>, m</w:t>
            </w:r>
            <w:r w:rsidR="00575705">
              <w:t>utations in enhancers are largely limited to cis effects on transcription</w:t>
            </w:r>
            <w:r w:rsidR="00CB1261">
              <w:t xml:space="preserve"> </w:t>
            </w:r>
            <w:r w:rsidR="00BA74BB">
              <w:t>t</w:t>
            </w:r>
            <w:r w:rsidR="00CB1261">
              <w:t xml:space="preserve">hereby </w:t>
            </w:r>
            <w:r w:rsidR="00BA74BB">
              <w:t xml:space="preserve">affecting </w:t>
            </w:r>
            <w:r w:rsidR="003F50A0">
              <w:t>subset of the quantitative, temporal and spatial expression of that corresponding gene</w:t>
            </w:r>
            <w:r w:rsidR="003F50A0">
              <w:t>.</w:t>
            </w:r>
            <w:r w:rsidR="00C939EA">
              <w:t xml:space="preserve"> </w:t>
            </w:r>
            <w:r w:rsidR="002050D6">
              <w:t>The modularity of enhancers and their functional compartmentalization imply that regulatory mutations will often have a lower burden on fitness than will coding mutations and may reach high frequency in populations</w:t>
            </w:r>
            <w:r w:rsidR="00BA74BB">
              <w:t>.</w:t>
            </w:r>
          </w:p>
          <w:p w14:paraId="0072ADDC" w14:textId="77777777" w:rsidR="007A664C" w:rsidRDefault="007A664C">
            <w:pPr>
              <w:pStyle w:val="TableContents"/>
            </w:pPr>
          </w:p>
          <w:p w14:paraId="0072ADDD" w14:textId="77777777" w:rsidR="007A664C" w:rsidRDefault="007A664C">
            <w:pPr>
              <w:pStyle w:val="TableContents"/>
            </w:pPr>
          </w:p>
          <w:p w14:paraId="0072ADDE" w14:textId="77777777" w:rsidR="007A664C" w:rsidRDefault="007A664C">
            <w:pPr>
              <w:pStyle w:val="TableContents"/>
            </w:pPr>
          </w:p>
          <w:p w14:paraId="0072ADDF" w14:textId="77777777" w:rsidR="007A664C" w:rsidRDefault="007A664C">
            <w:pPr>
              <w:pStyle w:val="TableContents"/>
            </w:pPr>
          </w:p>
          <w:p w14:paraId="0072ADE0" w14:textId="77777777" w:rsidR="007A664C" w:rsidRDefault="007A664C">
            <w:pPr>
              <w:pStyle w:val="TableContents"/>
            </w:pPr>
          </w:p>
          <w:p w14:paraId="0072ADE1" w14:textId="77777777" w:rsidR="007A664C" w:rsidRDefault="007A664C">
            <w:pPr>
              <w:pStyle w:val="TableContents"/>
            </w:pPr>
          </w:p>
          <w:p w14:paraId="0072ADE2" w14:textId="77777777" w:rsidR="007A664C" w:rsidRDefault="007A664C">
            <w:pPr>
              <w:pStyle w:val="TableContents"/>
            </w:pPr>
          </w:p>
          <w:p w14:paraId="0072ADE3" w14:textId="77777777" w:rsidR="007A664C" w:rsidRDefault="007A664C">
            <w:pPr>
              <w:pStyle w:val="TableContents"/>
            </w:pPr>
          </w:p>
          <w:p w14:paraId="0072ADE4" w14:textId="77777777" w:rsidR="007A664C" w:rsidRDefault="007A664C">
            <w:pPr>
              <w:pStyle w:val="TableContents"/>
            </w:pPr>
          </w:p>
          <w:p w14:paraId="0072ADE5" w14:textId="77777777" w:rsidR="007A664C" w:rsidRDefault="007A664C">
            <w:pPr>
              <w:pStyle w:val="TableContents"/>
            </w:pPr>
          </w:p>
          <w:p w14:paraId="0072ADE6" w14:textId="77777777" w:rsidR="007A664C" w:rsidRDefault="007A664C">
            <w:pPr>
              <w:pStyle w:val="TableContents"/>
            </w:pPr>
          </w:p>
          <w:p w14:paraId="0072ADE7" w14:textId="77777777" w:rsidR="007A664C" w:rsidRDefault="007A664C">
            <w:pPr>
              <w:pStyle w:val="TableContents"/>
            </w:pPr>
          </w:p>
          <w:p w14:paraId="0072ADE8" w14:textId="77777777" w:rsidR="007A664C" w:rsidRDefault="007A664C">
            <w:pPr>
              <w:pStyle w:val="TableContents"/>
            </w:pPr>
          </w:p>
          <w:p w14:paraId="0072ADE9" w14:textId="77777777" w:rsidR="007A664C" w:rsidRDefault="007A664C">
            <w:pPr>
              <w:pStyle w:val="TableContents"/>
            </w:pPr>
          </w:p>
          <w:p w14:paraId="0072ADEA" w14:textId="77777777" w:rsidR="007A664C" w:rsidRDefault="007A664C">
            <w:pPr>
              <w:pStyle w:val="TableContents"/>
            </w:pPr>
          </w:p>
          <w:p w14:paraId="0072ADEB" w14:textId="77777777" w:rsidR="007A664C" w:rsidRDefault="007A664C">
            <w:pPr>
              <w:pStyle w:val="TableContents"/>
            </w:pPr>
          </w:p>
          <w:p w14:paraId="0072ADEC" w14:textId="77777777" w:rsidR="007A664C" w:rsidRDefault="007A664C">
            <w:pPr>
              <w:pStyle w:val="TableContents"/>
            </w:pPr>
          </w:p>
          <w:p w14:paraId="0072ADED" w14:textId="77777777" w:rsidR="007A664C" w:rsidRDefault="007A664C">
            <w:pPr>
              <w:pStyle w:val="TableContents"/>
            </w:pPr>
          </w:p>
          <w:p w14:paraId="0072ADEE" w14:textId="77777777" w:rsidR="007A664C" w:rsidRDefault="007A664C">
            <w:pPr>
              <w:pStyle w:val="TableContents"/>
            </w:pPr>
          </w:p>
          <w:p w14:paraId="0072ADEF" w14:textId="77777777" w:rsidR="007A664C" w:rsidRDefault="007A664C">
            <w:pPr>
              <w:pStyle w:val="TableContents"/>
            </w:pPr>
          </w:p>
          <w:p w14:paraId="0072ADF0" w14:textId="77777777" w:rsidR="007A664C" w:rsidRDefault="007A664C">
            <w:pPr>
              <w:pStyle w:val="TableContents"/>
            </w:pPr>
          </w:p>
          <w:p w14:paraId="0072ADF1" w14:textId="77777777" w:rsidR="007A664C" w:rsidRDefault="007A664C">
            <w:pPr>
              <w:pStyle w:val="TableContents"/>
            </w:pPr>
          </w:p>
          <w:p w14:paraId="0072ADF2" w14:textId="77777777" w:rsidR="007A664C" w:rsidRDefault="007A664C">
            <w:pPr>
              <w:pStyle w:val="TableContents"/>
            </w:pPr>
          </w:p>
          <w:p w14:paraId="0072ADF3" w14:textId="77777777" w:rsidR="007A664C" w:rsidRDefault="007A664C">
            <w:pPr>
              <w:pStyle w:val="TableContents"/>
            </w:pPr>
          </w:p>
        </w:tc>
      </w:tr>
    </w:tbl>
    <w:p w14:paraId="0072ADF5" w14:textId="77777777" w:rsidR="007A664C" w:rsidRDefault="007A664C">
      <w:pPr>
        <w:pStyle w:val="Textbody"/>
      </w:pPr>
    </w:p>
    <w:tbl>
      <w:tblPr>
        <w:tblW w:w="9639" w:type="dxa"/>
        <w:tblInd w:w="-11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9639"/>
      </w:tblGrid>
      <w:tr w:rsidR="007A664C" w14:paraId="0072ADF7" w14:textId="77777777">
        <w:trPr>
          <w:tblHeader/>
        </w:trPr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9" w:type="dxa"/>
            </w:tcMar>
          </w:tcPr>
          <w:p w14:paraId="0072ADF6" w14:textId="77777777" w:rsidR="007A664C" w:rsidRDefault="00EF58A5">
            <w:pPr>
              <w:pStyle w:val="TableContents"/>
            </w:pPr>
            <w:r>
              <w:rPr>
                <w:rFonts w:ascii="Arial" w:hAnsi="Arial" w:cs="Nimbus Sans L;Arial"/>
                <w:b/>
                <w:bCs/>
                <w:sz w:val="20"/>
                <w:szCs w:val="20"/>
              </w:rPr>
              <w:t>4. How important are changes in enhancers for evolution?</w:t>
            </w:r>
          </w:p>
        </w:tc>
      </w:tr>
      <w:tr w:rsidR="007A664C" w14:paraId="0072AE0A" w14:textId="77777777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9" w:type="dxa"/>
            </w:tcMar>
          </w:tcPr>
          <w:p w14:paraId="0072ADF8" w14:textId="77777777" w:rsidR="007A664C" w:rsidRDefault="007A664C">
            <w:pPr>
              <w:pStyle w:val="TableContents"/>
            </w:pPr>
          </w:p>
          <w:p w14:paraId="0072ADF9" w14:textId="77777777" w:rsidR="007A664C" w:rsidRDefault="007A664C">
            <w:pPr>
              <w:pStyle w:val="TableContents"/>
            </w:pPr>
          </w:p>
          <w:p w14:paraId="0072ADFD" w14:textId="335F2256" w:rsidR="007A664C" w:rsidRDefault="00D4223E">
            <w:pPr>
              <w:pStyle w:val="TableContents"/>
            </w:pPr>
            <w:r>
              <w:t xml:space="preserve">An adaptive genomic mutation </w:t>
            </w:r>
            <w:r w:rsidR="00192345">
              <w:t xml:space="preserve">may </w:t>
            </w:r>
            <w:r w:rsidR="00BE23BD">
              <w:t>manifest itself</w:t>
            </w:r>
            <w:r>
              <w:t xml:space="preserve"> by improving fitness in at least one context that the locus is used in while not perturbing function too much in any other context of its use. </w:t>
            </w:r>
            <w:r w:rsidR="0070224E">
              <w:t>G</w:t>
            </w:r>
            <w:r>
              <w:t>ene sequence mutation may perturb the organism in all contexts where the transcript is in use, increasing the likelihood of a detrimental effect</w:t>
            </w:r>
            <w:r w:rsidR="00390BE0">
              <w:t>.</w:t>
            </w:r>
            <w:r w:rsidR="006B7C76">
              <w:t xml:space="preserve"> </w:t>
            </w:r>
            <w:r w:rsidR="000D73BE">
              <w:t>E</w:t>
            </w:r>
            <w:r w:rsidR="00383790">
              <w:t xml:space="preserve">nhancer modifications </w:t>
            </w:r>
            <w:r w:rsidR="007E1B4A">
              <w:t xml:space="preserve">and gene duplication </w:t>
            </w:r>
            <w:r w:rsidR="00383790">
              <w:t xml:space="preserve">probably </w:t>
            </w:r>
            <w:r w:rsidR="00CA22E7">
              <w:t xml:space="preserve">have driven </w:t>
            </w:r>
            <w:r w:rsidR="001A61DF">
              <w:t>e</w:t>
            </w:r>
            <w:r w:rsidR="00383790">
              <w:t>volution of specific p</w:t>
            </w:r>
            <w:r w:rsidR="00511AD9">
              <w:t>henotypes</w:t>
            </w:r>
            <w:r w:rsidR="00191BBC">
              <w:t xml:space="preserve">, including insect </w:t>
            </w:r>
            <w:r w:rsidR="00511AD9">
              <w:t>body and wing pigmentation and larval trichome formation, butterfly wing patterning</w:t>
            </w:r>
            <w:r w:rsidR="005466DA">
              <w:t xml:space="preserve">, fish </w:t>
            </w:r>
            <w:r w:rsidR="00511AD9">
              <w:t>pelvic fin loss</w:t>
            </w:r>
            <w:r w:rsidR="00307162">
              <w:t xml:space="preserve">, </w:t>
            </w:r>
            <w:r w:rsidR="005466DA">
              <w:t xml:space="preserve">brain expansion, </w:t>
            </w:r>
            <w:r w:rsidR="00B05896">
              <w:t xml:space="preserve">vibrissae loss, </w:t>
            </w:r>
            <w:r w:rsidR="00307162">
              <w:t>loss of vibrissae</w:t>
            </w:r>
            <w:r w:rsidR="00B05896">
              <w:t xml:space="preserve">, and </w:t>
            </w:r>
            <w:r w:rsidR="00307162">
              <w:t>adaptations like lactase persistence.</w:t>
            </w:r>
            <w:r w:rsidR="009B087F">
              <w:t xml:space="preserve"> </w:t>
            </w:r>
            <w:r w:rsidR="003513C1">
              <w:t>Because of</w:t>
            </w:r>
            <w:r w:rsidR="00A66715">
              <w:t xml:space="preserve"> their</w:t>
            </w:r>
            <w:r w:rsidR="003513C1">
              <w:t xml:space="preserve"> </w:t>
            </w:r>
            <w:r w:rsidR="00691C59">
              <w:t xml:space="preserve">old age, </w:t>
            </w:r>
            <w:r w:rsidR="002501AA">
              <w:t xml:space="preserve">high scattered distribution throughout the non-coding </w:t>
            </w:r>
            <w:r w:rsidR="00A66715">
              <w:t>genomes</w:t>
            </w:r>
            <w:r w:rsidR="00353EC2">
              <w:t>,</w:t>
            </w:r>
            <w:r w:rsidR="00A66715">
              <w:t xml:space="preserve"> their </w:t>
            </w:r>
            <w:proofErr w:type="gramStart"/>
            <w:r w:rsidR="00A66715">
              <w:t>aforementioned “modularity”</w:t>
            </w:r>
            <w:proofErr w:type="gramEnd"/>
            <w:r w:rsidR="00A66715">
              <w:t xml:space="preserve">, </w:t>
            </w:r>
            <w:r w:rsidR="00443EAF">
              <w:t>low-likelihood of del</w:t>
            </w:r>
            <w:r w:rsidR="00B81438">
              <w:t xml:space="preserve">etion, </w:t>
            </w:r>
            <w:r w:rsidR="00FB45D8">
              <w:t xml:space="preserve">slow mutation rate, </w:t>
            </w:r>
            <w:r w:rsidR="00FB1C82">
              <w:t>a</w:t>
            </w:r>
            <w:r w:rsidR="00AA1555">
              <w:t xml:space="preserve">nd </w:t>
            </w:r>
            <w:r w:rsidR="00FB1C82">
              <w:t>the</w:t>
            </w:r>
            <w:r w:rsidR="00FE336B">
              <w:t xml:space="preserve"> </w:t>
            </w:r>
            <w:r w:rsidR="00353EC2">
              <w:t xml:space="preserve">highly probabilistic </w:t>
            </w:r>
            <w:r w:rsidR="00FE336B">
              <w:t>in</w:t>
            </w:r>
            <w:r w:rsidR="00253D17">
              <w:t xml:space="preserve">teraction between </w:t>
            </w:r>
            <w:r w:rsidR="00D438A7">
              <w:t xml:space="preserve">mobile elements </w:t>
            </w:r>
            <w:r w:rsidR="00D438A7">
              <w:t xml:space="preserve">and </w:t>
            </w:r>
            <w:r w:rsidR="00353EC2">
              <w:t>long</w:t>
            </w:r>
            <w:r w:rsidR="008733B4">
              <w:t>, overlapping</w:t>
            </w:r>
            <w:r w:rsidR="00353EC2">
              <w:t xml:space="preserve"> stretches of almost identical ‘repeats’ throughout the genome, </w:t>
            </w:r>
            <w:r w:rsidR="00D438A7">
              <w:t xml:space="preserve">the </w:t>
            </w:r>
            <w:r w:rsidR="008249F2">
              <w:t xml:space="preserve">neutral and non-neutral </w:t>
            </w:r>
            <w:r w:rsidR="00C54CF6">
              <w:t xml:space="preserve">changes in gene-regulating </w:t>
            </w:r>
            <w:r w:rsidR="00A66715">
              <w:t xml:space="preserve">enhancers </w:t>
            </w:r>
            <w:r w:rsidR="00C54CF6">
              <w:t xml:space="preserve">are likely to have driven much of evolution </w:t>
            </w:r>
            <w:r w:rsidR="00A66652">
              <w:t>under purifying selection</w:t>
            </w:r>
            <w:r w:rsidR="001A0B58">
              <w:t xml:space="preserve">. Such gene-regulatory mutations </w:t>
            </w:r>
            <w:r w:rsidR="00C54CF6">
              <w:t xml:space="preserve">account for the </w:t>
            </w:r>
            <w:r w:rsidR="008249F2">
              <w:t>over 80% of loci carrying the genomic hallmarks of adaptive evolution</w:t>
            </w:r>
            <w:r w:rsidR="00A66652">
              <w:t>.</w:t>
            </w:r>
          </w:p>
          <w:p w14:paraId="302A3C0D" w14:textId="77777777" w:rsidR="00192345" w:rsidRDefault="00192345" w:rsidP="00C47EED">
            <w:pPr>
              <w:pStyle w:val="TableContents"/>
            </w:pPr>
          </w:p>
          <w:p w14:paraId="0A410918" w14:textId="77777777" w:rsidR="00A77633" w:rsidRDefault="00A77633" w:rsidP="00C47EED">
            <w:pPr>
              <w:pStyle w:val="TableContents"/>
            </w:pPr>
          </w:p>
          <w:p w14:paraId="0072ADFF" w14:textId="77777777" w:rsidR="007A664C" w:rsidRDefault="007A664C">
            <w:pPr>
              <w:pStyle w:val="TableContents"/>
            </w:pPr>
          </w:p>
          <w:p w14:paraId="0072AE00" w14:textId="77777777" w:rsidR="007A664C" w:rsidRDefault="007A664C">
            <w:pPr>
              <w:pStyle w:val="TableContents"/>
            </w:pPr>
          </w:p>
          <w:p w14:paraId="0072AE01" w14:textId="77777777" w:rsidR="007A664C" w:rsidRDefault="007A664C">
            <w:pPr>
              <w:pStyle w:val="TableContents"/>
            </w:pPr>
          </w:p>
          <w:p w14:paraId="0072AE02" w14:textId="77777777" w:rsidR="007A664C" w:rsidRDefault="007A664C">
            <w:pPr>
              <w:pStyle w:val="TableContents"/>
            </w:pPr>
          </w:p>
          <w:p w14:paraId="0072AE03" w14:textId="77777777" w:rsidR="007A664C" w:rsidRDefault="007A664C">
            <w:pPr>
              <w:pStyle w:val="TableContents"/>
            </w:pPr>
          </w:p>
          <w:p w14:paraId="0072AE04" w14:textId="77777777" w:rsidR="007A664C" w:rsidRDefault="007A664C">
            <w:pPr>
              <w:pStyle w:val="TableContents"/>
            </w:pPr>
          </w:p>
          <w:p w14:paraId="0072AE05" w14:textId="77777777" w:rsidR="007A664C" w:rsidRDefault="007A664C">
            <w:pPr>
              <w:pStyle w:val="TableContents"/>
            </w:pPr>
          </w:p>
          <w:p w14:paraId="0072AE06" w14:textId="77777777" w:rsidR="007A664C" w:rsidRDefault="007A664C">
            <w:pPr>
              <w:pStyle w:val="TableContents"/>
            </w:pPr>
          </w:p>
          <w:p w14:paraId="0072AE07" w14:textId="77777777" w:rsidR="007A664C" w:rsidRDefault="007A664C">
            <w:pPr>
              <w:pStyle w:val="TableContents"/>
            </w:pPr>
          </w:p>
          <w:p w14:paraId="0072AE08" w14:textId="77777777" w:rsidR="007A664C" w:rsidRDefault="007A664C">
            <w:pPr>
              <w:pStyle w:val="TableContents"/>
            </w:pPr>
          </w:p>
          <w:p w14:paraId="0072AE09" w14:textId="77777777" w:rsidR="007A664C" w:rsidRDefault="007A664C">
            <w:pPr>
              <w:pStyle w:val="TableContents"/>
            </w:pPr>
          </w:p>
        </w:tc>
      </w:tr>
    </w:tbl>
    <w:p w14:paraId="0072AE0B" w14:textId="77777777" w:rsidR="007A664C" w:rsidRDefault="007A664C"/>
    <w:sectPr w:rsidR="007A664C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;Aria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64C"/>
    <w:rsid w:val="0000095F"/>
    <w:rsid w:val="00002B9D"/>
    <w:rsid w:val="00013AAB"/>
    <w:rsid w:val="00022734"/>
    <w:rsid w:val="000555EC"/>
    <w:rsid w:val="000A401F"/>
    <w:rsid w:val="000A685D"/>
    <w:rsid w:val="000D73BE"/>
    <w:rsid w:val="000E6DA7"/>
    <w:rsid w:val="000E7002"/>
    <w:rsid w:val="000F3480"/>
    <w:rsid w:val="001015F0"/>
    <w:rsid w:val="00111AC3"/>
    <w:rsid w:val="001177C4"/>
    <w:rsid w:val="00126CBB"/>
    <w:rsid w:val="00141B7F"/>
    <w:rsid w:val="001511D6"/>
    <w:rsid w:val="00190C7C"/>
    <w:rsid w:val="00191BBC"/>
    <w:rsid w:val="00192345"/>
    <w:rsid w:val="0019236B"/>
    <w:rsid w:val="001A0B58"/>
    <w:rsid w:val="001A5514"/>
    <w:rsid w:val="001A61DF"/>
    <w:rsid w:val="001B146E"/>
    <w:rsid w:val="001B77B6"/>
    <w:rsid w:val="001F449B"/>
    <w:rsid w:val="002050D6"/>
    <w:rsid w:val="002100F9"/>
    <w:rsid w:val="002441AE"/>
    <w:rsid w:val="002501AA"/>
    <w:rsid w:val="00253D17"/>
    <w:rsid w:val="0026260C"/>
    <w:rsid w:val="002634E2"/>
    <w:rsid w:val="002659DD"/>
    <w:rsid w:val="002A0CCC"/>
    <w:rsid w:val="003009D5"/>
    <w:rsid w:val="00307162"/>
    <w:rsid w:val="00334968"/>
    <w:rsid w:val="003513C1"/>
    <w:rsid w:val="00353EC2"/>
    <w:rsid w:val="003605C4"/>
    <w:rsid w:val="00370C5A"/>
    <w:rsid w:val="00383790"/>
    <w:rsid w:val="00390BE0"/>
    <w:rsid w:val="003E07DA"/>
    <w:rsid w:val="003E0EA5"/>
    <w:rsid w:val="003F50A0"/>
    <w:rsid w:val="00443EAF"/>
    <w:rsid w:val="00475986"/>
    <w:rsid w:val="004D26BF"/>
    <w:rsid w:val="004D651B"/>
    <w:rsid w:val="005038AF"/>
    <w:rsid w:val="00511AD9"/>
    <w:rsid w:val="00515692"/>
    <w:rsid w:val="005164E2"/>
    <w:rsid w:val="005240FC"/>
    <w:rsid w:val="005466DA"/>
    <w:rsid w:val="00575705"/>
    <w:rsid w:val="00596BE1"/>
    <w:rsid w:val="005B406F"/>
    <w:rsid w:val="005B4184"/>
    <w:rsid w:val="005C0928"/>
    <w:rsid w:val="005F423D"/>
    <w:rsid w:val="006341F6"/>
    <w:rsid w:val="00687A08"/>
    <w:rsid w:val="00691C59"/>
    <w:rsid w:val="006A2855"/>
    <w:rsid w:val="006B7C76"/>
    <w:rsid w:val="006C63E6"/>
    <w:rsid w:val="006C649A"/>
    <w:rsid w:val="006E194A"/>
    <w:rsid w:val="006F391F"/>
    <w:rsid w:val="0070224E"/>
    <w:rsid w:val="007029E0"/>
    <w:rsid w:val="00703866"/>
    <w:rsid w:val="007051F4"/>
    <w:rsid w:val="00717F89"/>
    <w:rsid w:val="007264AF"/>
    <w:rsid w:val="00736078"/>
    <w:rsid w:val="00744C5A"/>
    <w:rsid w:val="00751B56"/>
    <w:rsid w:val="00755686"/>
    <w:rsid w:val="007A664C"/>
    <w:rsid w:val="007B6BCC"/>
    <w:rsid w:val="007D7294"/>
    <w:rsid w:val="007E1B4A"/>
    <w:rsid w:val="00821C78"/>
    <w:rsid w:val="008249F2"/>
    <w:rsid w:val="0087018F"/>
    <w:rsid w:val="008733B4"/>
    <w:rsid w:val="00874B56"/>
    <w:rsid w:val="008971D1"/>
    <w:rsid w:val="008B7048"/>
    <w:rsid w:val="008E50A0"/>
    <w:rsid w:val="00932615"/>
    <w:rsid w:val="00933606"/>
    <w:rsid w:val="009525FD"/>
    <w:rsid w:val="009634A0"/>
    <w:rsid w:val="00967E94"/>
    <w:rsid w:val="009A5DF8"/>
    <w:rsid w:val="009A63BE"/>
    <w:rsid w:val="009B087F"/>
    <w:rsid w:val="009B3271"/>
    <w:rsid w:val="00A22F14"/>
    <w:rsid w:val="00A36666"/>
    <w:rsid w:val="00A51B22"/>
    <w:rsid w:val="00A66652"/>
    <w:rsid w:val="00A66715"/>
    <w:rsid w:val="00A77633"/>
    <w:rsid w:val="00A861CC"/>
    <w:rsid w:val="00AA1555"/>
    <w:rsid w:val="00AA45AE"/>
    <w:rsid w:val="00AC59C5"/>
    <w:rsid w:val="00AC613D"/>
    <w:rsid w:val="00AD128F"/>
    <w:rsid w:val="00AD7408"/>
    <w:rsid w:val="00B05896"/>
    <w:rsid w:val="00B2445D"/>
    <w:rsid w:val="00B2589E"/>
    <w:rsid w:val="00B359AF"/>
    <w:rsid w:val="00B46181"/>
    <w:rsid w:val="00B50D6D"/>
    <w:rsid w:val="00B61D73"/>
    <w:rsid w:val="00B80A43"/>
    <w:rsid w:val="00B81438"/>
    <w:rsid w:val="00BA122C"/>
    <w:rsid w:val="00BA74BB"/>
    <w:rsid w:val="00BC74EB"/>
    <w:rsid w:val="00BD3BE4"/>
    <w:rsid w:val="00BD7762"/>
    <w:rsid w:val="00BE23BD"/>
    <w:rsid w:val="00C26C0A"/>
    <w:rsid w:val="00C43C7B"/>
    <w:rsid w:val="00C47EED"/>
    <w:rsid w:val="00C541A7"/>
    <w:rsid w:val="00C54CF6"/>
    <w:rsid w:val="00C5595C"/>
    <w:rsid w:val="00C563A3"/>
    <w:rsid w:val="00C76D03"/>
    <w:rsid w:val="00C9158D"/>
    <w:rsid w:val="00C939EA"/>
    <w:rsid w:val="00CA05E1"/>
    <w:rsid w:val="00CA22E7"/>
    <w:rsid w:val="00CB1261"/>
    <w:rsid w:val="00CC3155"/>
    <w:rsid w:val="00CC6228"/>
    <w:rsid w:val="00CE1AA4"/>
    <w:rsid w:val="00CE6AB0"/>
    <w:rsid w:val="00D065DF"/>
    <w:rsid w:val="00D35959"/>
    <w:rsid w:val="00D35F50"/>
    <w:rsid w:val="00D4223E"/>
    <w:rsid w:val="00D438A7"/>
    <w:rsid w:val="00D54535"/>
    <w:rsid w:val="00D55456"/>
    <w:rsid w:val="00D72C70"/>
    <w:rsid w:val="00D90C92"/>
    <w:rsid w:val="00DC682B"/>
    <w:rsid w:val="00E04D6C"/>
    <w:rsid w:val="00E07416"/>
    <w:rsid w:val="00E20AD1"/>
    <w:rsid w:val="00E279C5"/>
    <w:rsid w:val="00E42D11"/>
    <w:rsid w:val="00E57421"/>
    <w:rsid w:val="00E83B87"/>
    <w:rsid w:val="00EA30C8"/>
    <w:rsid w:val="00EC5F2F"/>
    <w:rsid w:val="00ED3200"/>
    <w:rsid w:val="00ED6A95"/>
    <w:rsid w:val="00EE40B4"/>
    <w:rsid w:val="00EF58A5"/>
    <w:rsid w:val="00F36149"/>
    <w:rsid w:val="00F7564C"/>
    <w:rsid w:val="00F85857"/>
    <w:rsid w:val="00F85D63"/>
    <w:rsid w:val="00FA1F1E"/>
    <w:rsid w:val="00FB1C82"/>
    <w:rsid w:val="00FB45D8"/>
    <w:rsid w:val="00FD56B9"/>
    <w:rsid w:val="00FE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AD9C"/>
  <w15:docId w15:val="{9F52CFAE-AA2A-4FA4-9C55-6DAC5F6C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ca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</w:pPr>
    <w:rPr>
      <w:rFonts w:ascii="Times;Times New Roman" w:eastAsia="DejaVu Sans" w:hAnsi="Times;Times New Roman" w:cs="DejaVu Sans"/>
      <w:color w:val="00000A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8Num2z0">
    <w:name w:val="WW8Num2z0"/>
    <w:qFormat/>
    <w:rPr>
      <w:b w:val="0"/>
      <w:i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Helvetica" w:hAnsi="Helvetic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eastAsia="Noto Sans CJK SC Regular" w:cs="Times;Times New Roman"/>
      <w:sz w:val="20"/>
      <w:lang w:val="ca-E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imes;Times New Roman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imes;Times New Roman"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extoindependiente2">
    <w:name w:val="Texto independiente 2"/>
    <w:basedOn w:val="Normal"/>
    <w:qFormat/>
    <w:pPr>
      <w:jc w:val="both"/>
    </w:pPr>
    <w:rPr>
      <w:rFonts w:ascii="Arial" w:hAnsi="Arial" w:cs="Arial"/>
    </w:rPr>
  </w:style>
  <w:style w:type="paragraph" w:customStyle="1" w:styleId="Listaconnmeros">
    <w:name w:val="Lista con números"/>
    <w:basedOn w:val="Normal"/>
    <w:qFormat/>
    <w:pPr>
      <w:ind w:left="851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agro3</dc:creator>
  <dc:description/>
  <cp:lastModifiedBy>Pierre Spartacus Wensel</cp:lastModifiedBy>
  <cp:revision>2</cp:revision>
  <cp:lastPrinted>2013-05-22T07:48:00Z</cp:lastPrinted>
  <dcterms:created xsi:type="dcterms:W3CDTF">2023-11-15T20:31:00Z</dcterms:created>
  <dcterms:modified xsi:type="dcterms:W3CDTF">2023-11-15T20:31:00Z</dcterms:modified>
  <dc:language>en-US</dc:language>
</cp:coreProperties>
</file>