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B765D" w14:textId="44EDC991" w:rsidR="000F2C45" w:rsidRPr="00AC1C15" w:rsidRDefault="00AC1C15" w:rsidP="005B1BE9">
      <w:r w:rsidRPr="000F2C4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4CD3228" wp14:editId="1EE961AB">
                <wp:simplePos x="0" y="0"/>
                <wp:positionH relativeFrom="margin">
                  <wp:align>left</wp:align>
                </wp:positionH>
                <wp:positionV relativeFrom="paragraph">
                  <wp:posOffset>265430</wp:posOffset>
                </wp:positionV>
                <wp:extent cx="5719445" cy="1765496"/>
                <wp:effectExtent l="0" t="0" r="0" b="6350"/>
                <wp:wrapNone/>
                <wp:docPr id="5186306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9445" cy="17654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1193C" w14:textId="46308A9F" w:rsidR="000F2C45" w:rsidRPr="000F2C45" w:rsidRDefault="00D05BF7" w:rsidP="00AC1C15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bookmarkStart w:id="0" w:name="_Hlk186473846"/>
                            <w:bookmarkStart w:id="1" w:name="_Hlk186473847"/>
                            <w:r w:rsidRPr="000F2C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Catastrophic Risks and Real Estate Markets</w:t>
                            </w:r>
                            <w:r w:rsidR="00D928F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br/>
                            </w:r>
                            <w:r w:rsidRPr="000F2C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Flood Zone Pricing Across Borders</w:t>
                            </w:r>
                            <w:bookmarkEnd w:id="0"/>
                            <w:bookmarkEnd w:id="1"/>
                          </w:p>
                          <w:p w14:paraId="17A60616" w14:textId="02BBB0AD" w:rsidR="000F2C45" w:rsidRPr="000F2C45" w:rsidRDefault="000F2C45" w:rsidP="005B1B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F2C4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A </w:t>
                            </w:r>
                            <w:r w:rsidR="00315BB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Project</w:t>
                            </w:r>
                            <w:r w:rsidRPr="000F2C4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for the Course </w:t>
                            </w:r>
                            <w:r w:rsidRPr="000F2C4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on Catastrophic Risks</w:t>
                            </w:r>
                          </w:p>
                          <w:p w14:paraId="18D66CC4" w14:textId="09443B35" w:rsidR="005B1BE9" w:rsidRDefault="000F2C45" w:rsidP="008A2968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F2C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Patryk Wisniewski (ENSAE)</w:t>
                            </w:r>
                            <w:r w:rsidR="00AC1C1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 w:rsidR="00AC1C15" w:rsidRPr="00AC1C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3A / M2MIE</w:t>
                            </w:r>
                          </w:p>
                          <w:p w14:paraId="7B3C8DA7" w14:textId="77777777" w:rsidR="005B1BE9" w:rsidRPr="000F2C45" w:rsidRDefault="005B1B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D32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.9pt;width:450.35pt;height:139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" stroked="f">
                <v:textbox>
                  <w:txbxContent>
                    <w:p w14:paraId="7D41193C" w14:textId="46308A9F" w:rsidR="000F2C45" w:rsidRPr="000F2C45" w:rsidRDefault="00D05BF7" w:rsidP="00AC1C15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bookmarkStart w:id="2" w:name="_Hlk186473846"/>
                      <w:bookmarkStart w:id="3" w:name="_Hlk186473847"/>
                      <w:r w:rsidRPr="000F2C4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Catastrophic Risks and Real Estate Markets</w:t>
                      </w:r>
                      <w:r w:rsidR="00D928F6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br/>
                      </w:r>
                      <w:r w:rsidRPr="000F2C4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Flood Zone Pricing Across Borders</w:t>
                      </w:r>
                      <w:bookmarkEnd w:id="2"/>
                      <w:bookmarkEnd w:id="3"/>
                    </w:p>
                    <w:p w14:paraId="17A60616" w14:textId="02BBB0AD" w:rsidR="000F2C45" w:rsidRPr="000F2C45" w:rsidRDefault="000F2C45" w:rsidP="005B1BE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0F2C4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A </w:t>
                      </w:r>
                      <w:r w:rsidR="00315BB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Project</w:t>
                      </w:r>
                      <w:r w:rsidRPr="000F2C4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for the Course </w:t>
                      </w:r>
                      <w:r w:rsidRPr="000F2C4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on Catastrophic Risks</w:t>
                      </w:r>
                    </w:p>
                    <w:p w14:paraId="18D66CC4" w14:textId="09443B35" w:rsidR="005B1BE9" w:rsidRDefault="000F2C45" w:rsidP="008A2968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F2C4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Patryk Wisniewski (ENSAE)</w:t>
                      </w:r>
                      <w:r w:rsidR="00AC1C1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br/>
                      </w:r>
                      <w:r w:rsidR="00AC1C15" w:rsidRPr="00AC1C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3A / M2MIE</w:t>
                      </w:r>
                    </w:p>
                    <w:p w14:paraId="7B3C8DA7" w14:textId="77777777" w:rsidR="005B1BE9" w:rsidRPr="000F2C45" w:rsidRDefault="005B1BE9"/>
                  </w:txbxContent>
                </v:textbox>
                <w10:wrap anchorx="margin"/>
              </v:shape>
            </w:pict>
          </mc:Fallback>
        </mc:AlternateContent>
      </w:r>
    </w:p>
    <w:p w14:paraId="4340C896" w14:textId="2F86928D" w:rsidR="000F2C45" w:rsidRPr="00AC1C15" w:rsidRDefault="000F2C45" w:rsidP="005B1BE9">
      <w:pPr>
        <w:rPr>
          <w:lang w:val="fr-FR"/>
        </w:rPr>
      </w:pPr>
    </w:p>
    <w:p w14:paraId="004D3E24" w14:textId="718A9DA3" w:rsidR="000F2C45" w:rsidRPr="00AC1C15" w:rsidRDefault="00EA7FB2" w:rsidP="00AC1C15">
      <w:pPr>
        <w:rPr>
          <w:sz w:val="24"/>
          <w:szCs w:val="24"/>
          <w:lang w:val="fr-FR"/>
        </w:rPr>
      </w:pPr>
      <w:r w:rsidRPr="000F2C4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03A745A" wp14:editId="6DCE6BA0">
                <wp:simplePos x="0" y="0"/>
                <wp:positionH relativeFrom="margin">
                  <wp:align>left</wp:align>
                </wp:positionH>
                <wp:positionV relativeFrom="paragraph">
                  <wp:posOffset>1803400</wp:posOffset>
                </wp:positionV>
                <wp:extent cx="5723890" cy="3924300"/>
                <wp:effectExtent l="0" t="0" r="10160" b="0"/>
                <wp:wrapNone/>
                <wp:docPr id="20401659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890" cy="3924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F223A" w14:textId="4EDA72D1" w:rsidR="0085116F" w:rsidRPr="0087588F" w:rsidRDefault="0085116F" w:rsidP="008511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75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Abstract</w:t>
                            </w:r>
                          </w:p>
                          <w:p w14:paraId="6776CE5B" w14:textId="6E402559" w:rsidR="0087588F" w:rsidRPr="009E4C5D" w:rsidRDefault="009E4C5D" w:rsidP="00AC1C15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E4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This thesis examines the relationship between flood risk, insurance systems, and property pricing through a cross-country comparative analysis. Using comprehensive real estate transaction data and flood risk maps, a detailed dataset of every cadastral parcel exposed to flood risks in France was developed.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A simple hedonic pricing model</w:t>
                            </w:r>
                            <w:r w:rsidRPr="009E4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highlights significant differences in how flood-prone properties are valued under France's </w:t>
                            </w:r>
                            <w:proofErr w:type="spellStart"/>
                            <w:r w:rsidRPr="009E4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CatNat</w:t>
                            </w:r>
                            <w:proofErr w:type="spellEnd"/>
                            <w:r w:rsidRPr="009E4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system and the UK's </w:t>
                            </w:r>
                            <w:proofErr w:type="spellStart"/>
                            <w:r w:rsidRPr="009E4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FloodRe</w:t>
                            </w:r>
                            <w:proofErr w:type="spellEnd"/>
                            <w:r w:rsidRPr="009E4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scheme. While the UK market penalizes properties in at-risk zones with lower prices, France's solidarity-based approach mitigates these negative effects. These findings raise concerns about the long-term sustainability and efficiency of the </w:t>
                            </w:r>
                            <w:proofErr w:type="spellStart"/>
                            <w:r w:rsidRPr="009E4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CatNat</w:t>
                            </w:r>
                            <w:proofErr w:type="spellEnd"/>
                            <w:r w:rsidRPr="009E4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system, a framework that has provided universal coverage for over 40 years but now faces mounting challenges in addressing the growing risks associated with climate change.</w:t>
                            </w:r>
                          </w:p>
                          <w:p w14:paraId="438F3C51" w14:textId="39768A62" w:rsidR="000F2C45" w:rsidRPr="000F2C45" w:rsidRDefault="000F2C45" w:rsidP="00AC1C15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3A05EBBF" w14:textId="77777777" w:rsidR="000F2C45" w:rsidRPr="0087588F" w:rsidRDefault="000F2C45" w:rsidP="000F2C4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A745A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142pt;width:450.7pt;height:309pt;z-index:-251646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" filled="f" stroked="f">
                <v:textbox inset="0,0,0,0">
                  <w:txbxContent>
                    <w:p w14:paraId="386F223A" w14:textId="4EDA72D1" w:rsidR="0085116F" w:rsidRPr="0087588F" w:rsidRDefault="0085116F" w:rsidP="0085116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87588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Abstract</w:t>
                      </w:r>
                    </w:p>
                    <w:p w14:paraId="6776CE5B" w14:textId="6E402559" w:rsidR="0087588F" w:rsidRPr="009E4C5D" w:rsidRDefault="009E4C5D" w:rsidP="00AC1C15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9E4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This thesis examines the relationship between flood risk, insurance systems, and property pricing through a cross-country comparative analysis. Using comprehensive real estate transaction data and flood risk maps, a detailed dataset of every cadastral parcel exposed to flood risks in France was developed.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A simple hedonic pricing model</w:t>
                      </w:r>
                      <w:r w:rsidRPr="009E4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highlights significant differences in how flood-prone properties are valued under France's </w:t>
                      </w:r>
                      <w:proofErr w:type="spellStart"/>
                      <w:r w:rsidRPr="009E4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CatNat</w:t>
                      </w:r>
                      <w:proofErr w:type="spellEnd"/>
                      <w:r w:rsidRPr="009E4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system and the UK's </w:t>
                      </w:r>
                      <w:proofErr w:type="spellStart"/>
                      <w:r w:rsidRPr="009E4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FloodRe</w:t>
                      </w:r>
                      <w:proofErr w:type="spellEnd"/>
                      <w:r w:rsidRPr="009E4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scheme. While the UK market penalizes properties in at-risk zones with lower prices, France's solidarity-based approach mitigates these negative effects. These findings raise concerns about the long-term sustainability and efficiency of the </w:t>
                      </w:r>
                      <w:proofErr w:type="spellStart"/>
                      <w:r w:rsidRPr="009E4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CatNat</w:t>
                      </w:r>
                      <w:proofErr w:type="spellEnd"/>
                      <w:r w:rsidRPr="009E4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system, a framework that has provided universal coverage for over 40 years but now faces mounting challenges in addressing the growing risks associated with climate change.</w:t>
                      </w:r>
                    </w:p>
                    <w:p w14:paraId="438F3C51" w14:textId="39768A62" w:rsidR="000F2C45" w:rsidRPr="000F2C45" w:rsidRDefault="000F2C45" w:rsidP="00AC1C15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</w:p>
                    <w:p w14:paraId="3A05EBBF" w14:textId="77777777" w:rsidR="000F2C45" w:rsidRPr="0087588F" w:rsidRDefault="000F2C45" w:rsidP="000F2C45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7588F" w:rsidRPr="000F2C4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AAD409C" wp14:editId="3B836BAD">
                <wp:simplePos x="0" y="0"/>
                <wp:positionH relativeFrom="margin">
                  <wp:align>right</wp:align>
                </wp:positionH>
                <wp:positionV relativeFrom="paragraph">
                  <wp:posOffset>7904318</wp:posOffset>
                </wp:positionV>
                <wp:extent cx="1760220" cy="384810"/>
                <wp:effectExtent l="0" t="0" r="0" b="0"/>
                <wp:wrapSquare wrapText="bothSides"/>
                <wp:docPr id="812069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220" cy="384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09212" w14:textId="3B9C16D0" w:rsidR="005B1BE9" w:rsidRPr="0087588F" w:rsidRDefault="00D05BF7" w:rsidP="0087588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75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ENSAE </w:t>
                            </w:r>
                            <w:r w:rsidR="005B1BE9" w:rsidRPr="00875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Paris</w:t>
                            </w:r>
                            <w:r w:rsidR="005B1BE9" w:rsidRPr="00875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="00AC1C15" w:rsidRPr="00875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Academic Year 2024-2025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D409C" id="_x0000_s1028" type="#_x0000_t202" style="position:absolute;margin-left:87.4pt;margin-top:622.4pt;width:138.6pt;height:30.3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" stroked="f">
                <v:textbox inset="0,0,0,0">
                  <w:txbxContent>
                    <w:p w14:paraId="59B09212" w14:textId="3B9C16D0" w:rsidR="005B1BE9" w:rsidRPr="0087588F" w:rsidRDefault="00D05BF7" w:rsidP="0087588F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758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ENSAE </w:t>
                      </w:r>
                      <w:r w:rsidR="005B1BE9" w:rsidRPr="008758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Paris</w:t>
                      </w:r>
                      <w:r w:rsidR="005B1BE9" w:rsidRPr="008758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="00AC1C15" w:rsidRPr="008758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Academic Year 2024-2025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588F" w:rsidRPr="000F2C4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E86086" wp14:editId="41F725B1">
                <wp:simplePos x="0" y="0"/>
                <wp:positionH relativeFrom="margin">
                  <wp:align>left</wp:align>
                </wp:positionH>
                <wp:positionV relativeFrom="paragraph">
                  <wp:posOffset>7893213</wp:posOffset>
                </wp:positionV>
                <wp:extent cx="3061970" cy="384810"/>
                <wp:effectExtent l="0" t="0" r="5080" b="0"/>
                <wp:wrapSquare wrapText="bothSides"/>
                <wp:docPr id="1515442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384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98EB4" w14:textId="5B87C79C" w:rsidR="005B1BE9" w:rsidRPr="0087588F" w:rsidRDefault="00AC1C15" w:rsidP="0087588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75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Supervisor: </w:t>
                            </w:r>
                            <w:r w:rsidR="00D05BF7" w:rsidRPr="00875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Professor Pierre Picard</w:t>
                            </w:r>
                            <w:r w:rsidR="005B1BE9" w:rsidRPr="00875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="00D05BF7" w:rsidRPr="00875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Catastrophic Risks, Cyber Risk and Insurance Markets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86086" id="_x0000_s1029" type="#_x0000_t202" style="position:absolute;margin-left:0;margin-top:621.5pt;width:241.1pt;height:30.3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" stroked="f">
                <v:textbox inset="0,0,0,0">
                  <w:txbxContent>
                    <w:p w14:paraId="15F98EB4" w14:textId="5B87C79C" w:rsidR="005B1BE9" w:rsidRPr="0087588F" w:rsidRDefault="00AC1C15" w:rsidP="0087588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758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Supervisor: </w:t>
                      </w:r>
                      <w:r w:rsidR="00D05BF7" w:rsidRPr="008758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Professor Pierre Picard</w:t>
                      </w:r>
                      <w:r w:rsidR="005B1BE9" w:rsidRPr="008758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="00D05BF7" w:rsidRPr="008758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Catastrophic Risks, Cyber Risk and Insurance Markets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F2C45" w:rsidRPr="00AC1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1033C6" w14:textId="77777777" w:rsidR="002A66FA" w:rsidRPr="000F2C45" w:rsidRDefault="002A66FA" w:rsidP="0085116F">
      <w:pPr>
        <w:spacing w:after="0" w:line="240" w:lineRule="auto"/>
      </w:pPr>
      <w:r w:rsidRPr="000F2C45">
        <w:separator/>
      </w:r>
    </w:p>
  </w:endnote>
  <w:endnote w:type="continuationSeparator" w:id="0">
    <w:p w14:paraId="186E7413" w14:textId="77777777" w:rsidR="002A66FA" w:rsidRPr="000F2C45" w:rsidRDefault="002A66FA" w:rsidP="0085116F">
      <w:pPr>
        <w:spacing w:after="0" w:line="240" w:lineRule="auto"/>
      </w:pPr>
      <w:r w:rsidRPr="000F2C4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29E30" w14:textId="77777777" w:rsidR="002A66FA" w:rsidRPr="000F2C45" w:rsidRDefault="002A66FA" w:rsidP="0085116F">
      <w:pPr>
        <w:spacing w:after="0" w:line="240" w:lineRule="auto"/>
      </w:pPr>
      <w:r w:rsidRPr="000F2C45">
        <w:separator/>
      </w:r>
    </w:p>
  </w:footnote>
  <w:footnote w:type="continuationSeparator" w:id="0">
    <w:p w14:paraId="1868BD9C" w14:textId="77777777" w:rsidR="002A66FA" w:rsidRPr="000F2C45" w:rsidRDefault="002A66FA" w:rsidP="0085116F">
      <w:pPr>
        <w:spacing w:after="0" w:line="240" w:lineRule="auto"/>
      </w:pPr>
      <w:r w:rsidRPr="000F2C45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DF"/>
    <w:rsid w:val="000104DD"/>
    <w:rsid w:val="000F2C45"/>
    <w:rsid w:val="00166567"/>
    <w:rsid w:val="001A1727"/>
    <w:rsid w:val="00232F91"/>
    <w:rsid w:val="002A66FA"/>
    <w:rsid w:val="00315BBA"/>
    <w:rsid w:val="003C311D"/>
    <w:rsid w:val="003D2076"/>
    <w:rsid w:val="00415C9F"/>
    <w:rsid w:val="004C438E"/>
    <w:rsid w:val="005871D6"/>
    <w:rsid w:val="005B1BE9"/>
    <w:rsid w:val="007341A3"/>
    <w:rsid w:val="00786369"/>
    <w:rsid w:val="0085116F"/>
    <w:rsid w:val="0087588F"/>
    <w:rsid w:val="008A2968"/>
    <w:rsid w:val="009759DF"/>
    <w:rsid w:val="009E4C5D"/>
    <w:rsid w:val="00A51F85"/>
    <w:rsid w:val="00AC1C15"/>
    <w:rsid w:val="00B72626"/>
    <w:rsid w:val="00D05BF7"/>
    <w:rsid w:val="00D57847"/>
    <w:rsid w:val="00D7649A"/>
    <w:rsid w:val="00D928F6"/>
    <w:rsid w:val="00DA2650"/>
    <w:rsid w:val="00E57954"/>
    <w:rsid w:val="00EA7FB2"/>
    <w:rsid w:val="00FE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2121"/>
  <w15:chartTrackingRefBased/>
  <w15:docId w15:val="{CD7AA301-B5AD-44B4-83E0-B0A6B3A54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BE9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75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75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75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5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75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5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75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75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75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5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75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75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759D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759D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759D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759D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759D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759D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75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5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5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75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75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759D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759D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759D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5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59D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759DF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05BF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05BF7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851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116F"/>
  </w:style>
  <w:style w:type="paragraph" w:styleId="Pieddepage">
    <w:name w:val="footer"/>
    <w:basedOn w:val="Normal"/>
    <w:link w:val="PieddepageCar"/>
    <w:uiPriority w:val="99"/>
    <w:unhideWhenUsed/>
    <w:rsid w:val="00851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1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4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8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Wisniewski</dc:creator>
  <cp:keywords/>
  <dc:description/>
  <cp:lastModifiedBy>Patryk Wisniewski</cp:lastModifiedBy>
  <cp:revision>10</cp:revision>
  <cp:lastPrinted>2024-12-30T17:20:00Z</cp:lastPrinted>
  <dcterms:created xsi:type="dcterms:W3CDTF">2024-12-30T16:56:00Z</dcterms:created>
  <dcterms:modified xsi:type="dcterms:W3CDTF">2025-01-01T21:31:00Z</dcterms:modified>
</cp:coreProperties>
</file>