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w:t>
      </w:r>
      <w:r>
        <w:t xml:space="preserve"> </w:t>
      </w:r>
      <w:r>
        <w:t xml:space="preserve">coste-efectividad</w:t>
      </w:r>
      <w:r>
        <w:t xml:space="preserve"> </w:t>
      </w:r>
      <w:r>
        <w:t xml:space="preserve">de</w:t>
      </w:r>
      <w:r>
        <w:t xml:space="preserve"> </w:t>
      </w:r>
      <w:r>
        <w:t xml:space="preserve">Bamlanivimab/Etesimab</w:t>
      </w:r>
      <w:r>
        <w:t xml:space="preserve"> </w:t>
      </w:r>
      <w:r>
        <w:t xml:space="preserve">para</w:t>
      </w:r>
      <w:r>
        <w:t xml:space="preserve"> </w:t>
      </w:r>
      <w:r>
        <w:t xml:space="preserve">pacientes</w:t>
      </w:r>
      <w:r>
        <w:t xml:space="preserve"> </w:t>
      </w:r>
      <w:r>
        <w:t xml:space="preserve">con</w:t>
      </w:r>
      <w:r>
        <w:t xml:space="preserve"> </w:t>
      </w:r>
      <w:r>
        <w:t xml:space="preserve">COVID-19</w:t>
      </w:r>
      <w:r>
        <w:t xml:space="preserve"> </w:t>
      </w:r>
      <w:r>
        <w:t xml:space="preserve">de</w:t>
      </w:r>
      <w:r>
        <w:t xml:space="preserve"> </w:t>
      </w:r>
      <w:r>
        <w:t xml:space="preserve">alto</w:t>
      </w:r>
      <w:r>
        <w:t xml:space="preserve"> </w:t>
      </w:r>
      <w:r>
        <w:t xml:space="preserve">riesgo</w:t>
      </w:r>
    </w:p>
    <w:p>
      <w:pPr>
        <w:pStyle w:val="Author"/>
      </w:pPr>
      <w:r>
        <w:t xml:space="preserve">Philip</w:t>
      </w:r>
      <w:r>
        <w:t xml:space="preserve"> </w:t>
      </w:r>
      <w:r>
        <w:t xml:space="preserve">Wikman</w:t>
      </w:r>
    </w:p>
    <w:p>
      <w:pPr>
        <w:pStyle w:val="Date"/>
      </w:pPr>
      <w:r>
        <w:t xml:space="preserve">18/2/2022</w:t>
      </w:r>
    </w:p>
    <w:p>
      <w:pPr>
        <w:pStyle w:val="Heading1"/>
      </w:pPr>
      <w:bookmarkStart w:id="20" w:name="X396cf0f216f37d0f02886997b8a7cadf1fe983f"/>
      <w:r>
        <w:t xml:space="preserve">Análisis de coste eficacia de Bamlanivimab</w:t>
      </w:r>
      <w:bookmarkEnd w:id="20"/>
    </w:p>
    <w:p>
      <w:pPr>
        <w:pStyle w:val="FirstParagraph"/>
      </w:pPr>
      <w:r>
        <w:t xml:space="preserve">Dado el carácter agudo de la infección por COVID-19 y su periodo de tiempo relativamente corto, el modelo adecuado para un análisis de coste-efectividad de diferentes intervenciones sería un árbol decisional.</w:t>
      </w:r>
    </w:p>
    <w:p>
      <w:pPr>
        <w:pStyle w:val="Heading2"/>
      </w:pPr>
      <w:bookmarkStart w:id="21" w:name="rama-con-bamlanivimab"/>
      <w:r>
        <w:t xml:space="preserve">Rama con Bamlanivimab</w:t>
      </w:r>
      <w:bookmarkEnd w:id="21"/>
    </w:p>
    <w:p>
      <w:pPr>
        <w:pStyle w:val="Heading2"/>
      </w:pPr>
      <w:bookmarkStart w:id="22" w:name="probabilidades-del-árbol-decisional"/>
      <w:r>
        <w:t xml:space="preserve">Probabilidades del árbol decisional</w:t>
      </w:r>
      <w:bookmarkEnd w:id="22"/>
    </w:p>
    <w:p>
      <w:pPr>
        <w:pStyle w:val="SourceCode"/>
      </w:pPr>
      <w:r>
        <w:rPr>
          <w:rStyle w:val="NormalTok"/>
        </w:rPr>
        <w:t xml:space="preserve">ProbIng=</w:t>
      </w:r>
      <w:r>
        <w:rPr>
          <w:rStyle w:val="FloatTok"/>
        </w:rPr>
        <w:t xml:space="preserve">0.021</w:t>
      </w:r>
      <w:r>
        <w:br/>
      </w:r>
      <w:r>
        <w:rPr>
          <w:rStyle w:val="NormalTok"/>
        </w:rPr>
        <w:t xml:space="preserve">ProbICU=</w:t>
      </w:r>
      <w:r>
        <w:rPr>
          <w:rStyle w:val="FloatTok"/>
        </w:rPr>
        <w:t xml:space="preserve">0.001</w:t>
      </w:r>
      <w:r>
        <w:br/>
      </w:r>
      <w:r>
        <w:rPr>
          <w:rStyle w:val="NormalTok"/>
        </w:rPr>
        <w:t xml:space="preserve">ProbExitusICU=</w:t>
      </w:r>
      <w:r>
        <w:rPr>
          <w:rStyle w:val="FloatTok"/>
        </w:rPr>
        <w:t xml:space="preserve">0.01</w:t>
      </w:r>
      <w:r>
        <w:br/>
      </w:r>
      <w:r>
        <w:rPr>
          <w:rStyle w:val="NormalTok"/>
        </w:rPr>
        <w:t xml:space="preserve">ProbExitus=</w:t>
      </w:r>
      <w:r>
        <w:rPr>
          <w:rStyle w:val="FloatTok"/>
        </w:rPr>
        <w:t xml:space="preserve">0.0001</w:t>
      </w:r>
      <w:r>
        <w:br/>
      </w:r>
      <w:r>
        <w:br/>
      </w:r>
      <w:r>
        <w:rPr>
          <w:rStyle w:val="NormalTok"/>
        </w:rPr>
        <w:t xml:space="preserve">Precio=</w:t>
      </w:r>
      <w:r>
        <w:rPr>
          <w:rStyle w:val="DecValTok"/>
        </w:rPr>
        <w:t xml:space="preserve">1250</w:t>
      </w:r>
    </w:p>
    <w:p>
      <w:pPr>
        <w:pStyle w:val="Heading3"/>
      </w:pPr>
      <w:bookmarkStart w:id="23" w:name="Xa67166e486be76d9948441794d26de2bfc2571c"/>
      <w:r>
        <w:t xml:space="preserve">Proporción de cada uno de los nodos finales</w:t>
      </w:r>
      <w:bookmarkEnd w:id="23"/>
    </w:p>
    <w:p>
      <w:pPr>
        <w:pStyle w:val="SourceCode"/>
      </w:pPr>
      <w:r>
        <w:rPr>
          <w:rStyle w:val="NormalTok"/>
        </w:rPr>
        <w:t xml:space="preserve">propcada&lt;-</w:t>
      </w:r>
      <w:r>
        <w:rPr>
          <w:rStyle w:val="KeywordTok"/>
        </w:rPr>
        <w:t xml:space="preserve">Tree</w:t>
      </w:r>
      <w:r>
        <w:rPr>
          <w:rStyle w:val="NormalTok"/>
        </w:rPr>
        <w:t xml:space="preserve">(</w:t>
      </w:r>
      <w:r>
        <w:rPr>
          <w:rStyle w:val="DataTypeTok"/>
        </w:rPr>
        <w:t xml:space="preserve">ProbIng=</w:t>
      </w:r>
      <w:r>
        <w:rPr>
          <w:rStyle w:val="FloatTok"/>
        </w:rPr>
        <w:t xml:space="preserve">0.021</w:t>
      </w:r>
      <w:r>
        <w:rPr>
          <w:rStyle w:val="NormalTok"/>
        </w:rPr>
        <w:t xml:space="preserve">, </w:t>
      </w:r>
      <w:r>
        <w:rPr>
          <w:rStyle w:val="DataTypeTok"/>
        </w:rPr>
        <w:t xml:space="preserve">ProbICU=</w:t>
      </w:r>
      <w:r>
        <w:rPr>
          <w:rStyle w:val="FloatTok"/>
        </w:rPr>
        <w:t xml:space="preserve">0.001</w:t>
      </w:r>
      <w:r>
        <w:rPr>
          <w:rStyle w:val="NormalTok"/>
        </w:rPr>
        <w:t xml:space="preserve">, </w:t>
      </w:r>
      <w:r>
        <w:rPr>
          <w:rStyle w:val="DataTypeTok"/>
        </w:rPr>
        <w:t xml:space="preserve">ProbExitusICU=</w:t>
      </w:r>
      <w:r>
        <w:rPr>
          <w:rStyle w:val="FloatTok"/>
        </w:rPr>
        <w:t xml:space="preserve">0.01</w:t>
      </w:r>
      <w:r>
        <w:rPr>
          <w:rStyle w:val="NormalTok"/>
        </w:rPr>
        <w:t xml:space="preserve">, </w:t>
      </w:r>
      <w:r>
        <w:rPr>
          <w:rStyle w:val="DataTypeTok"/>
        </w:rPr>
        <w:t xml:space="preserve">ProbExitus=</w:t>
      </w:r>
      <w:r>
        <w:rPr>
          <w:rStyle w:val="FloatTok"/>
        </w:rPr>
        <w:t xml:space="preserve">0.0001</w:t>
      </w:r>
      <w:r>
        <w:rPr>
          <w:rStyle w:val="NormalTok"/>
        </w:rPr>
        <w:t xml:space="preserve">)</w:t>
      </w:r>
      <w:r>
        <w:br/>
      </w:r>
      <w:r>
        <w:rPr>
          <w:rStyle w:val="NormalTok"/>
        </w:rPr>
        <w:t xml:space="preserve">propcada</w:t>
      </w:r>
    </w:p>
    <w:p>
      <w:pPr>
        <w:pStyle w:val="SourceCode"/>
      </w:pPr>
      <w:r>
        <w:rPr>
          <w:rStyle w:val="VerbatimChar"/>
        </w:rPr>
        <w:t xml:space="preserve">## Hosp_UCI_Curados Hosp_UCI_Muertos     Hosp_Curados      Hosp_Exitus </w:t>
      </w:r>
      <w:r>
        <w:br/>
      </w:r>
      <w:r>
        <w:rPr>
          <w:rStyle w:val="VerbatimChar"/>
        </w:rPr>
        <w:t xml:space="preserve">##       0.00002079       0.00000021       0.02097690       0.00000210 </w:t>
      </w:r>
      <w:r>
        <w:br/>
      </w:r>
      <w:r>
        <w:rPr>
          <w:rStyle w:val="VerbatimChar"/>
        </w:rPr>
        <w:t xml:space="preserve">##          No_Hosp </w:t>
      </w:r>
      <w:r>
        <w:br/>
      </w:r>
      <w:r>
        <w:rPr>
          <w:rStyle w:val="VerbatimChar"/>
        </w:rPr>
        <w:t xml:space="preserve">##       0.97900000</w:t>
      </w:r>
    </w:p>
    <w:p>
      <w:pPr>
        <w:pStyle w:val="Heading3"/>
      </w:pPr>
      <w:bookmarkStart w:id="24" w:name="X0529897138b2dd8ab62a6ecc4ba5a3c6ceba513"/>
      <w:r>
        <w:t xml:space="preserve">Distribución teórica de una cohorte de 100000 en cada uno de los nodos</w:t>
      </w:r>
      <w:bookmarkEnd w:id="24"/>
    </w:p>
    <w:p>
      <w:pPr>
        <w:pStyle w:val="SourceCode"/>
      </w:pPr>
      <w:r>
        <w:rPr>
          <w:rStyle w:val="DecValTok"/>
        </w:rPr>
        <w:t xml:space="preserve">100000</w:t>
      </w:r>
      <w:r>
        <w:rPr>
          <w:rStyle w:val="OperatorTok"/>
        </w:rPr>
        <w:t xml:space="preserve">*</w:t>
      </w:r>
      <w:r>
        <w:rPr>
          <w:rStyle w:val="NormalTok"/>
        </w:rPr>
        <w:t xml:space="preserve">propcada</w:t>
      </w:r>
    </w:p>
    <w:p>
      <w:pPr>
        <w:pStyle w:val="SourceCode"/>
      </w:pPr>
      <w:r>
        <w:rPr>
          <w:rStyle w:val="VerbatimChar"/>
        </w:rPr>
        <w:t xml:space="preserve">## Hosp_UCI_Curados Hosp_UCI_Muertos     Hosp_Curados      Hosp_Exitus </w:t>
      </w:r>
      <w:r>
        <w:br/>
      </w:r>
      <w:r>
        <w:rPr>
          <w:rStyle w:val="VerbatimChar"/>
        </w:rPr>
        <w:t xml:space="preserve">##            2.079            0.021         2097.690            0.210 </w:t>
      </w:r>
      <w:r>
        <w:br/>
      </w:r>
      <w:r>
        <w:rPr>
          <w:rStyle w:val="VerbatimChar"/>
        </w:rPr>
        <w:t xml:space="preserve">##          No_Hosp </w:t>
      </w:r>
      <w:r>
        <w:br/>
      </w:r>
      <w:r>
        <w:rPr>
          <w:rStyle w:val="VerbatimChar"/>
        </w:rPr>
        <w:t xml:space="preserve">##        97900.000</w:t>
      </w:r>
    </w:p>
    <w:p>
      <w:pPr>
        <w:pStyle w:val="Heading3"/>
      </w:pPr>
      <w:bookmarkStart w:id="25" w:name="cálculo-de-los-avacs"/>
      <w:r>
        <w:t xml:space="preserve">Cálculo de los AVACS</w:t>
      </w:r>
      <w:bookmarkEnd w:id="25"/>
    </w:p>
    <w:p>
      <w:pPr>
        <w:pStyle w:val="FirstParagraph"/>
      </w:pPr>
      <w:r>
        <w:t xml:space="preserve">Se ha escogido como peso para el cálculo de los AVACS aquellos reportados por Poteet et al. 2021</w:t>
      </w:r>
    </w:p>
    <w:p>
      <w:pPr>
        <w:pStyle w:val="SourceCode"/>
      </w:pPr>
      <w:r>
        <w:rPr>
          <w:rStyle w:val="NormalTok"/>
        </w:rPr>
        <w:t xml:space="preserve">Qalys_FA&lt;-</w:t>
      </w:r>
      <w:r>
        <w:rPr>
          <w:rStyle w:val="KeywordTok"/>
        </w:rPr>
        <w:t xml:space="preserve">sum</w:t>
      </w:r>
      <w:r>
        <w:rPr>
          <w:rStyle w:val="NormalTok"/>
        </w:rPr>
        <w:t xml:space="preserve">(</w:t>
      </w:r>
      <w:r>
        <w:rPr>
          <w:rStyle w:val="DecValTok"/>
        </w:rPr>
        <w:t xml:space="preserve">100000</w:t>
      </w:r>
      <w:r>
        <w:rPr>
          <w:rStyle w:val="OperatorTok"/>
        </w:rPr>
        <w:t xml:space="preserve">*</w:t>
      </w:r>
      <w:r>
        <w:rPr>
          <w:rStyle w:val="NormalTok"/>
        </w:rPr>
        <w:t xml:space="preserve">propcada[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OperatorTok"/>
        </w:rPr>
        <w:t xml:space="preserve">*</w:t>
      </w:r>
      <w:r>
        <w:rPr>
          <w:rStyle w:val="FloatTok"/>
        </w:rPr>
        <w:t xml:space="preserve">0.68</w:t>
      </w:r>
      <w:r>
        <w:rPr>
          <w:rStyle w:val="NormalTok"/>
        </w:rPr>
        <w:t xml:space="preserve">) </w:t>
      </w:r>
      <w:r>
        <w:br/>
      </w:r>
      <w:r>
        <w:rPr>
          <w:rStyle w:val="NormalTok"/>
        </w:rPr>
        <w:t xml:space="preserve">Qalys_FA</w:t>
      </w:r>
    </w:p>
    <w:p>
      <w:pPr>
        <w:pStyle w:val="SourceCode"/>
      </w:pPr>
      <w:r>
        <w:rPr>
          <w:rStyle w:val="VerbatimChar"/>
        </w:rPr>
        <w:t xml:space="preserve">## [1] 67999.84</w:t>
      </w:r>
    </w:p>
    <w:p>
      <w:pPr>
        <w:pStyle w:val="Heading3"/>
      </w:pPr>
      <w:bookmarkStart w:id="26" w:name="cálculo-de-los-costes"/>
      <w:r>
        <w:t xml:space="preserve">Cálculo de los Costes</w:t>
      </w:r>
      <w:bookmarkEnd w:id="26"/>
    </w:p>
    <w:p>
      <w:pPr>
        <w:pStyle w:val="FirstParagraph"/>
      </w:pPr>
      <w:r>
        <w:t xml:space="preserve">Los costes se han obtenido del decreto ley de pagos de Cataluña</w:t>
      </w:r>
    </w:p>
    <w:p>
      <w:pPr>
        <w:pStyle w:val="SourceCode"/>
      </w:pPr>
      <w:r>
        <w:rPr>
          <w:rStyle w:val="NormalTok"/>
        </w:rPr>
        <w:t xml:space="preserve">Coste_FA&lt;-</w:t>
      </w:r>
      <w:r>
        <w:rPr>
          <w:rStyle w:val="KeywordTok"/>
        </w:rPr>
        <w:t xml:space="preserve">sum</w:t>
      </w:r>
      <w:r>
        <w:rPr>
          <w:rStyle w:val="NormalTok"/>
        </w:rPr>
        <w:t xml:space="preserve">(</w:t>
      </w:r>
      <w:r>
        <w:rPr>
          <w:rStyle w:val="DecValTok"/>
        </w:rPr>
        <w:t xml:space="preserve">100000</w:t>
      </w:r>
      <w:r>
        <w:rPr>
          <w:rStyle w:val="OperatorTok"/>
        </w:rPr>
        <w:t xml:space="preserve">*</w:t>
      </w:r>
      <w:r>
        <w:rPr>
          <w:rStyle w:val="NormalTok"/>
        </w:rPr>
        <w:t xml:space="preserve">propcada[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43400</w:t>
      </w:r>
      <w:r>
        <w:rPr>
          <w:rStyle w:val="OperatorTok"/>
        </w:rPr>
        <w:t xml:space="preserve">+</w:t>
      </w:r>
      <w:r>
        <w:rPr>
          <w:rStyle w:val="DecValTok"/>
        </w:rPr>
        <w:t xml:space="preserve">100000</w:t>
      </w:r>
      <w:r>
        <w:rPr>
          <w:rStyle w:val="OperatorTok"/>
        </w:rPr>
        <w:t xml:space="preserve">*</w:t>
      </w:r>
      <w:r>
        <w:rPr>
          <w:rStyle w:val="NormalTok"/>
        </w:rPr>
        <w:t xml:space="preserve">propcada[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OperatorTok"/>
        </w:rPr>
        <w:t xml:space="preserve">*</w:t>
      </w:r>
      <w:r>
        <w:rPr>
          <w:rStyle w:val="DecValTok"/>
        </w:rPr>
        <w:t xml:space="preserve">5000</w:t>
      </w:r>
      <w:r>
        <w:rPr>
          <w:rStyle w:val="OperatorTok"/>
        </w:rPr>
        <w:t xml:space="preserve">+</w:t>
      </w:r>
      <w:r>
        <w:rPr>
          <w:rStyle w:val="DecValTok"/>
        </w:rPr>
        <w:t xml:space="preserve">100000</w:t>
      </w:r>
      <w:r>
        <w:rPr>
          <w:rStyle w:val="OperatorTok"/>
        </w:rPr>
        <w:t xml:space="preserve">*</w:t>
      </w:r>
      <w:r>
        <w:rPr>
          <w:rStyle w:val="NormalTok"/>
        </w:rPr>
        <w:t xml:space="preserve">Precio)</w:t>
      </w:r>
      <w:r>
        <w:br/>
      </w:r>
      <w:r>
        <w:rPr>
          <w:rStyle w:val="NormalTok"/>
        </w:rPr>
        <w:t xml:space="preserve">Coste_FA</w:t>
      </w:r>
    </w:p>
    <w:p>
      <w:pPr>
        <w:pStyle w:val="SourceCode"/>
      </w:pPr>
      <w:r>
        <w:rPr>
          <w:rStyle w:val="VerbatimChar"/>
        </w:rPr>
        <w:t xml:space="preserve">## [1] 260580640</w:t>
      </w:r>
    </w:p>
    <w:p>
      <w:pPr>
        <w:pStyle w:val="Heading2"/>
      </w:pPr>
      <w:bookmarkStart w:id="27" w:name="cálculo-de-la-ratio-de-coste-efectividad"/>
      <w:r>
        <w:t xml:space="preserve">Cálculo de la ratio de coste-efectividad</w:t>
      </w:r>
      <w:bookmarkEnd w:id="27"/>
    </w:p>
    <w:p>
      <w:pPr>
        <w:pStyle w:val="SourceCode"/>
      </w:pPr>
      <w:r>
        <w:rPr>
          <w:rStyle w:val="NormalTok"/>
        </w:rPr>
        <w:t xml:space="preserve">ACER_FA&lt;-Coste_FA</w:t>
      </w:r>
      <w:r>
        <w:rPr>
          <w:rStyle w:val="OperatorTok"/>
        </w:rPr>
        <w:t xml:space="preserve">/</w:t>
      </w:r>
      <w:r>
        <w:rPr>
          <w:rStyle w:val="NormalTok"/>
        </w:rPr>
        <w:t xml:space="preserve">Qalys_FA</w:t>
      </w:r>
      <w:r>
        <w:br/>
      </w:r>
      <w:r>
        <w:rPr>
          <w:rStyle w:val="NormalTok"/>
        </w:rPr>
        <w:t xml:space="preserve">ACER_FA</w:t>
      </w:r>
    </w:p>
    <w:p>
      <w:pPr>
        <w:pStyle w:val="SourceCode"/>
      </w:pPr>
      <w:r>
        <w:rPr>
          <w:rStyle w:val="VerbatimChar"/>
        </w:rPr>
        <w:t xml:space="preserve">## [1] 3832.077</w:t>
      </w:r>
    </w:p>
    <w:p>
      <w:pPr>
        <w:pStyle w:val="Heading1"/>
      </w:pPr>
      <w:bookmarkStart w:id="28" w:name="análisis-de-rama-sin-el-fármaco"/>
      <w:r>
        <w:t xml:space="preserve">Análisis de rama sin el Fármaco</w:t>
      </w:r>
      <w:bookmarkEnd w:id="28"/>
    </w:p>
    <w:p>
      <w:pPr>
        <w:pStyle w:val="Heading2"/>
      </w:pPr>
      <w:bookmarkStart w:id="29" w:name="probabilidades-del-árbol-decisional-1"/>
      <w:r>
        <w:t xml:space="preserve">Probabilidades del árbol decisional</w:t>
      </w:r>
      <w:bookmarkEnd w:id="29"/>
    </w:p>
    <w:p>
      <w:pPr>
        <w:pStyle w:val="SourceCode"/>
      </w:pPr>
      <w:r>
        <w:rPr>
          <w:rStyle w:val="NormalTok"/>
        </w:rPr>
        <w:t xml:space="preserve">ProbIng=</w:t>
      </w:r>
      <w:r>
        <w:rPr>
          <w:rStyle w:val="FloatTok"/>
        </w:rPr>
        <w:t xml:space="preserve">0.07</w:t>
      </w:r>
      <w:r>
        <w:br/>
      </w:r>
      <w:r>
        <w:rPr>
          <w:rStyle w:val="NormalTok"/>
        </w:rPr>
        <w:t xml:space="preserve">ProbICU=</w:t>
      </w:r>
      <w:r>
        <w:rPr>
          <w:rStyle w:val="FloatTok"/>
        </w:rPr>
        <w:t xml:space="preserve">0.001</w:t>
      </w:r>
      <w:r>
        <w:br/>
      </w:r>
      <w:r>
        <w:rPr>
          <w:rStyle w:val="NormalTok"/>
        </w:rPr>
        <w:t xml:space="preserve">ProbExitusICU=</w:t>
      </w:r>
      <w:r>
        <w:rPr>
          <w:rStyle w:val="FloatTok"/>
        </w:rPr>
        <w:t xml:space="preserve">0.01</w:t>
      </w:r>
      <w:r>
        <w:br/>
      </w:r>
      <w:r>
        <w:rPr>
          <w:rStyle w:val="NormalTok"/>
        </w:rPr>
        <w:t xml:space="preserve">ProbExitus=</w:t>
      </w:r>
      <w:r>
        <w:rPr>
          <w:rStyle w:val="FloatTok"/>
        </w:rPr>
        <w:t xml:space="preserve">0.019</w:t>
      </w:r>
      <w:r>
        <w:br/>
      </w:r>
      <w:r>
        <w:br/>
      </w:r>
      <w:r>
        <w:rPr>
          <w:rStyle w:val="NormalTok"/>
        </w:rPr>
        <w:t xml:space="preserve">Precio=</w:t>
      </w:r>
      <w:r>
        <w:rPr>
          <w:rStyle w:val="DecValTok"/>
        </w:rPr>
        <w:t xml:space="preserve">0</w:t>
      </w:r>
    </w:p>
    <w:p>
      <w:pPr>
        <w:pStyle w:val="Heading3"/>
      </w:pPr>
      <w:bookmarkStart w:id="30" w:name="Xb31b26694510903066ab9a36e6d4f18412c74e0"/>
      <w:r>
        <w:t xml:space="preserve">Proporción de cada uno de los nodos finales</w:t>
      </w:r>
      <w:bookmarkEnd w:id="30"/>
    </w:p>
    <w:p>
      <w:pPr>
        <w:pStyle w:val="SourceCode"/>
      </w:pPr>
      <w:r>
        <w:rPr>
          <w:rStyle w:val="NormalTok"/>
        </w:rPr>
        <w:t xml:space="preserve">propcada&lt;-</w:t>
      </w:r>
      <w:r>
        <w:rPr>
          <w:rStyle w:val="KeywordTok"/>
        </w:rPr>
        <w:t xml:space="preserve">Tree</w:t>
      </w:r>
      <w:r>
        <w:rPr>
          <w:rStyle w:val="NormalTok"/>
        </w:rPr>
        <w:t xml:space="preserve">(</w:t>
      </w:r>
      <w:r>
        <w:rPr>
          <w:rStyle w:val="DataTypeTok"/>
        </w:rPr>
        <w:t xml:space="preserve">ProbIng=</w:t>
      </w:r>
      <w:r>
        <w:rPr>
          <w:rStyle w:val="FloatTok"/>
        </w:rPr>
        <w:t xml:space="preserve">0.07</w:t>
      </w:r>
      <w:r>
        <w:rPr>
          <w:rStyle w:val="NormalTok"/>
        </w:rPr>
        <w:t xml:space="preserve">, </w:t>
      </w:r>
      <w:r>
        <w:rPr>
          <w:rStyle w:val="DataTypeTok"/>
        </w:rPr>
        <w:t xml:space="preserve">ProbICU=</w:t>
      </w:r>
      <w:r>
        <w:rPr>
          <w:rStyle w:val="FloatTok"/>
        </w:rPr>
        <w:t xml:space="preserve">0.001</w:t>
      </w:r>
      <w:r>
        <w:rPr>
          <w:rStyle w:val="NormalTok"/>
        </w:rPr>
        <w:t xml:space="preserve">, </w:t>
      </w:r>
      <w:r>
        <w:rPr>
          <w:rStyle w:val="DataTypeTok"/>
        </w:rPr>
        <w:t xml:space="preserve">ProbExitusICU=</w:t>
      </w:r>
      <w:r>
        <w:rPr>
          <w:rStyle w:val="FloatTok"/>
        </w:rPr>
        <w:t xml:space="preserve">0.01</w:t>
      </w:r>
      <w:r>
        <w:rPr>
          <w:rStyle w:val="NormalTok"/>
        </w:rPr>
        <w:t xml:space="preserve">, </w:t>
      </w:r>
      <w:r>
        <w:rPr>
          <w:rStyle w:val="DataTypeTok"/>
        </w:rPr>
        <w:t xml:space="preserve">ProbExitus=</w:t>
      </w:r>
      <w:r>
        <w:rPr>
          <w:rStyle w:val="FloatTok"/>
        </w:rPr>
        <w:t xml:space="preserve">0.019</w:t>
      </w:r>
      <w:r>
        <w:rPr>
          <w:rStyle w:val="NormalTok"/>
        </w:rPr>
        <w:t xml:space="preserve">)</w:t>
      </w:r>
      <w:r>
        <w:br/>
      </w:r>
      <w:r>
        <w:rPr>
          <w:rStyle w:val="NormalTok"/>
        </w:rPr>
        <w:t xml:space="preserve">propcada</w:t>
      </w:r>
    </w:p>
    <w:p>
      <w:pPr>
        <w:pStyle w:val="SourceCode"/>
      </w:pPr>
      <w:r>
        <w:rPr>
          <w:rStyle w:val="VerbatimChar"/>
        </w:rPr>
        <w:t xml:space="preserve">## Hosp_UCI_Curados Hosp_UCI_Muertos     Hosp_Curados      Hosp_Exitus </w:t>
      </w:r>
      <w:r>
        <w:br/>
      </w:r>
      <w:r>
        <w:rPr>
          <w:rStyle w:val="VerbatimChar"/>
        </w:rPr>
        <w:t xml:space="preserve">##         6.93e-05         7.00e-07         6.86e-02         1.33e-03 </w:t>
      </w:r>
      <w:r>
        <w:br/>
      </w:r>
      <w:r>
        <w:rPr>
          <w:rStyle w:val="VerbatimChar"/>
        </w:rPr>
        <w:t xml:space="preserve">##          No_Hosp </w:t>
      </w:r>
      <w:r>
        <w:br/>
      </w:r>
      <w:r>
        <w:rPr>
          <w:rStyle w:val="VerbatimChar"/>
        </w:rPr>
        <w:t xml:space="preserve">##         9.30e-01</w:t>
      </w:r>
    </w:p>
    <w:p>
      <w:pPr>
        <w:pStyle w:val="Heading3"/>
      </w:pPr>
      <w:bookmarkStart w:id="31" w:name="X52fb28313a34b55a43b84932b98e7e81b4a58df"/>
      <w:r>
        <w:t xml:space="preserve">Distribución teórica de una cohorte de 100000 en cada uno de los nodos</w:t>
      </w:r>
      <w:bookmarkEnd w:id="31"/>
    </w:p>
    <w:p>
      <w:pPr>
        <w:pStyle w:val="SourceCode"/>
      </w:pPr>
      <w:r>
        <w:rPr>
          <w:rStyle w:val="DecValTok"/>
        </w:rPr>
        <w:t xml:space="preserve">100000</w:t>
      </w:r>
      <w:r>
        <w:rPr>
          <w:rStyle w:val="OperatorTok"/>
        </w:rPr>
        <w:t xml:space="preserve">*</w:t>
      </w:r>
      <w:r>
        <w:rPr>
          <w:rStyle w:val="NormalTok"/>
        </w:rPr>
        <w:t xml:space="preserve">propcada</w:t>
      </w:r>
    </w:p>
    <w:p>
      <w:pPr>
        <w:pStyle w:val="SourceCode"/>
      </w:pPr>
      <w:r>
        <w:rPr>
          <w:rStyle w:val="VerbatimChar"/>
        </w:rPr>
        <w:t xml:space="preserve">## Hosp_UCI_Curados Hosp_UCI_Muertos     Hosp_Curados      Hosp_Exitus </w:t>
      </w:r>
      <w:r>
        <w:br/>
      </w:r>
      <w:r>
        <w:rPr>
          <w:rStyle w:val="VerbatimChar"/>
        </w:rPr>
        <w:t xml:space="preserve">##             6.93             0.07          6860.00           133.00 </w:t>
      </w:r>
      <w:r>
        <w:br/>
      </w:r>
      <w:r>
        <w:rPr>
          <w:rStyle w:val="VerbatimChar"/>
        </w:rPr>
        <w:t xml:space="preserve">##          No_Hosp </w:t>
      </w:r>
      <w:r>
        <w:br/>
      </w:r>
      <w:r>
        <w:rPr>
          <w:rStyle w:val="VerbatimChar"/>
        </w:rPr>
        <w:t xml:space="preserve">##         93000.00</w:t>
      </w:r>
    </w:p>
    <w:p>
      <w:pPr>
        <w:pStyle w:val="Heading3"/>
      </w:pPr>
      <w:bookmarkStart w:id="32" w:name="cálculo-de-los-avacs-1"/>
      <w:r>
        <w:t xml:space="preserve">Cálculo de los AVACS</w:t>
      </w:r>
      <w:bookmarkEnd w:id="32"/>
    </w:p>
    <w:p>
      <w:pPr>
        <w:pStyle w:val="FirstParagraph"/>
      </w:pPr>
      <w:r>
        <w:t xml:space="preserve">Se ha escogido como peso para el cálculo de los AVACS aquellos reportados por Poteet et al. 2021</w:t>
      </w:r>
    </w:p>
    <w:p>
      <w:pPr>
        <w:pStyle w:val="SourceCode"/>
      </w:pPr>
      <w:r>
        <w:rPr>
          <w:rStyle w:val="NormalTok"/>
        </w:rPr>
        <w:t xml:space="preserve">Qalys_PL&lt;-</w:t>
      </w:r>
      <w:r>
        <w:rPr>
          <w:rStyle w:val="KeywordTok"/>
        </w:rPr>
        <w:t xml:space="preserve">sum</w:t>
      </w:r>
      <w:r>
        <w:rPr>
          <w:rStyle w:val="NormalTok"/>
        </w:rPr>
        <w:t xml:space="preserve">(</w:t>
      </w:r>
      <w:r>
        <w:rPr>
          <w:rStyle w:val="DecValTok"/>
        </w:rPr>
        <w:t xml:space="preserve">100000</w:t>
      </w:r>
      <w:r>
        <w:rPr>
          <w:rStyle w:val="OperatorTok"/>
        </w:rPr>
        <w:t xml:space="preserve">*</w:t>
      </w:r>
      <w:r>
        <w:rPr>
          <w:rStyle w:val="NormalTok"/>
        </w:rPr>
        <w:t xml:space="preserve">propcada[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OperatorTok"/>
        </w:rPr>
        <w:t xml:space="preserve">*</w:t>
      </w:r>
      <w:r>
        <w:rPr>
          <w:rStyle w:val="FloatTok"/>
        </w:rPr>
        <w:t xml:space="preserve">0.68</w:t>
      </w:r>
      <w:r>
        <w:rPr>
          <w:rStyle w:val="NormalTok"/>
        </w:rPr>
        <w:t xml:space="preserve">) </w:t>
      </w:r>
      <w:r>
        <w:br/>
      </w:r>
      <w:r>
        <w:rPr>
          <w:rStyle w:val="NormalTok"/>
        </w:rPr>
        <w:t xml:space="preserve">Qalys_PL</w:t>
      </w:r>
    </w:p>
    <w:p>
      <w:pPr>
        <w:pStyle w:val="SourceCode"/>
      </w:pPr>
      <w:r>
        <w:rPr>
          <w:rStyle w:val="VerbatimChar"/>
        </w:rPr>
        <w:t xml:space="preserve">## [1] 67909.51</w:t>
      </w:r>
    </w:p>
    <w:p>
      <w:pPr>
        <w:pStyle w:val="Heading3"/>
      </w:pPr>
      <w:bookmarkStart w:id="33" w:name="cálculo-de-los-costes-1"/>
      <w:r>
        <w:t xml:space="preserve">Cálculo de los Costes</w:t>
      </w:r>
      <w:bookmarkEnd w:id="33"/>
    </w:p>
    <w:p>
      <w:pPr>
        <w:pStyle w:val="FirstParagraph"/>
      </w:pPr>
      <w:r>
        <w:t xml:space="preserve">Los costes se han obtenido del decreto ley de pagos de Cataluña</w:t>
      </w:r>
    </w:p>
    <w:p>
      <w:pPr>
        <w:pStyle w:val="SourceCode"/>
      </w:pPr>
      <w:r>
        <w:rPr>
          <w:rStyle w:val="NormalTok"/>
        </w:rPr>
        <w:t xml:space="preserve">Coste_PL&lt;-</w:t>
      </w:r>
      <w:r>
        <w:rPr>
          <w:rStyle w:val="KeywordTok"/>
        </w:rPr>
        <w:t xml:space="preserve">sum</w:t>
      </w:r>
      <w:r>
        <w:rPr>
          <w:rStyle w:val="NormalTok"/>
        </w:rPr>
        <w:t xml:space="preserve">(</w:t>
      </w:r>
      <w:r>
        <w:rPr>
          <w:rStyle w:val="DecValTok"/>
        </w:rPr>
        <w:t xml:space="preserve">100000</w:t>
      </w:r>
      <w:r>
        <w:rPr>
          <w:rStyle w:val="OperatorTok"/>
        </w:rPr>
        <w:t xml:space="preserve">*</w:t>
      </w:r>
      <w:r>
        <w:rPr>
          <w:rStyle w:val="NormalTok"/>
        </w:rPr>
        <w:t xml:space="preserve">propcada[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43400</w:t>
      </w:r>
      <w:r>
        <w:rPr>
          <w:rStyle w:val="OperatorTok"/>
        </w:rPr>
        <w:t xml:space="preserve">+</w:t>
      </w:r>
      <w:r>
        <w:rPr>
          <w:rStyle w:val="DecValTok"/>
        </w:rPr>
        <w:t xml:space="preserve">100000</w:t>
      </w:r>
      <w:r>
        <w:rPr>
          <w:rStyle w:val="OperatorTok"/>
        </w:rPr>
        <w:t xml:space="preserve">*</w:t>
      </w:r>
      <w:r>
        <w:rPr>
          <w:rStyle w:val="NormalTok"/>
        </w:rPr>
        <w:t xml:space="preserve">propcada[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OperatorTok"/>
        </w:rPr>
        <w:t xml:space="preserve">*</w:t>
      </w:r>
      <w:r>
        <w:rPr>
          <w:rStyle w:val="DecValTok"/>
        </w:rPr>
        <w:t xml:space="preserve">5000</w:t>
      </w:r>
      <w:r>
        <w:rPr>
          <w:rStyle w:val="OperatorTok"/>
        </w:rPr>
        <w:t xml:space="preserve">+</w:t>
      </w:r>
      <w:r>
        <w:rPr>
          <w:rStyle w:val="DecValTok"/>
        </w:rPr>
        <w:t xml:space="preserve">100000</w:t>
      </w:r>
      <w:r>
        <w:rPr>
          <w:rStyle w:val="OperatorTok"/>
        </w:rPr>
        <w:t xml:space="preserve">*</w:t>
      </w:r>
      <w:r>
        <w:rPr>
          <w:rStyle w:val="NormalTok"/>
        </w:rPr>
        <w:t xml:space="preserve">Precio)</w:t>
      </w:r>
      <w:r>
        <w:br/>
      </w:r>
      <w:r>
        <w:rPr>
          <w:rStyle w:val="NormalTok"/>
        </w:rPr>
        <w:t xml:space="preserve">Coste_PL</w:t>
      </w:r>
    </w:p>
    <w:p>
      <w:pPr>
        <w:pStyle w:val="SourceCode"/>
      </w:pPr>
      <w:r>
        <w:rPr>
          <w:rStyle w:val="VerbatimChar"/>
        </w:rPr>
        <w:t xml:space="preserve">## [1] 35268800</w:t>
      </w:r>
    </w:p>
    <w:p>
      <w:pPr>
        <w:pStyle w:val="Heading3"/>
      </w:pPr>
      <w:bookmarkStart w:id="34" w:name="Xe2501d89b03e6e6ba0bd7b8b5e4977d312d6bfe"/>
      <w:r>
        <w:t xml:space="preserve">Cálculo de la ratio de coste-efectividad</w:t>
      </w:r>
      <w:bookmarkEnd w:id="34"/>
    </w:p>
    <w:p>
      <w:pPr>
        <w:pStyle w:val="SourceCode"/>
      </w:pPr>
      <w:r>
        <w:rPr>
          <w:rStyle w:val="NormalTok"/>
        </w:rPr>
        <w:t xml:space="preserve">ACER_PL&lt;-Coste_PL</w:t>
      </w:r>
      <w:r>
        <w:rPr>
          <w:rStyle w:val="OperatorTok"/>
        </w:rPr>
        <w:t xml:space="preserve">/</w:t>
      </w:r>
      <w:r>
        <w:rPr>
          <w:rStyle w:val="NormalTok"/>
        </w:rPr>
        <w:t xml:space="preserve">Qalys_PL</w:t>
      </w:r>
      <w:r>
        <w:br/>
      </w:r>
      <w:r>
        <w:rPr>
          <w:rStyle w:val="NormalTok"/>
        </w:rPr>
        <w:t xml:space="preserve">ACER_PL</w:t>
      </w:r>
    </w:p>
    <w:p>
      <w:pPr>
        <w:pStyle w:val="SourceCode"/>
      </w:pPr>
      <w:r>
        <w:rPr>
          <w:rStyle w:val="VerbatimChar"/>
        </w:rPr>
        <w:t xml:space="preserve">## [1] 519.3499</w:t>
      </w:r>
    </w:p>
    <w:p>
      <w:pPr>
        <w:pStyle w:val="FirstParagraph"/>
      </w:pPr>
      <w:r>
        <w:t xml:space="preserve">##Comparación de ambas ramas</w:t>
      </w:r>
      <w:r>
        <w:t xml:space="preserve"> </w:t>
      </w:r>
      <w:r>
        <w:t xml:space="preserve">### Diferencia de costes</w:t>
      </w:r>
    </w:p>
    <w:p>
      <w:pPr>
        <w:pStyle w:val="SourceCode"/>
      </w:pPr>
      <w:r>
        <w:rPr>
          <w:rStyle w:val="NormalTok"/>
        </w:rPr>
        <w:t xml:space="preserve">DifCostes&lt;-Coste_FA</w:t>
      </w:r>
      <w:r>
        <w:rPr>
          <w:rStyle w:val="OperatorTok"/>
        </w:rPr>
        <w:t xml:space="preserve">-</w:t>
      </w:r>
      <w:r>
        <w:rPr>
          <w:rStyle w:val="NormalTok"/>
        </w:rPr>
        <w:t xml:space="preserve">Coste_PL</w:t>
      </w:r>
      <w:r>
        <w:br/>
      </w:r>
      <w:r>
        <w:rPr>
          <w:rStyle w:val="NormalTok"/>
        </w:rPr>
        <w:t xml:space="preserve">DifCostes</w:t>
      </w:r>
    </w:p>
    <w:p>
      <w:pPr>
        <w:pStyle w:val="SourceCode"/>
      </w:pPr>
      <w:r>
        <w:rPr>
          <w:rStyle w:val="VerbatimChar"/>
        </w:rPr>
        <w:t xml:space="preserve">## [1] 225311840</w:t>
      </w:r>
    </w:p>
    <w:p>
      <w:pPr>
        <w:pStyle w:val="Heading3"/>
      </w:pPr>
      <w:bookmarkStart w:id="35" w:name="diferencia-en-qalys"/>
      <w:r>
        <w:t xml:space="preserve">Diferencia en QALYs</w:t>
      </w:r>
      <w:bookmarkEnd w:id="35"/>
    </w:p>
    <w:p>
      <w:pPr>
        <w:pStyle w:val="SourceCode"/>
      </w:pPr>
      <w:r>
        <w:rPr>
          <w:rStyle w:val="NormalTok"/>
        </w:rPr>
        <w:t xml:space="preserve">DifQalys&lt;-Qalys_FA</w:t>
      </w:r>
      <w:r>
        <w:rPr>
          <w:rStyle w:val="OperatorTok"/>
        </w:rPr>
        <w:t xml:space="preserve">-</w:t>
      </w:r>
      <w:r>
        <w:rPr>
          <w:rStyle w:val="NormalTok"/>
        </w:rPr>
        <w:t xml:space="preserve">Qalys_PL</w:t>
      </w:r>
      <w:r>
        <w:br/>
      </w:r>
      <w:r>
        <w:rPr>
          <w:rStyle w:val="NormalTok"/>
        </w:rPr>
        <w:t xml:space="preserve">DifQalys</w:t>
      </w:r>
    </w:p>
    <w:p>
      <w:pPr>
        <w:pStyle w:val="SourceCode"/>
      </w:pPr>
      <w:r>
        <w:rPr>
          <w:rStyle w:val="VerbatimChar"/>
        </w:rPr>
        <w:t xml:space="preserve">## [1] 90.33052</w:t>
      </w:r>
    </w:p>
    <w:p>
      <w:pPr>
        <w:pStyle w:val="Heading3"/>
      </w:pPr>
      <w:bookmarkStart w:id="36" w:name="ratio-de-coste-efectividad-incremental"/>
      <w:r>
        <w:t xml:space="preserve">Ratio de coste-efectividad incremental</w:t>
      </w:r>
      <w:bookmarkEnd w:id="36"/>
    </w:p>
    <w:p>
      <w:pPr>
        <w:pStyle w:val="SourceCode"/>
      </w:pPr>
      <w:r>
        <w:rPr>
          <w:rStyle w:val="NormalTok"/>
        </w:rPr>
        <w:t xml:space="preserve">DifCostes</w:t>
      </w:r>
      <w:r>
        <w:rPr>
          <w:rStyle w:val="OperatorTok"/>
        </w:rPr>
        <w:t xml:space="preserve">/</w:t>
      </w:r>
      <w:r>
        <w:rPr>
          <w:rStyle w:val="NormalTok"/>
        </w:rPr>
        <w:t xml:space="preserve">DifQalys</w:t>
      </w:r>
    </w:p>
    <w:p>
      <w:pPr>
        <w:pStyle w:val="SourceCode"/>
      </w:pPr>
      <w:r>
        <w:rPr>
          <w:rStyle w:val="VerbatimChar"/>
        </w:rPr>
        <w:t xml:space="preserve">## [1] 2494305</w:t>
      </w:r>
    </w:p>
    <w:p>
      <w:pPr>
        <w:pStyle w:val="FirstParagraph"/>
      </w:pPr>
      <w:r>
        <w:t xml:space="preserve">El umbral a pagar por cada QALY extra más habitual es el de una vez la renta per cápita del país. Esto cumpliría dos principios de equidad fundamentales, tanto el de que a cada individuo le debe corresponder una parte equitativa de la riqueza del país, esto sería, una vez la renta per cápita, como el de sostenibilidad, pues si incrementamos un QALY, ese individuo, en promedio, producirá una renta per cápita. Este cálculo, sin duda es simplista, pero tiene cierta lógica y parece difícil justificar umbrales a pagar superiores, especialmente en un contexto de deuda extrema como el actual.</w:t>
      </w:r>
      <w:r>
        <w:t xml:space="preserve"> </w:t>
      </w:r>
      <w:r>
        <w:t xml:space="preserve">La renta per cápita de España en 2021 fue de 23470 Euros. Por tanto el Ratio de coste-efectividad incremental de Bamlanivimab/Etesimab sería considerado no coste-efectivo.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coste-efectividad de Bamlanivimab/Etesimab para pacientes con COVID-19 de alto riesgo</dc:title>
  <dc:creator>Philip Wikman</dc:creator>
  <cp:keywords/>
  <dcterms:created xsi:type="dcterms:W3CDTF">2022-02-20T19:38:59Z</dcterms:created>
  <dcterms:modified xsi:type="dcterms:W3CDTF">2022-02-20T19:38:59Z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18/2/2022</vt:lpwstr>
  </property>
  <property fmtid="{D5CDD505-2E9C-101B-9397-08002B2CF9AE}" pid="3" name="output">
    <vt:lpwstr/>
  </property>
</Properties>
</file>