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df" ContentType="application/pdf"/>
  <Override PartName="/word/media/rId35.png" ContentType="image/png"/>
  <Override PartName="/word/media/rId36.png" ContentType="image/png"/>
  <Override PartName="/word/media/rId38.png" ContentType="image/png"/>
  <Override PartName="/word/media/rId39.png" ContentType="image/png"/>
  <Override PartName="/word/media/rId41.png" ContentType="image/png"/>
  <Override PartName="/word/media/rId42.png" ContentType="image/png"/>
  <Override PartName="/word/media/rId44.png" ContentType="image/png"/>
  <Override PartName="/word/media/rId45.png" ContentType="image/png"/>
  <Override PartName="/word/media/rId48.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Relaxing</w:t>
      </w:r>
      <w:r>
        <w:t xml:space="preserve"> </w:t>
      </w:r>
      <w:r>
        <w:t xml:space="preserve">Assumptions</w:t>
      </w:r>
      <w:r>
        <w:t xml:space="preserve"> </w:t>
      </w:r>
      <w:r>
        <w:t xml:space="preserve">about</w:t>
      </w:r>
      <w:r>
        <w:t xml:space="preserve"> </w:t>
      </w:r>
      <w:r>
        <w:t xml:space="preserve">Voter</w:t>
      </w:r>
      <w:r>
        <w:t xml:space="preserve"> </w:t>
      </w:r>
      <w:r>
        <w:t xml:space="preserve">Utilities:</w:t>
      </w:r>
      <w:r>
        <w:rPr>
          <w:rStyle w:val="FootnoteRef"/>
        </w:rPr>
        <w:footnoteReference w:id="21"/>
      </w:r>
    </w:p>
    <w:p>
      <w:pPr>
        <w:pStyle w:val="Authors"/>
      </w:pPr>
      <w:r>
        <w:t xml:space="preserve">Peter</w:t>
      </w:r>
      <w:r>
        <w:t xml:space="preserve"> </w:t>
      </w:r>
      <w:r>
        <w:t xml:space="preserve">DeScioli</w:t>
      </w:r>
      <w:r>
        <w:rPr>
          <w:rStyle w:val="FootnoteRef"/>
        </w:rPr>
        <w:footnoteReference w:id="23"/>
      </w:r>
      <w:r>
        <w:br w:type="textWrapping"/>
      </w:r>
      <w:r>
        <w:t xml:space="preserve">Patrick</w:t>
      </w:r>
      <w:r>
        <w:t xml:space="preserve"> </w:t>
      </w:r>
      <w:r>
        <w:t xml:space="preserve">Kraft</w:t>
      </w:r>
      <w:r>
        <w:rPr>
          <w:rStyle w:val="FootnoteRef"/>
        </w:rPr>
        <w:footnoteReference w:id="25"/>
      </w:r>
    </w:p>
    <w:p>
      <w:pPr>
        <w:pStyle w:val="Date"/>
      </w:pPr>
      <w:r>
        <w:t xml:space="preserve">this</w:t>
      </w:r>
      <w:r>
        <w:t xml:space="preserve"> </w:t>
      </w:r>
      <w:r>
        <w:t xml:space="preserve">draft:</w:t>
      </w:r>
      <w:r>
        <w:t xml:space="preserve"> </w:t>
      </w:r>
    </w:p>
    <w:p/>
    <w:p/>
    <w:bookmarkStart w:id="27" w:name="introduction"/>
    <w:p>
      <w:pPr>
        <w:pStyle w:val="Heading1"/>
      </w:pPr>
      <w:r>
        <w:t xml:space="preserve">Introduction</w:t>
      </w:r>
    </w:p>
    <w:bookmarkEnd w:id="27"/>
    <w:p>
      <w:r>
        <w:t xml:space="preserve">Spatial theories have a long tradition as a general framework for the the study of voting behavior as well as the analyses of candidate strategies in election campaigns. Pioneered in earlier work by</w:t>
      </w:r>
      <w:r>
        <w:t xml:space="preserve"> </w:t>
      </w:r>
      <w:r>
        <w:t xml:space="preserve">Hotelling (1929)</w:t>
      </w:r>
      <w:r>
        <w:t xml:space="preserve">,</w:t>
      </w:r>
      <w:r>
        <w:t xml:space="preserve"> </w:t>
      </w:r>
      <w:r>
        <w:t xml:space="preserve">Downs (1957)</w:t>
      </w:r>
      <w:r>
        <w:t xml:space="preserve">, and</w:t>
      </w:r>
      <w:r>
        <w:t xml:space="preserve"> </w:t>
      </w:r>
      <w:r>
        <w:t xml:space="preserve">Black et al. (1958)</w:t>
      </w:r>
      <w:r>
        <w:t xml:space="preserve">, many models of issue-based voting conceptualize political competition in a common multi- or unidimensional policy space in order to formalize voter preferences</w:t>
      </w:r>
      <w:r>
        <w:t xml:space="preserve"> </w:t>
      </w:r>
      <w:r>
        <w:t xml:space="preserve">(for overviews, see Enelow and Hinich 1984; Merrill and Grofman 1999)</w:t>
      </w:r>
      <w:r>
        <w:t xml:space="preserve">. Accordingly, spatial theories of voting assume that voter preferences can be described by (or approximated by) a common (multidimensional) policy space or a single ideological dimension. Individual utilities (for example in the context of elections) are thereby based on the voters' ideal points in the policy space in relation to the candidates' respective positions. While most applications of spatial voting models focus on the relative</w:t>
      </w:r>
      <w:r>
        <w:t xml:space="preserve"> </w:t>
      </w:r>
      <w:r>
        <w:rPr>
          <w:i/>
        </w:rPr>
        <w:t xml:space="preserve">proximity</w:t>
      </w:r>
      <w:r>
        <w:t xml:space="preserve"> </w:t>
      </w:r>
      <w:r>
        <w:t xml:space="preserve">between voters and candidates in order to deduce individual utilities, other scholars proposed alternative ways of mapping candidate and voter positions on actual utilities</w:t>
      </w:r>
      <w:r>
        <w:t xml:space="preserve"> </w:t>
      </w:r>
      <w:r>
        <w:t xml:space="preserve">(see for example Rabinowitz and Macdonald 1989)</w:t>
      </w:r>
      <w:r>
        <w:t xml:space="preserve">.</w:t>
      </w:r>
    </w:p>
    <w:p>
      <w:r>
        <w:t xml:space="preserve">However, notwihstanding the debate between specific conceptualization of spatial voting models, a large body of research in political science and political psychology showed how a multitude of factors can affect voter preferences independent of pure issue positions and ideological dimensions. Classic studies such as</w:t>
      </w:r>
      <w:r>
        <w:t xml:space="preserve"> </w:t>
      </w:r>
      <w:r>
        <w:rPr>
          <w:i/>
        </w:rPr>
        <w:t xml:space="preserve">The American Voter</w:t>
      </w:r>
      <w:r>
        <w:t xml:space="preserve"> </w:t>
      </w:r>
      <w:r>
        <w:t xml:space="preserve">(Campbell et al. 1960)</w:t>
      </w:r>
      <w:r>
        <w:t xml:space="preserve"> </w:t>
      </w:r>
      <w:r>
        <w:t xml:space="preserve">as well as subsequent work emphasizedthe importance of party identification as a general psychological attachement in voter decision making. Other factors that have been under consideration in more recent studies include, but are not limited to, the candidates’ traits and personalities, their perceived competence, and the nature of campaigns</w:t>
      </w:r>
      <w:r>
        <w:t xml:space="preserve"> </w:t>
      </w:r>
      <w:r>
        <w:t xml:space="preserve">(see for example Hayes 2005)</w:t>
      </w:r>
      <w:r>
        <w:t xml:space="preserve">. For example,</w:t>
      </w:r>
      <w:r>
        <w:t xml:space="preserve"> </w:t>
      </w:r>
      <w:r>
        <w:t xml:space="preserve">Todorov et al. (2005)</w:t>
      </w:r>
      <w:r>
        <w:t xml:space="preserve"> </w:t>
      </w:r>
      <w:r>
        <w:t xml:space="preserve">showed that competence assessments solely based on candidate pictures successfully predicted the results in election results for the U.S. Congress</w:t>
      </w:r>
      <w:r>
        <w:t xml:space="preserve"> </w:t>
      </w:r>
      <w:r>
        <w:t xml:space="preserve">(see also Mattes et al. 2010)</w:t>
      </w:r>
      <w:r>
        <w:t xml:space="preserve">. Furthermore, the effect of candidate appearance on electoral success is not limited to the related inference about competence, but can be based on simple assessments of the beauty of candidates</w:t>
      </w:r>
      <w:r>
        <w:t xml:space="preserve"> </w:t>
      </w:r>
      <w:r>
        <w:t xml:space="preserve">(Berggren, Jordahl, and Poutvaara 2010)</w:t>
      </w:r>
      <w:r>
        <w:t xml:space="preserve">. These examples of non-issue based determinants of voter preferences indicate the underlying utilities for candidates or parties might not be reducible to a simple issue-based logic.</w:t>
      </w:r>
    </w:p>
    <w:p>
      <w:r>
        <w:t xml:space="preserve">In the paper presented here, it will be argued, that focusing solely on policy-based utilities induces strong assumptions about the relationships between the utilities for competing candidates. Our goal is to show how relaxing such assumptions can alter our conclusions about the efficiency of voting rules. As an initial step, we will focus on a simple voting scenario of two competing candidates and varying sizes of the electorate. We present simulation studies in order to examine the efficiency of majority elections under different scenarios. Based on the simulation results, we propose an experimental design in order to provide further insights as to how the assumptions underlying the ideal-point framework influence the expected social welfare outcomes of voting rules.</w:t>
      </w:r>
    </w:p>
    <w:bookmarkStart w:id="28" w:name="political-preferences-and-the-ideal-point-framework"/>
    <w:p>
      <w:pPr>
        <w:pStyle w:val="Heading1"/>
      </w:pPr>
      <w:r>
        <w:t xml:space="preserve">Political Preferences and the Ideal Point Framework</w:t>
      </w:r>
    </w:p>
    <w:bookmarkEnd w:id="28"/>
    <w:p>
      <w:r>
        <w:t xml:space="preserve">Spatial theories of voting provide a comprehensive framework to translate issue positions of candidates and members of the electorate into individual voter preferences as well as resulting candidate strategies. One of the fundamental assumptions underlying spatial models is, that individual positions regarding each policy issue or ideological dimensions can be described as an</w:t>
      </w:r>
      <w:r>
        <w:t xml:space="preserve"> </w:t>
      </w:r>
      <w:r>
        <w:rPr>
          <w:i/>
        </w:rPr>
        <w:t xml:space="preserve">ideal point</w:t>
      </w:r>
      <w:r>
        <w:t xml:space="preserve"> </w:t>
      </w:r>
      <w:r>
        <w:t xml:space="preserve">on a continuous scale that encompasses all possible configurations. For example, looking at general health care policies, the end points of the policy space could be described as complete privatization of health care without government regulation on the one hand, and state-controlled complementary health insurance on the other end. Each point within this space represents a unique policy configuration between both extreme points</w:t>
      </w:r>
      <w:r>
        <w:t xml:space="preserve"> </w:t>
      </w:r>
      <w:r>
        <w:t xml:space="preserve">(however, see Rabinowitz and Macdonald 1989 for an alternative interpretation focusing on the relative</w:t>
      </w:r>
      <w:r>
        <w:t xml:space="preserve"> </w:t>
      </w:r>
      <w:r>
        <w:rPr>
          <w:i/>
        </w:rPr>
        <w:t xml:space="preserve">emphasis</w:t>
      </w:r>
      <w:r>
        <w:t xml:space="preserve"> </w:t>
      </w:r>
      <w:r>
        <w:t xml:space="preserve">on a specific issue position)</w:t>
      </w:r>
      <w:r>
        <w:t xml:space="preserve">.</w:t>
      </w:r>
    </w:p>
    <w:p>
      <w:r>
        <w:drawing>
          <wp:inline>
            <wp:extent cx="1524000" cy="1524000"/>
            <wp:effectExtent b="0" l="0" r="0" t="0"/>
            <wp:docPr descr="" id="1" name="Picture"/>
            <a:graphic>
              <a:graphicData uri="http://schemas.openxmlformats.org/drawingml/2006/picture">
                <pic:pic>
                  <pic:nvPicPr>
                    <pic:cNvPr descr="../simulations/fig/ideal_plot.pdf" id="0" name="Picture"/>
                    <pic:cNvPicPr>
                      <a:picLocks noChangeArrowheads="1" noChangeAspect="1"/>
                    </pic:cNvPicPr>
                  </pic:nvPicPr>
                  <pic:blipFill>
                    <a:blip r:embed="rId29"/>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Illustration of Unidimensional Policy Space.</w:t>
      </w:r>
    </w:p>
    <w:p>
      <w:r>
        <w:t xml:space="preserve">For example, Figure</w:t>
      </w:r>
      <w:r>
        <w:t xml:space="preserve"> </w:t>
      </w:r>
      <w:r>
        <w:t xml:space="preserve"> </w:t>
      </w:r>
      <w:r>
        <w:t xml:space="preserve">describes policy positions of five candidates (</w:t>
      </w:r>
      <m:oMath>
        <m:r>
          <m:rPr/>
          <m:t>A</m:t>
        </m:r>
      </m:oMath>
      <w:r>
        <w:t xml:space="preserve"> </w:t>
      </w:r>
      <w:r>
        <w:t xml:space="preserve">through</w:t>
      </w:r>
      <w:r>
        <w:t xml:space="preserve"> </w:t>
      </w:r>
      <m:oMath>
        <m:r>
          <m:rPr/>
          <m:t>E</m:t>
        </m:r>
      </m:oMath>
      <w:r>
        <w:t xml:space="preserve">) as well as the ideal point of an individual voter (</w:t>
      </w:r>
      <m:oMath>
        <m:r>
          <m:rPr/>
          <m:t>X</m:t>
        </m:r>
      </m:oMath>
      <w:r>
        <w:t xml:space="preserve">). Using the health care example introduced above, the end points (-10 and 10) represent both extremes of complete privatization vs. government-run health care. Voter</w:t>
      </w:r>
      <w:r>
        <w:t xml:space="preserve"> </w:t>
      </w:r>
      <m:oMath>
        <m:r>
          <m:rPr/>
          <m:t>X</m:t>
        </m:r>
      </m:oMath>
      <w:r>
        <w:t xml:space="preserve"> </w:t>
      </w:r>
      <w:r>
        <w:t xml:space="preserve">prefers some mixture between private and state controlled health care problems with a slight preference for private health care (-1). How can the utilities that voter</w:t>
      </w:r>
      <w:r>
        <w:t xml:space="preserve"> </w:t>
      </w:r>
      <m:oMath>
        <m:r>
          <m:rPr/>
          <m:t>X</m:t>
        </m:r>
      </m:oMath>
      <w:r>
        <w:t xml:space="preserve"> </w:t>
      </w:r>
      <w:r>
        <w:t xml:space="preserve">could draw from each of the candidates be deduced in this framework?</w:t>
      </w:r>
    </w:p>
    <w:p>
      <w:r>
        <w:t xml:space="preserve">Most spatial voting models assume that utilities are based on the relative</w:t>
      </w:r>
      <w:r>
        <w:t xml:space="preserve"> </w:t>
      </w:r>
      <w:r>
        <w:rPr>
          <w:i/>
        </w:rPr>
        <w:t xml:space="preserve">proximity</w:t>
      </w:r>
      <w:r>
        <w:t xml:space="preserve"> </w:t>
      </w:r>
      <w:r>
        <w:t xml:space="preserve">between the voter's ideal point and the respective candidate position. This conceptualization has been introduced by</w:t>
      </w:r>
      <w:r>
        <w:t xml:space="preserve"> </w:t>
      </w:r>
      <w:r>
        <w:t xml:space="preserve">Downs (1957)</w:t>
      </w:r>
      <w:r>
        <w:t xml:space="preserve"> </w:t>
      </w:r>
      <w:r>
        <w:t xml:space="preserve">and further developed in subsequent work</w:t>
      </w:r>
      <w:r>
        <w:t xml:space="preserve"> </w:t>
      </w:r>
      <w:r>
        <w:t xml:space="preserve">(Enelow and Hinich 1984; e.g. Hinich and Pollard 1981)</w:t>
      </w:r>
      <w:r>
        <w:t xml:space="preserve">. Most proximity voting models are conceptualized as the Euclidian distance between the voter's ideal point and each of the candidates under consideration.</w:t>
      </w:r>
      <w:r>
        <w:rPr>
          <w:rStyle w:val="FootnoteRef"/>
        </w:rPr>
        <w:footnoteReference w:id="30"/>
      </w:r>
      <w:r>
        <w:t xml:space="preserve"> </w:t>
      </w:r>
      <w:r>
        <w:t xml:space="preserve">Assuming a unidimensional framework, the utility of candidate</w:t>
      </w:r>
      <w:r>
        <w:t xml:space="preserve"> </w:t>
      </w:r>
      <m:oMath>
        <m:r>
          <m:rPr/>
          <m:t>i</m:t>
        </m:r>
      </m:oMath>
      <w:r>
        <w:t xml:space="preserve"> </w:t>
      </w:r>
      <w:r>
        <w:t xml:space="preserve">for each party</w:t>
      </w:r>
      <w:r>
        <w:t xml:space="preserve"> </w:t>
      </w:r>
      <m:oMath>
        <m:r>
          <m:rPr/>
          <m:t>j</m:t>
        </m:r>
      </m:oMath>
      <w:r>
        <w:t xml:space="preserve"> </w:t>
      </w:r>
      <w:r>
        <w:t xml:space="preserve">can be described as follows</w:t>
      </w:r>
      <w:r>
        <w:t xml:space="preserve"> </w:t>
      </w:r>
      <w:r>
        <w:t xml:space="preserve">(c.f. Lewis and King 1999)</w:t>
      </w:r>
      <w:r>
        <w:t xml:space="preserve">:</w:t>
      </w:r>
    </w:p>
    <w:p>
      <w:r>
        <w:t xml:space="preserve">Where</w:t>
      </w:r>
      <w:r>
        <w:t xml:space="preserve"> </w:t>
      </w:r>
      <m:oMath>
        <m:r>
          <m:rPr/>
          <m:t>U</m:t>
        </m:r>
      </m:oMath>
      <w:r>
        <w:t xml:space="preserve"> </w:t>
      </w:r>
      <w:r>
        <w:t xml:space="preserve">denotes the utility,</w:t>
      </w:r>
      <w:r>
        <w:t xml:space="preserve"> </w:t>
      </w:r>
      <m:oMath>
        <m:sSub>
          <m:e>
            <m:r>
              <m:rPr/>
              <m:t>X</m:t>
            </m:r>
          </m:e>
          <m:sub>
            <m:r>
              <m:rPr/>
              <m:t>i</m:t>
            </m:r>
          </m:sub>
        </m:sSub>
      </m:oMath>
      <w:r>
        <w:t xml:space="preserve"> </w:t>
      </w:r>
      <w:r>
        <w:t xml:space="preserve">denotes the voter's ideal point, and</w:t>
      </w:r>
      <w:r>
        <w:t xml:space="preserve"> </w:t>
      </w:r>
      <m:oMath>
        <m:sSub>
          <m:e>
            <m:r>
              <m:rPr/>
              <m:t>X</m:t>
            </m:r>
          </m:e>
          <m:sub>
            <m:r>
              <m:rPr/>
              <m:t>j</m:t>
            </m:r>
          </m:sub>
        </m:sSub>
      </m:oMath>
      <w:r>
        <w:t xml:space="preserve"> </w:t>
      </w:r>
      <w:r>
        <w:t xml:space="preserve">denotes candidate</w:t>
      </w:r>
      <w:r>
        <w:t xml:space="preserve"> </w:t>
      </w:r>
      <m:oMath>
        <m:r>
          <m:rPr/>
          <m:t>j</m:t>
        </m:r>
      </m:oMath>
      <w:r>
        <w:t xml:space="preserve">'s position on the policy or ideological dimension. We include the unknown parameters</w:t>
      </w:r>
      <w:r>
        <w:t xml:space="preserve"> </w:t>
      </w:r>
      <m:oMath>
        <m:r>
          <m:rPr/>
          <m:t>α</m:t>
        </m:r>
      </m:oMath>
      <w:r>
        <w:t xml:space="preserve"> </w:t>
      </w:r>
      <w:r>
        <w:t xml:space="preserve">and</w:t>
      </w:r>
      <w:r>
        <w:t xml:space="preserve"> </w:t>
      </w:r>
      <m:oMath>
        <m:r>
          <m:rPr/>
          <m:t>β</m:t>
        </m:r>
        <m:r>
          <m:rPr/>
          <m:t>&gt;</m:t>
        </m:r>
        <m:r>
          <m:rPr/>
          <m:t>0</m:t>
        </m:r>
      </m:oMath>
      <w:r>
        <w:t xml:space="preserve"> </w:t>
      </w:r>
      <w:r>
        <w:t xml:space="preserve">to indicate the possibility of scaling of actual utilities. Without loss of generalizability, we will assume</w:t>
      </w:r>
      <w:r>
        <w:t xml:space="preserve"> </w:t>
      </w:r>
      <m:oMath>
        <m:r>
          <m:rPr/>
          <m:t>α</m:t>
        </m:r>
        <m:r>
          <m:rPr/>
          <m:t>=</m:t>
        </m:r>
        <m:r>
          <m:rPr/>
          <m:t>0</m:t>
        </m:r>
      </m:oMath>
      <w:r>
        <w:t xml:space="preserve"> </w:t>
      </w:r>
      <w:r>
        <w:t xml:space="preserve">and</w:t>
      </w:r>
      <w:r>
        <w:t xml:space="preserve"> </w:t>
      </w:r>
      <m:oMath>
        <m:r>
          <m:rPr/>
          <m:t>β</m:t>
        </m:r>
        <m:r>
          <m:rPr/>
          <m:t>=</m:t>
        </m:r>
        <m:r>
          <m:rPr/>
          <m:t>1</m:t>
        </m:r>
      </m:oMath>
      <w:r>
        <w:t xml:space="preserve"> </w:t>
      </w:r>
      <w:r>
        <w:t xml:space="preserve">in our subsequent simulations. According to this model, voter</w:t>
      </w:r>
      <w:r>
        <w:t xml:space="preserve"> </w:t>
      </w:r>
      <m:oMath>
        <m:r>
          <m:rPr/>
          <m:t>X</m:t>
        </m:r>
      </m:oMath>
      <w:r>
        <w:t xml:space="preserve"> </w:t>
      </w:r>
      <w:r>
        <w:t xml:space="preserve">in Figure</w:t>
      </w:r>
      <w:r>
        <w:t xml:space="preserve"> </w:t>
      </w:r>
      <w:r>
        <w:t xml:space="preserve"> </w:t>
      </w:r>
      <w:r>
        <w:t xml:space="preserve">would maximize her utility if the policy proposed by candidate</w:t>
      </w:r>
      <w:r>
        <w:t xml:space="preserve"> </w:t>
      </w:r>
      <m:oMath>
        <m:r>
          <m:rPr/>
          <m:t>C</m:t>
        </m:r>
      </m:oMath>
      <w:r>
        <w:t xml:space="preserve"> </w:t>
      </w:r>
      <w:r>
        <w:t xml:space="preserve">was implemented.</w:t>
      </w:r>
    </w:p>
    <w:p>
      <w:r>
        <w:t xml:space="preserve">However, some scholars proposed alternative conceptualizations that map voter and candidate positions to individual utilities. The most prominent example is the</w:t>
      </w:r>
      <w:r>
        <w:t xml:space="preserve"> </w:t>
      </w:r>
      <w:r>
        <w:rPr>
          <w:i/>
        </w:rPr>
        <w:t xml:space="preserve">directional model</w:t>
      </w:r>
      <w:r>
        <w:t xml:space="preserve"> </w:t>
      </w:r>
      <w:r>
        <w:t xml:space="preserve">proposed by</w:t>
      </w:r>
      <w:r>
        <w:t xml:space="preserve"> </w:t>
      </w:r>
      <w:r>
        <w:t xml:space="preserve">Rabinowitz and Macdonald (1989)</w:t>
      </w:r>
      <w:r>
        <w:t xml:space="preserve">, which suggests that voter utilities increase the stronger a party emphasizes an issue on the same side of the neutral point (0 in Figure</w:t>
      </w:r>
      <w:r>
        <w:t xml:space="preserve"> </w:t>
      </w:r>
      <w:r>
        <w:t xml:space="preserve">) as the voter. Accordingly, voter</w:t>
      </w:r>
      <w:r>
        <w:t xml:space="preserve"> </w:t>
      </w:r>
      <m:oMath>
        <m:r>
          <m:rPr/>
          <m:t>X</m:t>
        </m:r>
      </m:oMath>
      <w:r>
        <w:t xml:space="preserve"> </w:t>
      </w:r>
      <w:r>
        <w:t xml:space="preserve">in Figure</w:t>
      </w:r>
      <w:r>
        <w:t xml:space="preserve"> </w:t>
      </w:r>
      <w:r>
        <w:t xml:space="preserve"> </w:t>
      </w:r>
      <w:r>
        <w:t xml:space="preserve">would be expected to prefer candidate</w:t>
      </w:r>
      <w:r>
        <w:t xml:space="preserve"> </w:t>
      </w:r>
      <m:oMath>
        <m:r>
          <m:rPr/>
          <m:t>A</m:t>
        </m:r>
      </m:oMath>
      <w:r>
        <w:t xml:space="preserve">'s policy rather than candidate</w:t>
      </w:r>
      <w:r>
        <w:t xml:space="preserve"> </w:t>
      </w:r>
      <m:oMath>
        <m:r>
          <m:rPr/>
          <m:t>C</m:t>
        </m:r>
      </m:oMath>
      <w:r>
        <w:t xml:space="preserve">'s policy (assuming that there is no `zone of acceptability' as sometimes proposed in the context of directional models). The ongoing debate whether the directional or proximity model is better suited to explain voter preferences and electoral behavior found proponents on both sides</w:t>
      </w:r>
      <w:r>
        <w:t xml:space="preserve"> </w:t>
      </w:r>
      <w:r>
        <w:t xml:space="preserve">(Claassen 2007; Jessee 2009; Lacy and Paolino 2010; Macdonald, Listhaug, and Rabinowitz 1991; Macdonald, Rabinowitz, and Listhaug 1995; Westholm 1997)</w:t>
      </w:r>
      <w:r>
        <w:t xml:space="preserve">. Accordingly, some scholars proposed a unified framework combining both consideratione</w:t>
      </w:r>
      <w:r>
        <w:t xml:space="preserve"> </w:t>
      </w:r>
      <w:r>
        <w:t xml:space="preserve">(Claassen 2009; e.g. Merrill and Grofman 1999, see also</w:t>
      </w:r>
      <w:r>
        <w:t xml:space="preserve"> </w:t>
      </w:r>
      <w:r>
        <w:t xml:space="preserve">Kedar (2005)</w:t>
      </w:r>
      <w:r>
        <w:t xml:space="preserve">)</w:t>
      </w:r>
      <w:r>
        <w:t xml:space="preserve">, while others argued that both theoretical approaches cannot be clearly distinguished and tested against each other due to the fact that they rely on fundamentally different assumptions</w:t>
      </w:r>
      <w:r>
        <w:t xml:space="preserve"> </w:t>
      </w:r>
      <w:r>
        <w:t xml:space="preserve">(e.g. Lewis and King 1999)</w:t>
      </w:r>
      <w:r>
        <w:t xml:space="preserve">. Since it is out of the scope of this paper to discuss the theoretical or empirical merit of the proximity or the directional model, the following discussion as well as our simulational scenarios will focus solely on the proximity conceptualization of issue-based voter utilities.</w:t>
      </w:r>
    </w:p>
    <w:bookmarkStart w:id="31" w:name="alternative-factors-influencing-political-preferences"/>
    <w:p>
      <w:pPr>
        <w:pStyle w:val="Heading1"/>
      </w:pPr>
      <w:r>
        <w:t xml:space="preserve">Alternative Factors Influencing Political Preferences</w:t>
      </w:r>
    </w:p>
    <w:bookmarkEnd w:id="31"/>
    <w:p>
      <w:pPr>
        <w:pStyle w:val="Compact"/>
        <w:numPr>
          <w:numId w:val="2"/>
          <w:ilvl w:val="0"/>
        </w:numPr>
      </w:pPr>
      <w:r>
        <w:t xml:space="preserve">Start with campbell/american voter, party identification</w:t>
      </w:r>
    </w:p>
    <w:p>
      <w:pPr>
        <w:pStyle w:val="Compact"/>
        <w:numPr>
          <w:numId w:val="2"/>
          <w:ilvl w:val="0"/>
        </w:numPr>
      </w:pPr>
      <w:r>
        <w:t xml:space="preserve">discuss recent studies showing non-issue influences on voting behavior etc...</w:t>
      </w:r>
    </w:p>
    <w:bookmarkStart w:id="32" w:name="majority-voting-and-social-welfare"/>
    <w:p>
      <w:pPr>
        <w:pStyle w:val="Heading1"/>
      </w:pPr>
      <w:r>
        <w:t xml:space="preserve">Majority Voting and Social Welfare</w:t>
      </w:r>
    </w:p>
    <w:bookmarkEnd w:id="32"/>
    <w:p>
      <w:pPr>
        <w:pStyle w:val="Compact"/>
        <w:numPr>
          <w:numId w:val="3"/>
          <w:ilvl w:val="0"/>
        </w:numPr>
      </w:pPr>
      <w:r>
        <w:t xml:space="preserve">discuss</w:t>
      </w:r>
      <w:r>
        <w:t xml:space="preserve"> </w:t>
      </w:r>
      <w:r>
        <w:t xml:space="preserve">Hastie and Kameda (2005)</w:t>
      </w:r>
    </w:p>
    <w:p>
      <w:pPr>
        <w:pStyle w:val="Compact"/>
        <w:numPr>
          <w:numId w:val="3"/>
          <w:ilvl w:val="0"/>
        </w:numPr>
      </w:pPr>
      <w:r>
        <w:t xml:space="preserve">discussion of majority voting as a voting rule that maximizes welfare in different experimental and simulational scenarios...</w:t>
      </w:r>
    </w:p>
    <w:p>
      <w:pPr>
        <w:pStyle w:val="Compact"/>
        <w:numPr>
          <w:numId w:val="3"/>
          <w:ilvl w:val="0"/>
        </w:numPr>
      </w:pPr>
      <w:r>
        <w:t xml:space="preserve">Conceptualization of efficiency:</w:t>
      </w:r>
    </w:p>
    <w:p>
      <w:pPr>
        <w:pStyle w:val="Compact"/>
        <w:numPr>
          <w:numId w:val="3"/>
          <w:ilvl w:val="0"/>
        </w:numPr>
      </w:pPr>
      <w:r>
        <w:t xml:space="preserve">does the election result</w:t>
      </w:r>
      <w:r>
        <w:t xml:space="preserve"> </w:t>
      </w:r>
      <w:r>
        <w:rPr>
          <w:i/>
        </w:rPr>
        <w:t xml:space="preserve">maximize the aggregate utilities</w:t>
      </w:r>
      <w:r>
        <w:t xml:space="preserve"> </w:t>
      </w:r>
      <w:r>
        <w:t xml:space="preserve">for all voters?</w:t>
      </w:r>
    </w:p>
    <w:bookmarkStart w:id="33" w:name="simulation-results"/>
    <w:p>
      <w:pPr>
        <w:pStyle w:val="Heading1"/>
      </w:pPr>
      <w:r>
        <w:t xml:space="preserve">Simulation Results</w:t>
      </w:r>
    </w:p>
    <w:bookmarkEnd w:id="33"/>
    <w:p>
      <w:r>
        <w:t xml:space="preserve">In order to investigate how different assumptions about voter utilities affect our evaluations of the efficiency of voting models, we propose the following simulational scenarios...</w:t>
      </w:r>
    </w:p>
    <w:p>
      <w:r>
        <w:t xml:space="preserve">Description of simulational scenarios:</w:t>
      </w:r>
    </w:p>
    <w:p>
      <w:pPr>
        <w:pStyle w:val="Compact"/>
        <w:numPr>
          <w:numId w:val="4"/>
          <w:ilvl w:val="0"/>
        </w:numPr>
      </w:pPr>
      <w:r>
        <w:t xml:space="preserve">number of</w:t>
      </w:r>
      <w:r>
        <w:t xml:space="preserve"> </w:t>
      </w:r>
      <w:r>
        <w:rPr>
          <w:i/>
        </w:rPr>
        <w:t xml:space="preserve">voters</w:t>
      </w:r>
      <w:r>
        <w:t xml:space="preserve"> </w:t>
      </w:r>
      <w:r>
        <w:t xml:space="preserve">in each election: 2000</w:t>
      </w:r>
    </w:p>
    <w:p>
      <w:pPr>
        <w:pStyle w:val="Compact"/>
        <w:numPr>
          <w:numId w:val="4"/>
          <w:ilvl w:val="0"/>
        </w:numPr>
      </w:pPr>
      <w:r>
        <w:t xml:space="preserve">number of candidates: 2</w:t>
      </w:r>
    </w:p>
    <w:p>
      <w:pPr>
        <w:pStyle w:val="Compact"/>
        <w:numPr>
          <w:numId w:val="4"/>
          <w:ilvl w:val="0"/>
        </w:numPr>
      </w:pPr>
      <w:r>
        <w:t xml:space="preserve">number of simulations: 1000</w:t>
      </w:r>
    </w:p>
    <w:p/>
    <w:bookmarkStart w:id="34" w:name="comparing-ideal-points-and-independent-normal-utilities"/>
    <w:p>
      <w:pPr>
        <w:pStyle w:val="Heading2"/>
      </w:pPr>
      <w:r>
        <w:t xml:space="preserve">Comparing ideal points and independent normal utilities</w:t>
      </w:r>
    </w:p>
    <w:bookmarkEnd w:id="34"/>
    <w:p>
      <w:r>
        <w:t xml:space="preserve">Utilities based on normally distributed ideal points:</w:t>
      </w:r>
    </w:p>
    <w:p>
      <w:r>
        <w:drawing>
          <wp:inline>
            <wp:extent cx="8255000" cy="2743200"/>
            <wp:effectExtent b="0" l="0" r="0" t="0"/>
            <wp:docPr descr="" id="1" name="Picture"/>
            <a:graphic>
              <a:graphicData uri="http://schemas.openxmlformats.org/drawingml/2006/picture">
                <pic:pic>
                  <pic:nvPicPr>
                    <pic:cNvPr descr="../simulations/fig/s1a.png" id="0" name="Picture"/>
                    <pic:cNvPicPr>
                      <a:picLocks noChangeArrowheads="1" noChangeAspect="1"/>
                    </pic:cNvPicPr>
                  </pic:nvPicPr>
                  <pic:blipFill>
                    <a:blip r:embed="rId35"/>
                    <a:stretch>
                      <a:fillRect/>
                    </a:stretch>
                  </pic:blipFill>
                  <pic:spPr bwMode="auto">
                    <a:xfrm>
                      <a:off x="0" y="0"/>
                      <a:ext cx="8255000" cy="2743200"/>
                    </a:xfrm>
                    <a:prstGeom prst="rect">
                      <a:avLst/>
                    </a:prstGeom>
                    <a:noFill/>
                    <a:ln w="9525">
                      <a:noFill/>
                      <a:headEnd/>
                      <a:tailEnd/>
                    </a:ln>
                  </pic:spPr>
                </pic:pic>
              </a:graphicData>
            </a:graphic>
          </wp:inline>
        </w:drawing>
      </w:r>
    </w:p>
    <w:p>
      <w:pPr>
        <w:pStyle w:val="ImageCaption"/>
      </w:pPr>
      <w:r>
        <w:t xml:space="preserve">Normally distributed ideal points.</w:t>
      </w:r>
    </w:p>
    <w:p>
      <w:r>
        <w:t xml:space="preserve">Utilities for both candidates based on independent normal distributions:</w:t>
      </w:r>
    </w:p>
    <w:p>
      <w:r>
        <w:drawing>
          <wp:inline>
            <wp:extent cx="8255000" cy="2743200"/>
            <wp:effectExtent b="0" l="0" r="0" t="0"/>
            <wp:docPr descr="" id="1" name="Picture"/>
            <a:graphic>
              <a:graphicData uri="http://schemas.openxmlformats.org/drawingml/2006/picture">
                <pic:pic>
                  <pic:nvPicPr>
                    <pic:cNvPr descr="../simulations/fig/s1b.png" id="0" name="Picture"/>
                    <pic:cNvPicPr>
                      <a:picLocks noChangeArrowheads="1" noChangeAspect="1"/>
                    </pic:cNvPicPr>
                  </pic:nvPicPr>
                  <pic:blipFill>
                    <a:blip r:embed="rId36"/>
                    <a:stretch>
                      <a:fillRect/>
                    </a:stretch>
                  </pic:blipFill>
                  <pic:spPr bwMode="auto">
                    <a:xfrm>
                      <a:off x="0" y="0"/>
                      <a:ext cx="8255000" cy="2743200"/>
                    </a:xfrm>
                    <a:prstGeom prst="rect">
                      <a:avLst/>
                    </a:prstGeom>
                    <a:noFill/>
                    <a:ln w="9525">
                      <a:noFill/>
                      <a:headEnd/>
                      <a:tailEnd/>
                    </a:ln>
                  </pic:spPr>
                </pic:pic>
              </a:graphicData>
            </a:graphic>
          </wp:inline>
        </w:drawing>
      </w:r>
    </w:p>
    <w:p>
      <w:pPr>
        <w:pStyle w:val="ImageCaption"/>
      </w:pPr>
      <w:r>
        <w:t xml:space="preserve">Independent normal utilities.</w:t>
      </w:r>
    </w:p>
    <w:p/>
    <w:bookmarkStart w:id="37" w:name="investigating-the-effect-of-correlated-utilities"/>
    <w:p>
      <w:pPr>
        <w:pStyle w:val="Heading2"/>
      </w:pPr>
      <w:r>
        <w:t xml:space="preserve">Investigating the effect of correlated utilities</w:t>
      </w:r>
    </w:p>
    <w:bookmarkEnd w:id="37"/>
    <w:p>
      <w:r>
        <w:t xml:space="preserve">Positively correlated normal utilities:</w:t>
      </w:r>
    </w:p>
    <w:p>
      <w:r>
        <w:drawing>
          <wp:inline>
            <wp:extent cx="8255000" cy="2743200"/>
            <wp:effectExtent b="0" l="0" r="0" t="0"/>
            <wp:docPr descr="" id="1" name="Picture"/>
            <a:graphic>
              <a:graphicData uri="http://schemas.openxmlformats.org/drawingml/2006/picture">
                <pic:pic>
                  <pic:nvPicPr>
                    <pic:cNvPr descr="../simulations/fig/s2a.png" id="0" name="Picture"/>
                    <pic:cNvPicPr>
                      <a:picLocks noChangeArrowheads="1" noChangeAspect="1"/>
                    </pic:cNvPicPr>
                  </pic:nvPicPr>
                  <pic:blipFill>
                    <a:blip r:embed="rId38"/>
                    <a:stretch>
                      <a:fillRect/>
                    </a:stretch>
                  </pic:blipFill>
                  <pic:spPr bwMode="auto">
                    <a:xfrm>
                      <a:off x="0" y="0"/>
                      <a:ext cx="8255000" cy="2743200"/>
                    </a:xfrm>
                    <a:prstGeom prst="rect">
                      <a:avLst/>
                    </a:prstGeom>
                    <a:noFill/>
                    <a:ln w="9525">
                      <a:noFill/>
                      <a:headEnd/>
                      <a:tailEnd/>
                    </a:ln>
                  </pic:spPr>
                </pic:pic>
              </a:graphicData>
            </a:graphic>
          </wp:inline>
        </w:drawing>
      </w:r>
    </w:p>
    <w:p>
      <w:pPr>
        <w:pStyle w:val="ImageCaption"/>
      </w:pPr>
      <w:r>
        <w:t xml:space="preserve">Positively correlated normal utilities.</w:t>
      </w:r>
    </w:p>
    <w:p>
      <w:r>
        <w:t xml:space="preserve">Negatively correlated normal utilities:</w:t>
      </w:r>
    </w:p>
    <w:p>
      <w:r>
        <w:drawing>
          <wp:inline>
            <wp:extent cx="8255000" cy="2743200"/>
            <wp:effectExtent b="0" l="0" r="0" t="0"/>
            <wp:docPr descr="" id="1" name="Picture"/>
            <a:graphic>
              <a:graphicData uri="http://schemas.openxmlformats.org/drawingml/2006/picture">
                <pic:pic>
                  <pic:nvPicPr>
                    <pic:cNvPr descr="../simulations/fig/s2b.png" id="0" name="Picture"/>
                    <pic:cNvPicPr>
                      <a:picLocks noChangeArrowheads="1" noChangeAspect="1"/>
                    </pic:cNvPicPr>
                  </pic:nvPicPr>
                  <pic:blipFill>
                    <a:blip r:embed="rId39"/>
                    <a:stretch>
                      <a:fillRect/>
                    </a:stretch>
                  </pic:blipFill>
                  <pic:spPr bwMode="auto">
                    <a:xfrm>
                      <a:off x="0" y="0"/>
                      <a:ext cx="8255000" cy="2743200"/>
                    </a:xfrm>
                    <a:prstGeom prst="rect">
                      <a:avLst/>
                    </a:prstGeom>
                    <a:noFill/>
                    <a:ln w="9525">
                      <a:noFill/>
                      <a:headEnd/>
                      <a:tailEnd/>
                    </a:ln>
                  </pic:spPr>
                </pic:pic>
              </a:graphicData>
            </a:graphic>
          </wp:inline>
        </w:drawing>
      </w:r>
    </w:p>
    <w:p>
      <w:pPr>
        <w:pStyle w:val="ImageCaption"/>
      </w:pPr>
      <w:r>
        <w:t xml:space="preserve">Negatively correlated normal utilities.</w:t>
      </w:r>
    </w:p>
    <w:p/>
    <w:bookmarkStart w:id="40" w:name="inefficiencies-for-varying-mean-differences-in-utilities"/>
    <w:p>
      <w:pPr>
        <w:pStyle w:val="Heading2"/>
      </w:pPr>
      <w:r>
        <w:t xml:space="preserve">Inefficiencies for varying mean differences in utilities</w:t>
      </w:r>
    </w:p>
    <w:bookmarkEnd w:id="40"/>
    <w:p>
      <w:r>
        <w:drawing>
          <wp:inline>
            <wp:extent cx="7327900" cy="3657600"/>
            <wp:effectExtent b="0" l="0" r="0" t="0"/>
            <wp:docPr descr="" id="1" name="Picture"/>
            <a:graphic>
              <a:graphicData uri="http://schemas.openxmlformats.org/drawingml/2006/picture">
                <pic:pic>
                  <pic:nvPicPr>
                    <pic:cNvPr descr="../simulations/fig/s3a.png" id="0" name="Picture"/>
                    <pic:cNvPicPr>
                      <a:picLocks noChangeArrowheads="1" noChangeAspect="1"/>
                    </pic:cNvPicPr>
                  </pic:nvPicPr>
                  <pic:blipFill>
                    <a:blip r:embed="rId41"/>
                    <a:stretch>
                      <a:fillRect/>
                    </a:stretch>
                  </pic:blipFill>
                  <pic:spPr bwMode="auto">
                    <a:xfrm>
                      <a:off x="0" y="0"/>
                      <a:ext cx="7327900" cy="3657600"/>
                    </a:xfrm>
                    <a:prstGeom prst="rect">
                      <a:avLst/>
                    </a:prstGeom>
                    <a:noFill/>
                    <a:ln w="9525">
                      <a:noFill/>
                      <a:headEnd/>
                      <a:tailEnd/>
                    </a:ln>
                  </pic:spPr>
                </pic:pic>
              </a:graphicData>
            </a:graphic>
          </wp:inline>
        </w:drawing>
      </w:r>
    </w:p>
    <w:p>
      <w:pPr>
        <w:pStyle w:val="ImageCaption"/>
      </w:pPr>
      <w:r>
        <w:t xml:space="preserve">Inefficiencies for varying mean differences in utilities I.</w:t>
      </w:r>
    </w:p>
    <w:p>
      <w:r>
        <w:drawing>
          <wp:inline>
            <wp:extent cx="7327900" cy="3657600"/>
            <wp:effectExtent b="0" l="0" r="0" t="0"/>
            <wp:docPr descr="" id="1" name="Picture"/>
            <a:graphic>
              <a:graphicData uri="http://schemas.openxmlformats.org/drawingml/2006/picture">
                <pic:pic>
                  <pic:nvPicPr>
                    <pic:cNvPr descr="../simulations/fig/s3b.png" id="0" name="Picture"/>
                    <pic:cNvPicPr>
                      <a:picLocks noChangeArrowheads="1" noChangeAspect="1"/>
                    </pic:cNvPicPr>
                  </pic:nvPicPr>
                  <pic:blipFill>
                    <a:blip r:embed="rId42"/>
                    <a:stretch>
                      <a:fillRect/>
                    </a:stretch>
                  </pic:blipFill>
                  <pic:spPr bwMode="auto">
                    <a:xfrm>
                      <a:off x="0" y="0"/>
                      <a:ext cx="7327900" cy="3657600"/>
                    </a:xfrm>
                    <a:prstGeom prst="rect">
                      <a:avLst/>
                    </a:prstGeom>
                    <a:noFill/>
                    <a:ln w="9525">
                      <a:noFill/>
                      <a:headEnd/>
                      <a:tailEnd/>
                    </a:ln>
                  </pic:spPr>
                </pic:pic>
              </a:graphicData>
            </a:graphic>
          </wp:inline>
        </w:drawing>
      </w:r>
    </w:p>
    <w:p>
      <w:pPr>
        <w:pStyle w:val="ImageCaption"/>
      </w:pPr>
      <w:r>
        <w:t xml:space="preserve">Inefficiencies for varying mean differences in utilities II.</w:t>
      </w:r>
    </w:p>
    <w:p/>
    <w:bookmarkStart w:id="43" w:name="investigating-the-effect-of-skewed-utility-distributions"/>
    <w:p>
      <w:pPr>
        <w:pStyle w:val="Heading2"/>
      </w:pPr>
      <w:r>
        <w:t xml:space="preserve">Investigating the effect of skewed utility distributions</w:t>
      </w:r>
    </w:p>
    <w:bookmarkEnd w:id="43"/>
    <w:p>
      <w:r>
        <w:drawing>
          <wp:inline>
            <wp:extent cx="7327900" cy="3657600"/>
            <wp:effectExtent b="0" l="0" r="0" t="0"/>
            <wp:docPr descr="" id="1" name="Picture"/>
            <a:graphic>
              <a:graphicData uri="http://schemas.openxmlformats.org/drawingml/2006/picture">
                <pic:pic>
                  <pic:nvPicPr>
                    <pic:cNvPr descr="../simulations/fig/s4a.png" id="0" name="Picture"/>
                    <pic:cNvPicPr>
                      <a:picLocks noChangeArrowheads="1" noChangeAspect="1"/>
                    </pic:cNvPicPr>
                  </pic:nvPicPr>
                  <pic:blipFill>
                    <a:blip r:embed="rId44"/>
                    <a:stretch>
                      <a:fillRect/>
                    </a:stretch>
                  </pic:blipFill>
                  <pic:spPr bwMode="auto">
                    <a:xfrm>
                      <a:off x="0" y="0"/>
                      <a:ext cx="7327900" cy="3657600"/>
                    </a:xfrm>
                    <a:prstGeom prst="rect">
                      <a:avLst/>
                    </a:prstGeom>
                    <a:noFill/>
                    <a:ln w="9525">
                      <a:noFill/>
                      <a:headEnd/>
                      <a:tailEnd/>
                    </a:ln>
                  </pic:spPr>
                </pic:pic>
              </a:graphicData>
            </a:graphic>
          </wp:inline>
        </w:drawing>
      </w:r>
    </w:p>
    <w:p>
      <w:pPr>
        <w:pStyle w:val="ImageCaption"/>
      </w:pPr>
      <w:r>
        <w:t xml:space="preserve">Investigating the effect of skewed utility distributions I.</w:t>
      </w:r>
    </w:p>
    <w:p>
      <w:r>
        <w:drawing>
          <wp:inline>
            <wp:extent cx="7327900" cy="3657600"/>
            <wp:effectExtent b="0" l="0" r="0" t="0"/>
            <wp:docPr descr="" id="1" name="Picture"/>
            <a:graphic>
              <a:graphicData uri="http://schemas.openxmlformats.org/drawingml/2006/picture">
                <pic:pic>
                  <pic:nvPicPr>
                    <pic:cNvPr descr="../simulations/fig/s4b.png" id="0" name="Picture"/>
                    <pic:cNvPicPr>
                      <a:picLocks noChangeArrowheads="1" noChangeAspect="1"/>
                    </pic:cNvPicPr>
                  </pic:nvPicPr>
                  <pic:blipFill>
                    <a:blip r:embed="rId45"/>
                    <a:stretch>
                      <a:fillRect/>
                    </a:stretch>
                  </pic:blipFill>
                  <pic:spPr bwMode="auto">
                    <a:xfrm>
                      <a:off x="0" y="0"/>
                      <a:ext cx="7327900" cy="3657600"/>
                    </a:xfrm>
                    <a:prstGeom prst="rect">
                      <a:avLst/>
                    </a:prstGeom>
                    <a:noFill/>
                    <a:ln w="9525">
                      <a:noFill/>
                      <a:headEnd/>
                      <a:tailEnd/>
                    </a:ln>
                  </pic:spPr>
                </pic:pic>
              </a:graphicData>
            </a:graphic>
          </wp:inline>
        </w:drawing>
      </w:r>
    </w:p>
    <w:p>
      <w:pPr>
        <w:pStyle w:val="ImageCaption"/>
      </w:pPr>
      <w:r>
        <w:t xml:space="preserve">Investigating the effect of skewed utility distributions II.</w:t>
      </w:r>
    </w:p>
    <w:p/>
    <w:bookmarkStart w:id="46" w:name="inducing-inefficiencies-with-ideal-point-utilities"/>
    <w:p>
      <w:pPr>
        <w:pStyle w:val="Heading2"/>
      </w:pPr>
      <w:r>
        <w:t xml:space="preserve">Inducing inefficiencies with ideal point utilities</w:t>
      </w:r>
    </w:p>
    <w:bookmarkEnd w:id="46"/>
    <w:p>
      <w:r>
        <w:t xml:space="preserve">Aggregate differences between ideal points:</w:t>
      </w:r>
    </w:p>
    <w:p>
      <w:r>
        <w:drawing>
          <wp:inline>
            <wp:extent cx="8255000" cy="2743200"/>
            <wp:effectExtent b="0" l="0" r="0" t="0"/>
            <wp:docPr descr="" id="1" name="Picture"/>
            <a:graphic>
              <a:graphicData uri="http://schemas.openxmlformats.org/drawingml/2006/picture">
                <pic:pic>
                  <pic:nvPicPr>
                    <pic:cNvPr descr="../simulations/fig/sX2.png" id="0" name="Picture"/>
                    <pic:cNvPicPr>
                      <a:picLocks noChangeArrowheads="1" noChangeAspect="1"/>
                    </pic:cNvPicPr>
                  </pic:nvPicPr>
                  <pic:blipFill>
                    <a:blip r:embed="rId47"/>
                    <a:stretch>
                      <a:fillRect/>
                    </a:stretch>
                  </pic:blipFill>
                  <pic:spPr bwMode="auto">
                    <a:xfrm>
                      <a:off x="0" y="0"/>
                      <a:ext cx="8255000" cy="2743200"/>
                    </a:xfrm>
                    <a:prstGeom prst="rect">
                      <a:avLst/>
                    </a:prstGeom>
                    <a:noFill/>
                    <a:ln w="9525">
                      <a:noFill/>
                      <a:headEnd/>
                      <a:tailEnd/>
                    </a:ln>
                  </pic:spPr>
                </pic:pic>
              </a:graphicData>
            </a:graphic>
          </wp:inline>
        </w:drawing>
      </w:r>
    </w:p>
    <w:p>
      <w:pPr>
        <w:pStyle w:val="ImageCaption"/>
      </w:pPr>
      <w:r>
        <w:t xml:space="preserve">Aggregate indifference between ideal points.</w:t>
      </w:r>
    </w:p>
    <w:p/>
    <w:p>
      <w:r>
        <w:t xml:space="preserve">Skewed ideal points:</w:t>
      </w:r>
    </w:p>
    <w:p>
      <w:r>
        <w:drawing>
          <wp:inline>
            <wp:extent cx="8255000" cy="2743200"/>
            <wp:effectExtent b="0" l="0" r="0" t="0"/>
            <wp:docPr descr="" id="1" name="Picture"/>
            <a:graphic>
              <a:graphicData uri="http://schemas.openxmlformats.org/drawingml/2006/picture">
                <pic:pic>
                  <pic:nvPicPr>
                    <pic:cNvPr descr="../simulations/fig/sX1.png" id="0" name="Picture"/>
                    <pic:cNvPicPr>
                      <a:picLocks noChangeArrowheads="1" noChangeAspect="1"/>
                    </pic:cNvPicPr>
                  </pic:nvPicPr>
                  <pic:blipFill>
                    <a:blip r:embed="rId48"/>
                    <a:stretch>
                      <a:fillRect/>
                    </a:stretch>
                  </pic:blipFill>
                  <pic:spPr bwMode="auto">
                    <a:xfrm>
                      <a:off x="0" y="0"/>
                      <a:ext cx="8255000" cy="2743200"/>
                    </a:xfrm>
                    <a:prstGeom prst="rect">
                      <a:avLst/>
                    </a:prstGeom>
                    <a:noFill/>
                    <a:ln w="9525">
                      <a:noFill/>
                      <a:headEnd/>
                      <a:tailEnd/>
                    </a:ln>
                  </pic:spPr>
                </pic:pic>
              </a:graphicData>
            </a:graphic>
          </wp:inline>
        </w:drawing>
      </w:r>
    </w:p>
    <w:p>
      <w:pPr>
        <w:pStyle w:val="ImageCaption"/>
      </w:pPr>
      <w:r>
        <w:t xml:space="preserve">Skewed ideal points.</w:t>
      </w:r>
    </w:p>
    <w:p/>
    <w:bookmarkStart w:id="49" w:name="further-simulational-scenarios"/>
    <w:p>
      <w:pPr>
        <w:pStyle w:val="Heading2"/>
      </w:pPr>
      <w:r>
        <w:t xml:space="preserve">Further simulational scenarios</w:t>
      </w:r>
    </w:p>
    <w:bookmarkEnd w:id="49"/>
    <w:bookmarkStart w:id="50" w:name="possible-experimental-designs-and-further-developments"/>
    <w:p>
      <w:pPr>
        <w:pStyle w:val="Heading1"/>
      </w:pPr>
      <w:r>
        <w:t xml:space="preserve">Possible Experimental Designs and Further Developments</w:t>
      </w:r>
    </w:p>
    <w:bookmarkEnd w:id="50"/>
    <w:p>
      <w:pPr>
        <w:pStyle w:val="Compact"/>
        <w:numPr>
          <w:numId w:val="5"/>
          <w:ilvl w:val="0"/>
        </w:numPr>
      </w:pPr>
      <w:r>
        <w:t xml:space="preserve">discuss</w:t>
      </w:r>
      <w:r>
        <w:t xml:space="preserve"> </w:t>
      </w:r>
      <w:r>
        <w:t xml:space="preserve">Oprea, Smith, and Winn (2007)</w:t>
      </w:r>
    </w:p>
    <w:p>
      <w:pPr>
        <w:pStyle w:val="Compact"/>
        <w:numPr>
          <w:numId w:val="5"/>
          <w:ilvl w:val="0"/>
        </w:numPr>
      </w:pPr>
      <w:r>
        <w:t xml:space="preserve">comparing auction mechanism to voting</w:t>
      </w:r>
    </w:p>
    <w:p>
      <w:pPr>
        <w:pStyle w:val="Compact"/>
        <w:numPr>
          <w:numId w:val="5"/>
          <w:ilvl w:val="0"/>
        </w:numPr>
      </w:pPr>
      <w:r>
        <w:t xml:space="preserve">uncertainty about issue positions</w:t>
      </w:r>
    </w:p>
    <w:p>
      <w:pPr>
        <w:pStyle w:val="Compact"/>
        <w:numPr>
          <w:numId w:val="5"/>
          <w:ilvl w:val="0"/>
        </w:numPr>
      </w:pPr>
      <w:r>
        <w:t xml:space="preserve">Performance of</w:t>
      </w:r>
      <w:r>
        <w:t xml:space="preserve"> </w:t>
      </w:r>
      <w:r>
        <w:rPr>
          <w:i/>
        </w:rPr>
        <w:t xml:space="preserve">compensation elections / bidding mechanisms</w:t>
      </w:r>
      <w:r>
        <w:t xml:space="preserve"> </w:t>
      </w:r>
      <w:r>
        <w:t xml:space="preserve">in the context of binary choices</w:t>
      </w:r>
      <w:r>
        <w:t xml:space="preserve"> </w:t>
      </w:r>
      <w:r>
        <w:t xml:space="preserve">Oprea, Smith, and Winn (2007)</w:t>
      </w:r>
    </w:p>
    <w:p>
      <w:pPr>
        <w:pStyle w:val="Compact"/>
        <w:numPr>
          <w:numId w:val="5"/>
          <w:ilvl w:val="0"/>
        </w:numPr>
      </w:pPr>
      <w:r>
        <w:t xml:space="preserve">Effect of (endogenous) electoral</w:t>
      </w:r>
      <w:r>
        <w:t xml:space="preserve"> </w:t>
      </w:r>
      <w:r>
        <w:rPr>
          <w:i/>
        </w:rPr>
        <w:t xml:space="preserve">abstention</w:t>
      </w:r>
      <w:r>
        <w:t xml:space="preserve"> </w:t>
      </w:r>
      <w:r>
        <w:t xml:space="preserve">on election efficiency</w:t>
      </w:r>
    </w:p>
    <w:p>
      <w:pPr>
        <w:pStyle w:val="Compact"/>
        <w:numPr>
          <w:numId w:val="5"/>
          <w:ilvl w:val="0"/>
        </w:numPr>
      </w:pPr>
      <w:r>
        <w:t xml:space="preserve">Multi-candidate elections</w:t>
      </w:r>
    </w:p>
    <w:bookmarkStart w:id="51" w:name="conclusion"/>
    <w:p>
      <w:pPr>
        <w:pStyle w:val="Heading1"/>
      </w:pPr>
      <w:r>
        <w:t xml:space="preserve">Conclusion</w:t>
      </w:r>
    </w:p>
    <w:bookmarkEnd w:id="51"/>
    <w:p>
      <w:pPr>
        <w:pStyle w:val="Compact"/>
        <w:numPr>
          <w:numId w:val="6"/>
          <w:ilvl w:val="0"/>
        </w:numPr>
      </w:pPr>
      <w:r>
        <w:rPr>
          <w:i/>
        </w:rPr>
        <w:t xml:space="preserve">relaxing assumptions</w:t>
      </w:r>
      <w:r>
        <w:t xml:space="preserve"> </w:t>
      </w:r>
      <w:r>
        <w:t xml:space="preserve">about ideal-point based preferences can reduce the likelihood that election results are efficient</w:t>
      </w:r>
    </w:p>
    <w:p>
      <w:pPr>
        <w:pStyle w:val="Compact"/>
        <w:numPr>
          <w:numId w:val="6"/>
          <w:ilvl w:val="0"/>
        </w:numPr>
      </w:pPr>
      <w:r>
        <w:rPr>
          <w:i/>
        </w:rPr>
        <w:t xml:space="preserve">mean difference</w:t>
      </w:r>
      <w:r>
        <w:t xml:space="preserve"> </w:t>
      </w:r>
      <w:r>
        <w:t xml:space="preserve">and</w:t>
      </w:r>
      <w:r>
        <w:t xml:space="preserve"> </w:t>
      </w:r>
      <w:r>
        <w:rPr>
          <w:i/>
        </w:rPr>
        <w:t xml:space="preserve">skewness</w:t>
      </w:r>
      <w:r>
        <w:t xml:space="preserve"> </w:t>
      </w:r>
      <w:r>
        <w:t xml:space="preserve">of the distributions of individual utilities for each candidate affects the likelihood of inefficiencies</w:t>
      </w:r>
    </w:p>
    <w:p>
      <w:pPr>
        <w:pStyle w:val="Compact"/>
        <w:numPr>
          <w:numId w:val="6"/>
          <w:ilvl w:val="0"/>
        </w:numPr>
      </w:pPr>
      <w:r>
        <w:t xml:space="preserve">under some scenarios, increasing the</w:t>
      </w:r>
      <w:r>
        <w:t xml:space="preserve"> </w:t>
      </w:r>
      <w:r>
        <w:rPr>
          <w:i/>
        </w:rPr>
        <w:t xml:space="preserve">size of the electorate</w:t>
      </w:r>
      <w:r>
        <w:t xml:space="preserve"> </w:t>
      </w:r>
      <w:r>
        <w:t xml:space="preserve">actually reduces the efficiency of majority voting!</w:t>
      </w:r>
    </w:p>
    <w:p>
      <w:pPr>
        <w:pStyle w:val="Compact"/>
        <w:numPr>
          <w:numId w:val="6"/>
          <w:ilvl w:val="0"/>
        </w:numPr>
      </w:pPr>
      <w:r>
        <w:rPr>
          <w:i/>
        </w:rPr>
        <w:t xml:space="preserve">Question</w:t>
      </w:r>
      <w:r>
        <w:t xml:space="preserve">: conceptualization of utility reasonable? These results would not hold if preferences were purely ordinal (and utilities not comparable across individuals)</w:t>
      </w:r>
    </w:p>
    <w:p/>
    <w:bookmarkStart w:id="52" w:name="references"/>
    <w:p>
      <w:pPr>
        <w:pStyle w:val="Heading1"/>
      </w:pPr>
      <w:r>
        <w:t xml:space="preserve">References</w:t>
      </w:r>
    </w:p>
    <w:bookmarkEnd w:id="52"/>
    <w:p>
      <w:r>
        <w:t xml:space="preserve">Berggren, Niclas, Henrik Jordahl, and Panu Poutvaara. 2010. “The looks of a winner: Beauty and electoral success.”</w:t>
      </w:r>
      <w:r>
        <w:t xml:space="preserve"> </w:t>
      </w:r>
      <w:r>
        <w:rPr>
          <w:i/>
        </w:rPr>
        <w:t xml:space="preserve">Journal of Public Economics</w:t>
      </w:r>
      <w:r>
        <w:t xml:space="preserve"> </w:t>
      </w:r>
      <w:r>
        <w:t xml:space="preserve">94(1): 8–15.</w:t>
      </w:r>
    </w:p>
    <w:p>
      <w:r>
        <w:t xml:space="preserve">Black, Duncan et al. 1958.</w:t>
      </w:r>
      <w:r>
        <w:t xml:space="preserve"> </w:t>
      </w:r>
      <w:r>
        <w:rPr>
          <w:i/>
        </w:rPr>
        <w:t xml:space="preserve">The theory of committees and elections</w:t>
      </w:r>
      <w:r>
        <w:t xml:space="preserve">. Springer.</w:t>
      </w:r>
    </w:p>
    <w:p>
      <w:r>
        <w:t xml:space="preserve">Campbell, Angus et al. 1960.</w:t>
      </w:r>
      <w:r>
        <w:t xml:space="preserve"> </w:t>
      </w:r>
      <w:r>
        <w:rPr>
          <w:i/>
        </w:rPr>
        <w:t xml:space="preserve">The american voter</w:t>
      </w:r>
      <w:r>
        <w:t xml:space="preserve">. New York, London: John Wiley &amp; Sons, Inc.</w:t>
      </w:r>
    </w:p>
    <w:p>
      <w:r>
        <w:t xml:space="preserve">Claassen, Ryan L. 2009. “Direction versus proximity amassing experimental evidence.”</w:t>
      </w:r>
      <w:r>
        <w:t xml:space="preserve"> </w:t>
      </w:r>
      <w:r>
        <w:rPr>
          <w:i/>
        </w:rPr>
        <w:t xml:space="preserve">American Politics Research</w:t>
      </w:r>
      <w:r>
        <w:t xml:space="preserve"> </w:t>
      </w:r>
      <w:r>
        <w:t xml:space="preserve">37(2): 227–253.</w:t>
      </w:r>
    </w:p>
    <w:p>
      <w:r>
        <w:t xml:space="preserve">Claassen, Ryan L. 2007. “Ideology and evaluation in an experimental setting comparing the proximity and the directional models.”</w:t>
      </w:r>
      <w:r>
        <w:t xml:space="preserve"> </w:t>
      </w:r>
      <w:r>
        <w:rPr>
          <w:i/>
        </w:rPr>
        <w:t xml:space="preserve">Political Research Quarterly</w:t>
      </w:r>
      <w:r>
        <w:t xml:space="preserve"> </w:t>
      </w:r>
      <w:r>
        <w:t xml:space="preserve">60(2): 263–273.</w:t>
      </w:r>
    </w:p>
    <w:p>
      <w:r>
        <w:t xml:space="preserve">Downs, Anthony. 1957.</w:t>
      </w:r>
      <w:r>
        <w:t xml:space="preserve"> </w:t>
      </w:r>
      <w:r>
        <w:rPr>
          <w:i/>
        </w:rPr>
        <w:t xml:space="preserve">An economic theory of democracy</w:t>
      </w:r>
      <w:r>
        <w:t xml:space="preserve">. New York.</w:t>
      </w:r>
    </w:p>
    <w:p>
      <w:r>
        <w:t xml:space="preserve">Enelow, James M, and Melvin J Hinich. 1984.</w:t>
      </w:r>
      <w:r>
        <w:t xml:space="preserve"> </w:t>
      </w:r>
      <w:r>
        <w:rPr>
          <w:i/>
        </w:rPr>
        <w:t xml:space="preserve">The spatial theory of voting: An introduction</w:t>
      </w:r>
      <w:r>
        <w:t xml:space="preserve">. CUP Archive.</w:t>
      </w:r>
    </w:p>
    <w:p>
      <w:r>
        <w:t xml:space="preserve">Hastie, Reid, and Tatsuya Kameda. 2005. “The robust beauty of majority rules in group decisions.”</w:t>
      </w:r>
      <w:r>
        <w:t xml:space="preserve"> </w:t>
      </w:r>
      <w:r>
        <w:rPr>
          <w:i/>
        </w:rPr>
        <w:t xml:space="preserve">Psychological review</w:t>
      </w:r>
      <w:r>
        <w:t xml:space="preserve"> </w:t>
      </w:r>
      <w:r>
        <w:t xml:space="preserve">112(2): 494.</w:t>
      </w:r>
    </w:p>
    <w:p>
      <w:r>
        <w:t xml:space="preserve">Hayes, Danny. 2005. “Candidate qualities through a partisan lens: A theory of trait ownership.”</w:t>
      </w:r>
      <w:r>
        <w:t xml:space="preserve"> </w:t>
      </w:r>
      <w:r>
        <w:rPr>
          <w:i/>
        </w:rPr>
        <w:t xml:space="preserve">American Journal of Political Science</w:t>
      </w:r>
      <w:r>
        <w:t xml:space="preserve"> </w:t>
      </w:r>
      <w:r>
        <w:t xml:space="preserve">49(4): 908–923.</w:t>
      </w:r>
    </w:p>
    <w:p>
      <w:r>
        <w:t xml:space="preserve">Hinich, Melvin J, and Walker Pollard. 1981. “A new approach to the spatial theory of electoral competition.”</w:t>
      </w:r>
      <w:r>
        <w:t xml:space="preserve"> </w:t>
      </w:r>
      <w:r>
        <w:rPr>
          <w:i/>
        </w:rPr>
        <w:t xml:space="preserve">American Journal of Political Science</w:t>
      </w:r>
      <w:r>
        <w:t xml:space="preserve"> </w:t>
      </w:r>
      <w:r>
        <w:t xml:space="preserve">25(2): 323–341.</w:t>
      </w:r>
    </w:p>
    <w:p>
      <w:r>
        <w:t xml:space="preserve">Hotelling, Harold. 1929. “Stability in competition.”</w:t>
      </w:r>
      <w:r>
        <w:t xml:space="preserve"> </w:t>
      </w:r>
      <w:r>
        <w:rPr>
          <w:i/>
        </w:rPr>
        <w:t xml:space="preserve">The Economic Journal</w:t>
      </w:r>
      <w:r>
        <w:t xml:space="preserve"> </w:t>
      </w:r>
      <w:r>
        <w:t xml:space="preserve">39(153): 41–57.</w:t>
      </w:r>
    </w:p>
    <w:p>
      <w:r>
        <w:t xml:space="preserve">Jessee, Stephen A. 2009. “Spatial voting in the 2004 presidential election.”</w:t>
      </w:r>
      <w:r>
        <w:t xml:space="preserve"> </w:t>
      </w:r>
      <w:r>
        <w:rPr>
          <w:i/>
        </w:rPr>
        <w:t xml:space="preserve">American Political Science Review</w:t>
      </w:r>
      <w:r>
        <w:t xml:space="preserve"> </w:t>
      </w:r>
      <w:r>
        <w:t xml:space="preserve">103(01): 59–81.</w:t>
      </w:r>
    </w:p>
    <w:p>
      <w:r>
        <w:t xml:space="preserve">Kedar, Orit. 2005. “When moderate voters prefer extreme parties: Policy balancing in parliamentary elections.”</w:t>
      </w:r>
      <w:r>
        <w:t xml:space="preserve"> </w:t>
      </w:r>
      <w:r>
        <w:rPr>
          <w:i/>
        </w:rPr>
        <w:t xml:space="preserve">American Political Science Review</w:t>
      </w:r>
      <w:r>
        <w:t xml:space="preserve"> </w:t>
      </w:r>
      <w:r>
        <w:t xml:space="preserve">99(02): 185–199.</w:t>
      </w:r>
    </w:p>
    <w:p>
      <w:r>
        <w:t xml:space="preserve">Lacy, Dean, and Philip Paolino. 2010. “Testing proximity versus directional voting using experiments.”</w:t>
      </w:r>
      <w:r>
        <w:t xml:space="preserve"> </w:t>
      </w:r>
      <w:r>
        <w:rPr>
          <w:i/>
        </w:rPr>
        <w:t xml:space="preserve">Electoral Studies</w:t>
      </w:r>
      <w:r>
        <w:t xml:space="preserve"> </w:t>
      </w:r>
      <w:r>
        <w:t xml:space="preserve">29(3): 460–471.</w:t>
      </w:r>
    </w:p>
    <w:p>
      <w:r>
        <w:t xml:space="preserve">Lewis, Jeffrey B., and Gary King. 1999. “No evidence on directional vs. proximity voting.”</w:t>
      </w:r>
      <w:r>
        <w:t xml:space="preserve"> </w:t>
      </w:r>
      <w:r>
        <w:rPr>
          <w:i/>
        </w:rPr>
        <w:t xml:space="preserve">Political Analysis</w:t>
      </w:r>
      <w:r>
        <w:t xml:space="preserve"> </w:t>
      </w:r>
      <w:r>
        <w:t xml:space="preserve">8(1): 21–33.</w:t>
      </w:r>
    </w:p>
    <w:p>
      <w:r>
        <w:t xml:space="preserve">Macdonald, Stuart Elaine, Ola Listhaug, and George Rabinowitz. 1991. “Issues and party support in multiparty systems.”</w:t>
      </w:r>
      <w:r>
        <w:t xml:space="preserve"> </w:t>
      </w:r>
      <w:r>
        <w:rPr>
          <w:i/>
        </w:rPr>
        <w:t xml:space="preserve">The American Political Science Review</w:t>
      </w:r>
      <w:r>
        <w:t xml:space="preserve"> </w:t>
      </w:r>
      <w:r>
        <w:t xml:space="preserve">85(4): 1107–1131.</w:t>
      </w:r>
    </w:p>
    <w:p>
      <w:r>
        <w:t xml:space="preserve">Macdonald, Stuart Elaine, George Rabinowitz, and Ola Listhaug. 1995. “Political sophistication and models of issue voting.”</w:t>
      </w:r>
      <w:r>
        <w:t xml:space="preserve"> </w:t>
      </w:r>
      <w:r>
        <w:rPr>
          <w:i/>
        </w:rPr>
        <w:t xml:space="preserve">British Journal of Political Science</w:t>
      </w:r>
      <w:r>
        <w:t xml:space="preserve"> </w:t>
      </w:r>
      <w:r>
        <w:t xml:space="preserve">25(4): 453–483.</w:t>
      </w:r>
    </w:p>
    <w:p>
      <w:r>
        <w:t xml:space="preserve">Mattes, Kyle et al. 2010. “Predicting election outcomes from positive and negative trait assessments of candidate images.”</w:t>
      </w:r>
      <w:r>
        <w:t xml:space="preserve"> </w:t>
      </w:r>
      <w:r>
        <w:rPr>
          <w:i/>
        </w:rPr>
        <w:t xml:space="preserve">Political Psychology</w:t>
      </w:r>
      <w:r>
        <w:t xml:space="preserve"> </w:t>
      </w:r>
      <w:r>
        <w:t xml:space="preserve">31(1): 41–58.</w:t>
      </w:r>
    </w:p>
    <w:p>
      <w:r>
        <w:t xml:space="preserve">Merrill, Samuel, and Bernard Grofman. 1999.</w:t>
      </w:r>
      <w:r>
        <w:t xml:space="preserve"> </w:t>
      </w:r>
      <w:r>
        <w:rPr>
          <w:i/>
        </w:rPr>
        <w:t xml:space="preserve">A unified theory of voting: Directional and proximity spatial models</w:t>
      </w:r>
      <w:r>
        <w:t xml:space="preserve">. Cambridge University Press.</w:t>
      </w:r>
    </w:p>
    <w:p>
      <w:r>
        <w:t xml:space="preserve">Oprea, Ryan D, Vernon L Smith, and Abel M Winn. 2007. “A compensation election for binary social choice.”</w:t>
      </w:r>
      <w:r>
        <w:t xml:space="preserve"> </w:t>
      </w:r>
      <w:r>
        <w:rPr>
          <w:i/>
        </w:rPr>
        <w:t xml:space="preserve">Proceedings of the National Academy of Sciences</w:t>
      </w:r>
      <w:r>
        <w:t xml:space="preserve"> </w:t>
      </w:r>
      <w:r>
        <w:t xml:space="preserve">104(3): 1093–1096.</w:t>
      </w:r>
    </w:p>
    <w:p>
      <w:r>
        <w:t xml:space="preserve">Rabinowitz, George, and Stuart Elaine Macdonald. 1989. “A directional theory of issue voting.”</w:t>
      </w:r>
      <w:r>
        <w:t xml:space="preserve"> </w:t>
      </w:r>
      <w:r>
        <w:rPr>
          <w:i/>
        </w:rPr>
        <w:t xml:space="preserve">The American Political Science Review</w:t>
      </w:r>
      <w:r>
        <w:t xml:space="preserve"> </w:t>
      </w:r>
      <w:r>
        <w:t xml:space="preserve">83(1): 93–121.</w:t>
      </w:r>
    </w:p>
    <w:p>
      <w:r>
        <w:t xml:space="preserve">Todorov, Alexander et al. 2005. “Inferences of competence from faces predict election outcomes.”</w:t>
      </w:r>
      <w:r>
        <w:t xml:space="preserve"> </w:t>
      </w:r>
      <w:r>
        <w:rPr>
          <w:i/>
        </w:rPr>
        <w:t xml:space="preserve">Science</w:t>
      </w:r>
      <w:r>
        <w:t xml:space="preserve"> </w:t>
      </w:r>
      <w:r>
        <w:t xml:space="preserve">308(5728): 1623–1626.</w:t>
      </w:r>
    </w:p>
    <w:p>
      <w:r>
        <w:t xml:space="preserve">Westholm, Anders. 1997. “Distance versus direction: The illusory defeat of the proximity theory of electoral choice.”</w:t>
      </w:r>
      <w:r>
        <w:t xml:space="preserve"> </w:t>
      </w:r>
      <w:r>
        <w:rPr>
          <w:i/>
        </w:rPr>
        <w:t xml:space="preserve">The American Political Science Review</w:t>
      </w:r>
      <w:r>
        <w:t xml:space="preserve"> </w:t>
      </w:r>
      <w:r>
        <w:t xml:space="preserve">91(4): 865–883.</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Draft</w:t>
      </w:r>
      <w:r>
        <w:t xml:space="preserve"> </w:t>
      </w:r>
      <w:r>
        <w:t xml:space="preserve">in</w:t>
      </w:r>
      <w:r>
        <w:t xml:space="preserve"> </w:t>
      </w:r>
      <w:r>
        <w:t xml:space="preserve">preparation</w:t>
      </w:r>
      <w:r>
        <w:t xml:space="preserve"> </w:t>
      </w:r>
      <w:r>
        <w:t xml:space="preserve">for</w:t>
      </w:r>
      <w:r>
        <w:t xml:space="preserve"> </w:t>
      </w:r>
      <w:r>
        <w:t xml:space="preserve">the</w:t>
      </w:r>
      <w:r>
        <w:t xml:space="preserve"> </w:t>
      </w:r>
      <w:r>
        <w:t xml:space="preserve">2015</w:t>
      </w:r>
      <w:r>
        <w:t xml:space="preserve"> </w:t>
      </w:r>
      <w:r>
        <w:t xml:space="preserve">Annual</w:t>
      </w:r>
      <w:r>
        <w:t xml:space="preserve"> </w:t>
      </w:r>
      <w:r>
        <w:t xml:space="preserve">Conference</w:t>
      </w:r>
      <w:r>
        <w:t xml:space="preserve"> </w:t>
      </w:r>
      <w:r>
        <w:t xml:space="preserve">of</w:t>
      </w:r>
      <w:r>
        <w:t xml:space="preserve"> </w:t>
      </w:r>
      <w:r>
        <w:t xml:space="preserve">the</w:t>
      </w:r>
      <w:r>
        <w:t xml:space="preserve"> </w:t>
      </w:r>
      <w:r>
        <w:t xml:space="preserve">Midwest</w:t>
      </w:r>
      <w:r>
        <w:t xml:space="preserve"> </w:t>
      </w:r>
      <w:r>
        <w:t xml:space="preserve">Political</w:t>
      </w:r>
      <w:r>
        <w:t xml:space="preserve"> </w:t>
      </w:r>
      <w:r>
        <w:t xml:space="preserve">Science</w:t>
      </w:r>
      <w:r>
        <w:t xml:space="preserve"> </w:t>
      </w:r>
      <w:r>
        <w:t xml:space="preserve">Association,</w:t>
      </w:r>
      <w:r>
        <w:t xml:space="preserve"> </w:t>
      </w:r>
      <w:r>
        <w:t xml:space="preserve">comments</w:t>
      </w:r>
      <w:r>
        <w:t xml:space="preserve"> </w:t>
      </w:r>
      <w:r>
        <w:t xml:space="preserve">welcome!</w:t>
      </w:r>
      <w:r>
        <w:t xml:space="preserve"> </w:t>
      </w:r>
      <w:r>
        <w:t xml:space="preserve">The</w:t>
      </w:r>
      <w:r>
        <w:t xml:space="preserve"> </w:t>
      </w:r>
      <w:r>
        <w:t xml:space="preserve">manuscript</w:t>
      </w:r>
      <w:r>
        <w:t xml:space="preserve"> </w:t>
      </w:r>
      <w:r>
        <w:t xml:space="preserve">and</w:t>
      </w:r>
      <w:r>
        <w:t xml:space="preserve"> </w:t>
      </w:r>
      <w:r>
        <w:t xml:space="preserve">simulation</w:t>
      </w:r>
      <w:r>
        <w:t xml:space="preserve"> </w:t>
      </w:r>
      <w:r>
        <w:t xml:space="preserve">code</w:t>
      </w:r>
      <w:r>
        <w:t xml:space="preserve"> </w:t>
      </w:r>
      <w:r>
        <w:t xml:space="preserve">are</w:t>
      </w:r>
      <w:r>
        <w:t xml:space="preserve"> </w:t>
      </w:r>
      <w:r>
        <w:t xml:space="preserve">available</w:t>
      </w:r>
      <w:r>
        <w:t xml:space="preserve"> </w:t>
      </w:r>
      <w:r>
        <w:t xml:space="preserve">on</w:t>
      </w:r>
      <w:r>
        <w:t xml:space="preserve"> </w:t>
      </w:r>
      <w:r>
        <w:t xml:space="preserve">GitHub:</w:t>
      </w:r>
      <w:r>
        <w:t xml:space="preserve"> </w:t>
      </w:r>
      <w:hyperlink r:id="rId22">
        <w:r>
          <w:rPr>
            <w:rStyle w:val="Link"/>
          </w:rPr>
          <w:t xml:space="preserve">https://github.com/pwkraft/ideal-points</w:t>
        </w:r>
      </w:hyperlink>
      <w:r>
        <w:t xml:space="preserve">.</w:t>
      </w:r>
    </w:p>
  </w:footnote>
  <w:footnote w:id="23">
    <w:p>
      <w:pPr>
        <w:pStyle w:val="FootnoteText"/>
      </w:pPr>
      <w:r>
        <w:rPr>
          <w:rStyle w:val="FootnoteRef"/>
        </w:rPr>
        <w:footnoteRef/>
      </w:r>
      <w:r>
        <w:t xml:space="preserve">Peter</w:t>
      </w:r>
      <w:r>
        <w:t xml:space="preserve"> </w:t>
      </w:r>
      <w:r>
        <w:t xml:space="preserve">DeScioli</w:t>
      </w:r>
      <w:r>
        <w:t xml:space="preserve"> </w:t>
      </w:r>
      <w:r>
        <w:t xml:space="preserve">is</w:t>
      </w:r>
      <w:r>
        <w:t xml:space="preserve"> </w:t>
      </w:r>
      <w:r>
        <w:t xml:space="preserve">an</w:t>
      </w:r>
      <w:r>
        <w:t xml:space="preserve"> </w:t>
      </w:r>
      <w:r>
        <w:t xml:space="preserve">Assistant</w:t>
      </w:r>
      <w:r>
        <w:t xml:space="preserve"> </w:t>
      </w:r>
      <w:r>
        <w:t xml:space="preserve">Professor</w:t>
      </w:r>
      <w:r>
        <w:t xml:space="preserve"> </w:t>
      </w:r>
      <w:r>
        <w:t xml:space="preserve">in</w:t>
      </w:r>
      <w:r>
        <w:t xml:space="preserve"> </w:t>
      </w:r>
      <w:r>
        <w:t xml:space="preserve">political</w:t>
      </w:r>
      <w:r>
        <w:t xml:space="preserve"> </w:t>
      </w:r>
      <w:r>
        <w:t xml:space="preserve">science</w:t>
      </w:r>
      <w:r>
        <w:t xml:space="preserve"> </w:t>
      </w:r>
      <w:r>
        <w:t xml:space="preserve">at</w:t>
      </w:r>
      <w:r>
        <w:t xml:space="preserve"> </w:t>
      </w:r>
      <w:r>
        <w:t xml:space="preserve">Stony</w:t>
      </w:r>
      <w:r>
        <w:t xml:space="preserve"> </w:t>
      </w:r>
      <w:r>
        <w:t xml:space="preserve">Brook</w:t>
      </w:r>
      <w:r>
        <w:t xml:space="preserve"> </w:t>
      </w:r>
      <w:r>
        <w:t xml:space="preserve">University</w:t>
      </w:r>
      <w:r>
        <w:t xml:space="preserve"> </w:t>
      </w:r>
      <w:r>
        <w:t xml:space="preserve">(</w:t>
      </w:r>
      <w:hyperlink r:id="rId24">
        <w:r>
          <w:rPr>
            <w:rStyle w:val="Link"/>
          </w:rPr>
          <w:t xml:space="preserve">pdescioli@gmail.com</w:t>
        </w:r>
      </w:hyperlink>
      <w:r>
        <w:t xml:space="preserve">).</w:t>
      </w:r>
    </w:p>
  </w:footnote>
  <w:footnote w:id="25">
    <w:p>
      <w:pPr>
        <w:pStyle w:val="FootnoteText"/>
      </w:pPr>
      <w:r>
        <w:rPr>
          <w:rStyle w:val="FootnoteRef"/>
        </w:rPr>
        <w:footnoteRef/>
      </w:r>
      <w:r>
        <w:t xml:space="preserve">Patrick</w:t>
      </w:r>
      <w:r>
        <w:t xml:space="preserve"> </w:t>
      </w:r>
      <w:r>
        <w:t xml:space="preserve">Kraft</w:t>
      </w:r>
      <w:r>
        <w:t xml:space="preserve"> </w:t>
      </w:r>
      <w:r>
        <w:t xml:space="preserve">is</w:t>
      </w:r>
      <w:r>
        <w:t xml:space="preserve"> </w:t>
      </w:r>
      <w:r>
        <w:t xml:space="preserve">a</w:t>
      </w:r>
      <w:r>
        <w:t xml:space="preserve"> </w:t>
      </w:r>
      <w:r>
        <w:t xml:space="preserve">Ph.D.</w:t>
      </w:r>
      <w:r>
        <w:t xml:space="preserve"> </w:t>
      </w:r>
      <w:r>
        <w:t xml:space="preserve">student</w:t>
      </w:r>
      <w:r>
        <w:t xml:space="preserve"> </w:t>
      </w:r>
      <w:r>
        <w:t xml:space="preserve">in</w:t>
      </w:r>
      <w:r>
        <w:t xml:space="preserve"> </w:t>
      </w:r>
      <w:r>
        <w:t xml:space="preserve">political</w:t>
      </w:r>
      <w:r>
        <w:t xml:space="preserve"> </w:t>
      </w:r>
      <w:r>
        <w:t xml:space="preserve">science</w:t>
      </w:r>
      <w:r>
        <w:t xml:space="preserve"> </w:t>
      </w:r>
      <w:r>
        <w:t xml:space="preserve">at</w:t>
      </w:r>
      <w:r>
        <w:t xml:space="preserve"> </w:t>
      </w:r>
      <w:r>
        <w:t xml:space="preserve">Stony</w:t>
      </w:r>
      <w:r>
        <w:t xml:space="preserve"> </w:t>
      </w:r>
      <w:r>
        <w:t xml:space="preserve">Brook</w:t>
      </w:r>
      <w:r>
        <w:t xml:space="preserve"> </w:t>
      </w:r>
      <w:r>
        <w:t xml:space="preserve">University</w:t>
      </w:r>
      <w:r>
        <w:t xml:space="preserve"> </w:t>
      </w:r>
      <w:r>
        <w:t xml:space="preserve">(</w:t>
      </w:r>
      <w:hyperlink r:id="rId26">
        <w:r>
          <w:rPr>
            <w:rStyle w:val="Link"/>
          </w:rPr>
          <w:t xml:space="preserve">patrick.kraft@stonybrook.edu</w:t>
        </w:r>
      </w:hyperlink>
      <w:r>
        <w:t xml:space="preserve">).</w:t>
      </w:r>
    </w:p>
  </w:footnote>
  <w:footnote w:id="30">
    <w:p>
      <w:pPr>
        <w:pStyle w:val="FootnoteText"/>
      </w:pPr>
      <w:r>
        <w:rPr>
          <w:rStyle w:val="FootnoteRef"/>
        </w:rPr>
        <w:footnoteRef/>
      </w:r>
      <w:r>
        <w:t xml:space="preserve">A major alternative conceptualizations proposes the use of absolute distances instead of squared distances. However, we will focus on the squared distance in the remainder of the paper since it represents the most common approach in proximity models.</w:t>
      </w:r>
    </w:p>
  </w:footnote>
</w:footnotes>
</file>

<file path=word/numbering.xml><?xml version="1.0" encoding="utf-8"?>
<w:numbering xmlns:w="http://schemas.openxmlformats.org/wordprocessingml/2006/main">
  <w:abstractNum w:abstractNumId="0">
    <w:nsid w:val="b7292d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3d787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3D6711"/>
    <w:rsid w:val="004E29B3"/>
    <w:rsid w:val="00590D07"/>
    <w:rsid w:val="00784D58"/>
    <w:rsid w:val="00856E53"/>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A6FA06-6BB2-42FD-B039-EF7C4F92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E53"/>
    <w:pPr>
      <w:spacing w:before="180" w:after="180" w:line="480" w:lineRule="auto"/>
    </w:pPr>
    <w:rPr>
      <w:rFonts w:ascii="Times New Roman" w:hAnsi="Times New Roman"/>
    </w:rPr>
  </w:style>
  <w:style w:type="paragraph" w:styleId="Heading1">
    <w:name w:val="heading 1"/>
    <w:basedOn w:val="Normal"/>
    <w:next w:val="Normal"/>
    <w:uiPriority w:val="9"/>
    <w:qFormat/>
    <w:rsid w:val="00856E53"/>
    <w:pPr>
      <w:keepNext/>
      <w:keepLines/>
      <w:spacing w:before="480" w:after="0"/>
      <w:outlineLvl w:val="0"/>
    </w:pPr>
    <w:rPr>
      <w:rFonts w:eastAsiaTheme="majorEastAsia" w:cstheme="majorBidi"/>
      <w:b/>
      <w:bCs/>
      <w:szCs w:val="36"/>
    </w:rPr>
  </w:style>
  <w:style w:type="paragraph" w:styleId="Heading2">
    <w:name w:val="heading 2"/>
    <w:basedOn w:val="Normal"/>
    <w:next w:val="Normal"/>
    <w:uiPriority w:val="9"/>
    <w:unhideWhenUsed/>
    <w:qFormat/>
    <w:rsid w:val="00856E53"/>
    <w:pPr>
      <w:keepNext/>
      <w:keepLines/>
      <w:spacing w:before="200" w:after="0"/>
      <w:outlineLvl w:val="1"/>
    </w:pPr>
    <w:rPr>
      <w:rFonts w:eastAsiaTheme="majorEastAsia" w:cstheme="majorBidi"/>
      <w:bCs/>
      <w:i/>
      <w:szCs w:val="32"/>
    </w:rPr>
  </w:style>
  <w:style w:type="paragraph" w:styleId="Heading3">
    <w:name w:val="heading 3"/>
    <w:basedOn w:val="Normal"/>
    <w:next w:val="Normal"/>
    <w:uiPriority w:val="9"/>
    <w:unhideWhenUsed/>
    <w:qFormat/>
    <w:rsid w:val="00856E53"/>
    <w:pPr>
      <w:keepNext/>
      <w:keepLines/>
      <w:spacing w:before="200" w:after="0"/>
      <w:outlineLvl w:val="2"/>
    </w:pPr>
    <w:rPr>
      <w:rFonts w:eastAsiaTheme="majorEastAsia" w:cstheme="majorBidi"/>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56E53"/>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856E53"/>
    <w:pPr>
      <w:keepNext/>
      <w:keepLines/>
      <w:jc w:val="center"/>
    </w:pPr>
    <w:rPr>
      <w:rFonts w:ascii="Times New Roman" w:hAnsi="Times New Roman"/>
    </w:rPr>
  </w:style>
  <w:style w:type="paragraph" w:styleId="Date">
    <w:name w:val="Date"/>
    <w:next w:val="Normal"/>
    <w:qFormat/>
    <w:rsid w:val="00856E53"/>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856E53"/>
    <w:pPr>
      <w:spacing w:before="100" w:after="100"/>
    </w:pPr>
    <w:rPr>
      <w:rFonts w:eastAsiaTheme="majorEastAsia" w:cstheme="majorBidi"/>
      <w:bCs/>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df"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hyperlink" Id="rId22" Target="https://github.com/pwkraft/ideal-points" TargetMode="External" /><Relationship Type="http://schemas.openxmlformats.org/officeDocument/2006/relationships/hyperlink" Id="rId26" Target="mailto:patrick.kraft@stonybrook.edu" TargetMode="External" /><Relationship Type="http://schemas.openxmlformats.org/officeDocument/2006/relationships/hyperlink" Id="rId24" Target="mailto:pdescioli@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wkraft/ideal-points" TargetMode="External" /><Relationship Type="http://schemas.openxmlformats.org/officeDocument/2006/relationships/hyperlink" Id="rId26" Target="mailto:patrick.kraft@stonybrook.edu" TargetMode="External" /><Relationship Type="http://schemas.openxmlformats.org/officeDocument/2006/relationships/hyperlink" Id="rId24" Target="mailto:pdesciol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Relaxing Assumptions about Voter Utilities:</dc:title>
  <dc:creator>Peter DeScioli; Patrick Kraft</dc:creator>
</cp:coreProperties>
</file>