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66" w:rsidRDefault="00B25A66" w:rsidP="002B7728">
      <w:pPr>
        <w:pStyle w:val="Akapitzlist"/>
        <w:numPr>
          <w:ilvl w:val="0"/>
          <w:numId w:val="3"/>
        </w:numPr>
        <w:rPr>
          <w:b/>
        </w:rPr>
      </w:pPr>
      <w:r w:rsidRPr="001F0395">
        <w:rPr>
          <w:b/>
        </w:rPr>
        <w:t>Wstęp</w:t>
      </w:r>
    </w:p>
    <w:p w:rsidR="00B52D95" w:rsidRDefault="00E80338" w:rsidP="00E80338">
      <w:pPr>
        <w:pStyle w:val="Akapitzlist"/>
        <w:jc w:val="both"/>
      </w:pPr>
      <w:r>
        <w:tab/>
      </w:r>
      <w:r w:rsidR="00B52D95">
        <w:t xml:space="preserve">Podczas </w:t>
      </w:r>
      <w:r>
        <w:t xml:space="preserve">doświadczenia badana jest rezystancja czterech próbek. Na podstawie zmian rezystancji w funkcji temperatury należy określić czy badana próbka to przewodnik, czy półprzewodnik. W przewodnikach koncentracja elektronów swobodnych jest bardzo duża i praktycznie nie zależy ona od temperatury. Każdy z elektronów, gdy nie jest przyłożone pole elektryczne, wykonuje chaotyczne drgania cieplne. Suma drgań gazu elektronowego wynosi zero. Tym samym nie ma wkładu do płynącego prądu. Gdy przyłożymy pole zewnętrzne, ruch elektronów staje się ukierunkowany. Definiujemy parametr </w:t>
      </w:r>
      <w:r>
        <w:rPr>
          <w:rFonts w:cstheme="minorHAnsi"/>
        </w:rPr>
        <w:t>µ</w:t>
      </w:r>
      <w:r w:rsidR="00813EEC">
        <w:rPr>
          <w:rFonts w:cstheme="minorHAnsi"/>
        </w:rPr>
        <w:t xml:space="preserve"> </w:t>
      </w:r>
      <w:r>
        <w:t>=</w:t>
      </w:r>
      <w:r w:rsidR="00813EEC">
        <w:t xml:space="preserve"> </w:t>
      </w:r>
      <w:proofErr w:type="spellStart"/>
      <w:r>
        <w:t>v</w:t>
      </w:r>
      <w:r>
        <w:rPr>
          <w:vertAlign w:val="subscript"/>
        </w:rPr>
        <w:t>śr</w:t>
      </w:r>
      <w:proofErr w:type="spellEnd"/>
      <w:r>
        <w:t>/E</w:t>
      </w:r>
      <w:r w:rsidR="00813EEC">
        <w:t xml:space="preserve"> zwany ruchliwością elektronów. Definiuje on stosunek prędkości średniej ruchu elektronów na jednostkę przyłożonego pola elektrycznego. Pozwala to badać rezystancję w przewodniku niezależnie od E, a jedynie od temperatury. Podczas ogrzewania metalu, sieć krystaliczna drga coraz mocniej, co utrudnia przepływ elektronów w ustalonym kierunku, co powoduje zmniejszenie prądu w układzie. Wzrost rezystancji jest liniowy i wprost proporcjonalny do wzrostu temperatury.</w:t>
      </w:r>
    </w:p>
    <w:p w:rsidR="00813EEC" w:rsidRDefault="00813EEC" w:rsidP="00E80338">
      <w:pPr>
        <w:pStyle w:val="Akapitzlist"/>
        <w:jc w:val="both"/>
      </w:pPr>
      <w:r>
        <w:tab/>
        <w:t>W półprzewodnikach pasmo przewodnictwa oddzielone jest od pasma walencyjnego pasmem wzbronionym, na którym nie mogą przebywać elektrony. W tym wypadku wzrost temperatury jest korzystny, ponieważ zwiększa energię pojedynczych elektronów, co ułatwia im przeskok do pasma przewodnictwa. Zwiększając temperaturę, wykładniczo zmniejsza się opór w półprzewodniku, ponieważ coraz więcej elektronów uzyskuje energię pozwalającą przedostać się im do pasma przewodnictwa, pomimo stałego pola elektrycznego. Dodatkowo</w:t>
      </w:r>
      <w:r w:rsidR="00355CD9">
        <w:t xml:space="preserve"> w miejscach, skąd elektrony przeszły do pasma przewodnictwa powstają „dziury” przemieszczające się w kierunku przeciwnym do ruchu elektronów w paśmie przewodnictwa. Prąd „dziurowy” ma jednak niewielki wkład do wartości całego prądu płynącego przez półprzewodnik.</w:t>
      </w:r>
    </w:p>
    <w:p w:rsidR="00813EEC" w:rsidRPr="00E80338" w:rsidRDefault="00813EEC" w:rsidP="00E80338">
      <w:pPr>
        <w:pStyle w:val="Akapitzlist"/>
        <w:jc w:val="both"/>
      </w:pPr>
    </w:p>
    <w:p w:rsidR="002B7728" w:rsidRDefault="002B7728" w:rsidP="00B25A66">
      <w:pPr>
        <w:pStyle w:val="Akapitzlist"/>
        <w:numPr>
          <w:ilvl w:val="0"/>
          <w:numId w:val="3"/>
        </w:numPr>
        <w:rPr>
          <w:b/>
        </w:rPr>
      </w:pPr>
      <w:r w:rsidRPr="001F0395">
        <w:rPr>
          <w:b/>
        </w:rPr>
        <w:t>Użyte wzory</w:t>
      </w:r>
    </w:p>
    <w:p w:rsidR="00813EEC" w:rsidRPr="001F0395" w:rsidRDefault="00813EEC" w:rsidP="00813EEC">
      <w:pPr>
        <w:pStyle w:val="Akapitzlist"/>
        <w:rPr>
          <w:b/>
        </w:rPr>
      </w:pPr>
    </w:p>
    <w:p w:rsidR="00AC25B0" w:rsidRDefault="00AC25B0" w:rsidP="00AC25B0">
      <w:pPr>
        <w:pStyle w:val="Akapitzlist"/>
        <w:numPr>
          <w:ilvl w:val="0"/>
          <w:numId w:val="4"/>
        </w:numPr>
      </w:pPr>
      <w:r>
        <w:t>Niepewność pomiaru temperatury</w:t>
      </w:r>
    </w:p>
    <w:p w:rsidR="002B7728" w:rsidRPr="00AC25B0" w:rsidRDefault="002B7728" w:rsidP="002B7728">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=0,75% rdg+1dgt</m:t>
          </m:r>
        </m:oMath>
      </m:oMathPara>
    </w:p>
    <w:p w:rsidR="00AC25B0" w:rsidRPr="00AC25B0" w:rsidRDefault="00AC25B0" w:rsidP="00AC25B0">
      <w:pPr>
        <w:pStyle w:val="Akapitzlist"/>
        <w:numPr>
          <w:ilvl w:val="0"/>
          <w:numId w:val="4"/>
        </w:numPr>
        <w:rPr>
          <w:rFonts w:eastAsiaTheme="minorEastAsia"/>
        </w:rPr>
      </w:pPr>
      <w:r>
        <w:rPr>
          <w:rFonts w:eastAsiaTheme="minorEastAsia"/>
        </w:rPr>
        <w:t>Niepewność pomiaru rezystancji miernikiem M3850</w:t>
      </w:r>
    </w:p>
    <w:p w:rsidR="002B7728" w:rsidRPr="00AC25B0" w:rsidRDefault="002B7728" w:rsidP="002B772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 rdg+0,1dgt</m:t>
          </m:r>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przewodniku</w:t>
      </w:r>
    </w:p>
    <w:p w:rsidR="002B7728" w:rsidRPr="00AC25B0" w:rsidRDefault="002560C6" w:rsidP="002B7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półprzewodniku</w:t>
      </w:r>
    </w:p>
    <w:p w:rsidR="00813EEC" w:rsidRDefault="002560C6" w:rsidP="002B7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s0</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2kT</m:t>
                  </m:r>
                </m:den>
              </m:f>
            </m:sup>
          </m:sSup>
        </m:oMath>
      </m:oMathPara>
    </w:p>
    <w:p w:rsidR="002B7728" w:rsidRPr="00AC25B0" w:rsidRDefault="00813EEC" w:rsidP="002B7728">
      <w:pPr>
        <w:rPr>
          <w:rFonts w:eastAsiaTheme="minorEastAsia"/>
        </w:rPr>
      </w:pPr>
      <w:r>
        <w:rPr>
          <w:rFonts w:eastAsiaTheme="minorEastAsia"/>
        </w:rPr>
        <w:br w:type="column"/>
      </w:r>
    </w:p>
    <w:p w:rsidR="00AC25B0" w:rsidRPr="00F54A02" w:rsidRDefault="002B7728" w:rsidP="00AC25B0">
      <w:pPr>
        <w:pStyle w:val="Akapitzlist"/>
        <w:numPr>
          <w:ilvl w:val="0"/>
          <w:numId w:val="3"/>
        </w:numPr>
        <w:rPr>
          <w:b/>
        </w:rPr>
      </w:pPr>
      <w:r w:rsidRPr="001F0395">
        <w:rPr>
          <w:b/>
        </w:rPr>
        <w:t>Wyniki pomiarów i przykładowe obliczenia</w:t>
      </w:r>
    </w:p>
    <w:p w:rsidR="00AC25B0" w:rsidRDefault="00AC25B0" w:rsidP="00AC25B0">
      <w:pPr>
        <w:pStyle w:val="Akapitzlist"/>
      </w:pPr>
    </w:p>
    <w:p w:rsidR="00F54A02" w:rsidRDefault="00F54A02" w:rsidP="002560C6">
      <w:pPr>
        <w:pStyle w:val="Legenda"/>
        <w:keepNext/>
        <w:jc w:val="center"/>
      </w:pPr>
      <w:r>
        <w:t xml:space="preserve">Tabela </w:t>
      </w:r>
      <w:r w:rsidR="002560C6">
        <w:fldChar w:fldCharType="begin"/>
      </w:r>
      <w:r w:rsidR="002560C6">
        <w:instrText xml:space="preserve"> SEQ Tabela \* ARABIC </w:instrText>
      </w:r>
      <w:r w:rsidR="002560C6">
        <w:fldChar w:fldCharType="separate"/>
      </w:r>
      <w:r w:rsidR="00DB3B29">
        <w:rPr>
          <w:noProof/>
        </w:rPr>
        <w:t>1</w:t>
      </w:r>
      <w:r w:rsidR="002560C6">
        <w:rPr>
          <w:noProof/>
        </w:rPr>
        <w:fldChar w:fldCharType="end"/>
      </w:r>
      <w:r>
        <w:t xml:space="preserve">: </w:t>
      </w:r>
      <w:r w:rsidRPr="005D60E0">
        <w:t>Wyniki pomiarów temperatury i rezystancji dla próbek 1, 2, 3 i 4 oraz ich niepewność pomiarowa.</w:t>
      </w:r>
    </w:p>
    <w:tbl>
      <w:tblPr>
        <w:tblStyle w:val="Siatkatabeli"/>
        <w:tblW w:w="10435" w:type="dxa"/>
        <w:jc w:val="center"/>
        <w:tblLook w:val="04A0" w:firstRow="1" w:lastRow="0" w:firstColumn="1" w:lastColumn="0" w:noHBand="0" w:noVBand="1"/>
      </w:tblPr>
      <w:tblGrid>
        <w:gridCol w:w="486"/>
        <w:gridCol w:w="785"/>
        <w:gridCol w:w="998"/>
        <w:gridCol w:w="829"/>
        <w:gridCol w:w="1156"/>
        <w:gridCol w:w="850"/>
        <w:gridCol w:w="1134"/>
        <w:gridCol w:w="851"/>
        <w:gridCol w:w="1134"/>
        <w:gridCol w:w="1078"/>
        <w:gridCol w:w="1134"/>
      </w:tblGrid>
      <w:tr w:rsidR="00AC25B0" w:rsidRPr="00974FB3" w:rsidTr="004748D7">
        <w:trPr>
          <w:trHeight w:val="300"/>
          <w:jc w:val="center"/>
        </w:trPr>
        <w:tc>
          <w:tcPr>
            <w:tcW w:w="48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Lp</w:t>
            </w:r>
            <w:r w:rsidR="00C87029" w:rsidRPr="004748D7">
              <w:rPr>
                <w:rFonts w:ascii="Calibri" w:eastAsia="Times New Roman" w:hAnsi="Calibri" w:cs="Calibri"/>
                <w:b/>
                <w:color w:val="000000"/>
                <w:lang w:eastAsia="pl-PL"/>
              </w:rPr>
              <w:t>.</w:t>
            </w:r>
          </w:p>
        </w:tc>
        <w:tc>
          <w:tcPr>
            <w:tcW w:w="785"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⁰</w:t>
            </w:r>
            <w:r w:rsidRPr="004748D7">
              <w:rPr>
                <w:rFonts w:ascii="Calibri" w:eastAsia="Times New Roman" w:hAnsi="Calibri" w:cs="Calibri"/>
                <w:b/>
                <w:color w:val="000000"/>
                <w:lang w:eastAsia="pl-PL"/>
              </w:rPr>
              <w:t>C]</w:t>
            </w:r>
          </w:p>
        </w:tc>
        <w:tc>
          <w:tcPr>
            <w:tcW w:w="99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[⁰C]</w:t>
            </w:r>
          </w:p>
        </w:tc>
        <w:tc>
          <w:tcPr>
            <w:tcW w:w="829"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R1</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Ω</w:t>
            </w:r>
            <w:r w:rsidRPr="004748D7">
              <w:rPr>
                <w:rFonts w:ascii="Calibri" w:eastAsia="Times New Roman" w:hAnsi="Calibri" w:cs="Calibri"/>
                <w:b/>
                <w:color w:val="000000"/>
                <w:lang w:eastAsia="pl-PL"/>
              </w:rPr>
              <w:t>]</w:t>
            </w:r>
          </w:p>
        </w:tc>
        <w:tc>
          <w:tcPr>
            <w:tcW w:w="115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u(R1)</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850"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R2</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u(R2)</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851"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R3</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u(R3)</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07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R4</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u(R4)</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136,6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32,7</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58,3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40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112,3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121</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28,5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51,8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25,3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46,1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93,6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41,5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21,1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38,1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30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115,6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117,3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68,3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119,4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120,6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50,5</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45,3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123,1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40,2</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124,9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18,8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127,1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31,7</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29,1</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130,1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27,4</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131</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132,5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r>
    </w:tbl>
    <w:p w:rsidR="004D66E6" w:rsidRDefault="004D66E6" w:rsidP="00AC25B0"/>
    <w:p w:rsidR="004D66E6" w:rsidRPr="00813EEC" w:rsidRDefault="004D66E6" w:rsidP="00813EEC">
      <w:pPr>
        <w:pStyle w:val="Akapitzlist"/>
        <w:numPr>
          <w:ilvl w:val="0"/>
          <w:numId w:val="7"/>
        </w:numPr>
        <w:rPr>
          <w:b/>
        </w:rPr>
      </w:pPr>
      <w:r w:rsidRPr="00813EEC">
        <w:rPr>
          <w:b/>
        </w:rPr>
        <w:t>Analiza przewodnika</w:t>
      </w:r>
    </w:p>
    <w:p w:rsidR="00813EEC" w:rsidRDefault="00813EEC" w:rsidP="00813EEC">
      <w:pPr>
        <w:pStyle w:val="Akapitzlist"/>
        <w:ind w:left="2160"/>
      </w:pPr>
    </w:p>
    <w:p w:rsidR="00F54A02" w:rsidRDefault="001E2D84" w:rsidP="00813EEC">
      <w:pPr>
        <w:pStyle w:val="Akapitzlist"/>
        <w:keepNext/>
        <w:ind w:left="-454"/>
        <w:jc w:val="center"/>
      </w:pPr>
      <w:r>
        <w:rPr>
          <w:noProof/>
        </w:rPr>
        <w:drawing>
          <wp:inline distT="0" distB="0" distL="0" distR="0" wp14:anchorId="2B407DF4" wp14:editId="642CC16C">
            <wp:extent cx="5822830" cy="3321170"/>
            <wp:effectExtent l="0" t="0" r="6985" b="12700"/>
            <wp:docPr id="1" name="Wykres 1">
              <a:extLst xmlns:a="http://schemas.openxmlformats.org/drawingml/2006/main">
                <a:ext uri="{FF2B5EF4-FFF2-40B4-BE49-F238E27FC236}">
                  <a16:creationId xmlns:a16="http://schemas.microsoft.com/office/drawing/2014/main" id="{B667C15D-4D45-4EEC-BEDE-36E3290CC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25B0" w:rsidRDefault="00F54A02" w:rsidP="00813EEC">
      <w:pPr>
        <w:pStyle w:val="Legenda"/>
        <w:jc w:val="center"/>
      </w:pPr>
      <w:r>
        <w:t xml:space="preserve">Wykres </w:t>
      </w:r>
      <w:r w:rsidR="002560C6">
        <w:fldChar w:fldCharType="begin"/>
      </w:r>
      <w:r w:rsidR="002560C6">
        <w:instrText xml:space="preserve"> SEQ Wykres \* ARABIC </w:instrText>
      </w:r>
      <w:r w:rsidR="002560C6">
        <w:fldChar w:fldCharType="separate"/>
      </w:r>
      <w:r w:rsidR="00DB3B29">
        <w:rPr>
          <w:noProof/>
        </w:rPr>
        <w:t>1</w:t>
      </w:r>
      <w:r w:rsidR="002560C6">
        <w:rPr>
          <w:noProof/>
        </w:rPr>
        <w:fldChar w:fldCharType="end"/>
      </w:r>
      <w:r w:rsidRPr="00733D58">
        <w:t>: Zależność oporu próbki od temperatury.</w:t>
      </w:r>
    </w:p>
    <w:p w:rsidR="00813EEC" w:rsidRPr="00813EEC" w:rsidRDefault="00813EEC" w:rsidP="00813EEC">
      <w:r>
        <w:lastRenderedPageBreak/>
        <w:tab/>
        <w:t>Ponadto opór w funkcji temperatury definiowany jest jako:</w:t>
      </w:r>
    </w:p>
    <w:p w:rsidR="001E2D84" w:rsidRPr="00AC25B0" w:rsidRDefault="002560C6" w:rsidP="001E2D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Default="001E2D84" w:rsidP="00AC25B0">
      <w:pPr>
        <w:pStyle w:val="Akapitzlist"/>
      </w:pPr>
      <w:r>
        <w:t xml:space="preserve">Z powyższego wzoru </w:t>
      </w:r>
      <w:r w:rsidR="003008F5">
        <w:t>wynika</w:t>
      </w:r>
    </w:p>
    <w:p w:rsidR="006A03D3" w:rsidRPr="003008F5" w:rsidRDefault="003008F5" w:rsidP="00AC25B0">
      <w:pPr>
        <w:pStyle w:val="Akapitzlist"/>
        <w:rPr>
          <w:rFonts w:eastAsiaTheme="minorEastAsia"/>
        </w:rPr>
      </w:pPr>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m:oMathPara>
    </w:p>
    <w:p w:rsidR="006A03D3" w:rsidRPr="003008F5" w:rsidRDefault="003008F5" w:rsidP="00AC25B0">
      <w:pPr>
        <w:pStyle w:val="Akapitzlist"/>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3008F5" w:rsidRPr="00813EEC" w:rsidRDefault="003008F5" w:rsidP="00AC25B0">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2560C6" w:rsidRDefault="002560C6" w:rsidP="002560C6">
      <w:pPr>
        <w:pStyle w:val="Legenda"/>
        <w:keepNext/>
        <w:jc w:val="center"/>
      </w:pPr>
      <w:r>
        <w:t xml:space="preserve">Tabela </w:t>
      </w:r>
      <w:r>
        <w:fldChar w:fldCharType="begin"/>
      </w:r>
      <w:r>
        <w:instrText xml:space="preserve"> SEQ Tabela \* ARABIC </w:instrText>
      </w:r>
      <w:r>
        <w:fldChar w:fldCharType="separate"/>
      </w:r>
      <w:r w:rsidR="00DB3B29">
        <w:rPr>
          <w:noProof/>
        </w:rPr>
        <w:t>2</w:t>
      </w:r>
      <w:r>
        <w:fldChar w:fldCharType="end"/>
      </w:r>
      <w:r>
        <w:t xml:space="preserve">: </w:t>
      </w:r>
      <w:r w:rsidRPr="00CF255C">
        <w:t>Wyniki regresji liniowej dla wykresu 1.</w:t>
      </w:r>
    </w:p>
    <w:tbl>
      <w:tblPr>
        <w:tblStyle w:val="Siatkatabeli"/>
        <w:tblW w:w="0" w:type="auto"/>
        <w:tblInd w:w="720" w:type="dxa"/>
        <w:tblLook w:val="04A0" w:firstRow="1" w:lastRow="0" w:firstColumn="1" w:lastColumn="0" w:noHBand="0" w:noVBand="1"/>
      </w:tblPr>
      <w:tblGrid>
        <w:gridCol w:w="2091"/>
        <w:gridCol w:w="2092"/>
        <w:gridCol w:w="2093"/>
        <w:gridCol w:w="2066"/>
      </w:tblGrid>
      <w:tr w:rsidR="003008F5" w:rsidTr="002560C6">
        <w:tc>
          <w:tcPr>
            <w:tcW w:w="2091" w:type="dxa"/>
          </w:tcPr>
          <w:p w:rsidR="003008F5" w:rsidRPr="004748D7" w:rsidRDefault="003008F5" w:rsidP="004748D7">
            <w:pPr>
              <w:pStyle w:val="Akapitzlist"/>
              <w:ind w:left="0"/>
              <w:jc w:val="center"/>
              <w:rPr>
                <w:b/>
              </w:rPr>
            </w:pPr>
            <w:r w:rsidRPr="004748D7">
              <w:rPr>
                <w:b/>
              </w:rPr>
              <w:t>a</w:t>
            </w:r>
            <w:r w:rsidR="004748D7">
              <w:rPr>
                <w:b/>
              </w:rPr>
              <w:t xml:space="preserve"> [1/</w:t>
            </w:r>
            <w:r w:rsidR="004748D7">
              <w:rPr>
                <w:rFonts w:cstheme="minorHAnsi"/>
                <w:b/>
              </w:rPr>
              <w:t>⁰</w:t>
            </w:r>
            <w:r w:rsidR="004748D7">
              <w:rPr>
                <w:b/>
              </w:rPr>
              <w:t>C]</w:t>
            </w:r>
          </w:p>
        </w:tc>
        <w:tc>
          <w:tcPr>
            <w:tcW w:w="2092" w:type="dxa"/>
          </w:tcPr>
          <w:p w:rsidR="003008F5" w:rsidRPr="004748D7" w:rsidRDefault="003008F5" w:rsidP="004748D7">
            <w:pPr>
              <w:pStyle w:val="Akapitzlist"/>
              <w:ind w:left="0"/>
              <w:jc w:val="center"/>
              <w:rPr>
                <w:b/>
              </w:rPr>
            </w:pPr>
            <w:r w:rsidRPr="004748D7">
              <w:rPr>
                <w:b/>
              </w:rPr>
              <w:t>u(a)</w:t>
            </w:r>
            <w:r w:rsidR="004748D7">
              <w:rPr>
                <w:b/>
              </w:rPr>
              <w:t xml:space="preserve"> </w:t>
            </w:r>
            <w:r w:rsidR="004748D7">
              <w:rPr>
                <w:b/>
              </w:rPr>
              <w:t>[1/</w:t>
            </w:r>
            <w:r w:rsidR="004748D7">
              <w:rPr>
                <w:rFonts w:cstheme="minorHAnsi"/>
                <w:b/>
              </w:rPr>
              <w:t>⁰</w:t>
            </w:r>
            <w:r w:rsidR="004748D7">
              <w:rPr>
                <w:b/>
              </w:rPr>
              <w:t>C]</w:t>
            </w:r>
          </w:p>
        </w:tc>
        <w:tc>
          <w:tcPr>
            <w:tcW w:w="2093" w:type="dxa"/>
          </w:tcPr>
          <w:p w:rsidR="003008F5" w:rsidRPr="004748D7" w:rsidRDefault="003008F5" w:rsidP="004748D7">
            <w:pPr>
              <w:pStyle w:val="Akapitzlist"/>
              <w:ind w:left="0"/>
              <w:jc w:val="center"/>
              <w:rPr>
                <w:b/>
              </w:rPr>
            </w:pPr>
            <w:r w:rsidRPr="004748D7">
              <w:rPr>
                <w:b/>
              </w:rPr>
              <w:t>b</w:t>
            </w:r>
            <w:r w:rsidR="004748D7">
              <w:rPr>
                <w:b/>
              </w:rPr>
              <w:t xml:space="preserve"> [</w:t>
            </w:r>
            <w:r w:rsidR="004748D7">
              <w:rPr>
                <w:rFonts w:cstheme="minorHAnsi"/>
                <w:b/>
              </w:rPr>
              <w:t>Ω</w:t>
            </w:r>
            <w:r w:rsidR="004748D7">
              <w:rPr>
                <w:b/>
              </w:rPr>
              <w:t>]</w:t>
            </w:r>
          </w:p>
        </w:tc>
        <w:tc>
          <w:tcPr>
            <w:tcW w:w="2066" w:type="dxa"/>
          </w:tcPr>
          <w:p w:rsidR="003008F5" w:rsidRPr="004748D7" w:rsidRDefault="003008F5" w:rsidP="004748D7">
            <w:pPr>
              <w:pStyle w:val="Akapitzlist"/>
              <w:ind w:left="0"/>
              <w:jc w:val="center"/>
              <w:rPr>
                <w:b/>
              </w:rPr>
            </w:pPr>
            <w:r w:rsidRPr="004748D7">
              <w:rPr>
                <w:b/>
              </w:rPr>
              <w:t>U(b)</w:t>
            </w:r>
            <w:r w:rsidR="004748D7">
              <w:rPr>
                <w:b/>
              </w:rPr>
              <w:t xml:space="preserve"> [</w:t>
            </w:r>
            <w:r w:rsidR="004748D7">
              <w:rPr>
                <w:rFonts w:cstheme="minorHAnsi"/>
                <w:b/>
              </w:rPr>
              <w:t>Ω</w:t>
            </w:r>
            <w:r w:rsidR="004748D7">
              <w:rPr>
                <w:b/>
              </w:rPr>
              <w:t>]</w:t>
            </w:r>
          </w:p>
        </w:tc>
      </w:tr>
      <w:tr w:rsidR="003008F5" w:rsidTr="002560C6">
        <w:tc>
          <w:tcPr>
            <w:tcW w:w="2091" w:type="dxa"/>
          </w:tcPr>
          <w:p w:rsidR="003008F5" w:rsidRDefault="003008F5" w:rsidP="004748D7">
            <w:pPr>
              <w:pStyle w:val="Akapitzlist"/>
              <w:ind w:left="0"/>
              <w:jc w:val="center"/>
            </w:pPr>
            <w:r>
              <w:t>0,262</w:t>
            </w:r>
            <w:r w:rsidR="004D66E6">
              <w:t>2</w:t>
            </w:r>
          </w:p>
        </w:tc>
        <w:tc>
          <w:tcPr>
            <w:tcW w:w="2092" w:type="dxa"/>
          </w:tcPr>
          <w:p w:rsidR="003008F5" w:rsidRDefault="003008F5" w:rsidP="004748D7">
            <w:pPr>
              <w:pStyle w:val="Akapitzlist"/>
              <w:ind w:left="0"/>
              <w:jc w:val="center"/>
            </w:pPr>
            <w:r>
              <w:t>0,0070</w:t>
            </w:r>
          </w:p>
        </w:tc>
        <w:tc>
          <w:tcPr>
            <w:tcW w:w="2093" w:type="dxa"/>
          </w:tcPr>
          <w:p w:rsidR="003008F5" w:rsidRDefault="003008F5" w:rsidP="004748D7">
            <w:pPr>
              <w:pStyle w:val="Akapitzlist"/>
              <w:ind w:left="0"/>
              <w:jc w:val="center"/>
            </w:pPr>
            <w:r>
              <w:t>105,14</w:t>
            </w:r>
          </w:p>
        </w:tc>
        <w:tc>
          <w:tcPr>
            <w:tcW w:w="2066" w:type="dxa"/>
          </w:tcPr>
          <w:p w:rsidR="003008F5" w:rsidRDefault="003008F5" w:rsidP="004748D7">
            <w:pPr>
              <w:pStyle w:val="Akapitzlist"/>
              <w:ind w:left="0"/>
              <w:jc w:val="center"/>
            </w:pPr>
            <w:r>
              <w:t>0,47</w:t>
            </w:r>
          </w:p>
        </w:tc>
      </w:tr>
    </w:tbl>
    <w:p w:rsidR="003008F5" w:rsidRDefault="003008F5" w:rsidP="00AC25B0">
      <w:pPr>
        <w:pStyle w:val="Akapitzlist"/>
      </w:pPr>
    </w:p>
    <w:p w:rsidR="003008F5" w:rsidRDefault="003008F5" w:rsidP="00AC25B0">
      <w:pPr>
        <w:pStyle w:val="Akapitzlist"/>
      </w:pPr>
    </w:p>
    <w:p w:rsidR="003008F5" w:rsidRPr="00813EEC" w:rsidRDefault="003008F5" w:rsidP="003008F5">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0,2622</m:t>
              </m:r>
            </m:num>
            <m:den>
              <m:r>
                <w:rPr>
                  <w:rFonts w:ascii="Cambria Math" w:hAnsi="Cambria Math"/>
                </w:rPr>
                <m:t>105,14</m:t>
              </m:r>
            </m:den>
          </m:f>
          <m:r>
            <w:rPr>
              <w:rFonts w:ascii="Cambria Math" w:hAnsi="Cambria Math"/>
            </w:rPr>
            <m:t>=0,002493[</m:t>
          </m:r>
          <m:f>
            <m:fPr>
              <m:ctrlPr>
                <w:rPr>
                  <w:rFonts w:ascii="Cambria Math" w:hAnsi="Cambria Math"/>
                  <w:i/>
                </w:rPr>
              </m:ctrlPr>
            </m:fPr>
            <m:num>
              <m:r>
                <m:rPr>
                  <m:sty m:val="p"/>
                </m:rPr>
                <w:rPr>
                  <w:rFonts w:ascii="Cambria Math" w:hAnsi="Cambria Math"/>
                </w:rPr>
                <m:t>1</m:t>
              </m:r>
            </m:num>
            <m:den>
              <m:r>
                <w:rPr>
                  <w:rFonts w:ascii="Cambria Math" w:hAnsi="Cambria Math"/>
                </w:rPr>
                <m:t>℃</m:t>
              </m:r>
            </m:den>
          </m:f>
          <m:r>
            <w:rPr>
              <w:rFonts w:ascii="Cambria Math" w:hAnsi="Cambria Math"/>
            </w:rPr>
            <m:t>]</m:t>
          </m:r>
        </m:oMath>
      </m:oMathPara>
    </w:p>
    <w:p w:rsidR="00813EEC" w:rsidRPr="003008F5" w:rsidRDefault="00813EEC" w:rsidP="003008F5">
      <w:pPr>
        <w:pStyle w:val="Akapitzlist"/>
        <w:rPr>
          <w:rFonts w:eastAsiaTheme="minorEastAsia"/>
        </w:rPr>
      </w:pPr>
    </w:p>
    <w:p w:rsidR="003008F5" w:rsidRPr="003008F5" w:rsidRDefault="002560C6" w:rsidP="003008F5">
      <w:pPr>
        <w:pStyle w:val="Akapitzlis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e>
          </m:rad>
          <m:r>
            <w:rPr>
              <w:rFonts w:ascii="Cambria Math" w:eastAsiaTheme="minorEastAsia" w:hAnsi="Cambria Math"/>
            </w:rPr>
            <m:t>=0,000067[</m:t>
          </m:r>
          <m:f>
            <m:fPr>
              <m:ctrlPr>
                <w:rPr>
                  <w:rFonts w:ascii="Cambria Math" w:eastAsiaTheme="minorEastAsia" w:hAnsi="Cambria Math"/>
                  <w:i/>
                </w:rPr>
              </m:ctrlPr>
            </m:fPr>
            <m:num>
              <m:r>
                <m:rPr>
                  <m:sty m:val="p"/>
                </m:rPr>
                <w:rPr>
                  <w:rFonts w:ascii="Cambria Math" w:eastAsiaTheme="minorEastAsia" w:hAnsi="Cambria Math"/>
                </w:rPr>
                <m:t>1</m:t>
              </m:r>
            </m:num>
            <m:den>
              <m:r>
                <w:rPr>
                  <w:rFonts w:ascii="Cambria Math" w:eastAsiaTheme="minorEastAsia" w:hAnsi="Cambria Math"/>
                </w:rPr>
                <m:t>℃</m:t>
              </m:r>
            </m:den>
          </m:f>
          <m:r>
            <w:rPr>
              <w:rFonts w:ascii="Cambria Math" w:eastAsiaTheme="minorEastAsia" w:hAnsi="Cambria Math"/>
            </w:rPr>
            <m:t>]</m:t>
          </m:r>
        </m:oMath>
      </m:oMathPara>
    </w:p>
    <w:p w:rsidR="003008F5" w:rsidRDefault="003008F5" w:rsidP="00AC25B0">
      <w:pPr>
        <w:pStyle w:val="Akapitzlist"/>
      </w:pPr>
    </w:p>
    <w:p w:rsidR="003008F5" w:rsidRDefault="003008F5" w:rsidP="00AC25B0">
      <w:pPr>
        <w:pStyle w:val="Akapitzlist"/>
      </w:pPr>
    </w:p>
    <w:p w:rsidR="003008F5" w:rsidRPr="00813EEC" w:rsidRDefault="006A03D3" w:rsidP="00813EEC">
      <w:pPr>
        <w:pStyle w:val="Akapitzlist"/>
        <w:numPr>
          <w:ilvl w:val="0"/>
          <w:numId w:val="7"/>
        </w:numPr>
        <w:rPr>
          <w:b/>
        </w:rPr>
      </w:pPr>
      <w:r w:rsidRPr="00813EEC">
        <w:rPr>
          <w:b/>
        </w:rPr>
        <w:t>Analiza półprzewodnika</w:t>
      </w:r>
    </w:p>
    <w:p w:rsidR="00AC25B0" w:rsidRDefault="00AC25B0" w:rsidP="00AC25B0">
      <w:pPr>
        <w:pStyle w:val="Akapitzlist"/>
      </w:pPr>
    </w:p>
    <w:p w:rsidR="006A03D3" w:rsidRDefault="006A03D3" w:rsidP="00AC25B0">
      <w:pPr>
        <w:pStyle w:val="Akapitzlist"/>
      </w:pPr>
      <w:r>
        <w:t>Po zlogarytmowaniu wzoru na opór półprzewodnika otrzymujemy</w:t>
      </w:r>
    </w:p>
    <w:p w:rsidR="001674E7" w:rsidRPr="00813EEC" w:rsidRDefault="006A03D3" w:rsidP="00AC25B0">
      <w:pPr>
        <w:pStyle w:val="Akapitzlist"/>
        <w:rPr>
          <w:rFonts w:eastAsiaTheme="minorEastAsia"/>
        </w:rPr>
      </w:pPr>
      <m:oMathPara>
        <m:oMath>
          <m:r>
            <w:rPr>
              <w:rFonts w:ascii="Cambria Math" w:hAnsi="Cambria Math"/>
            </w:rPr>
            <m:t>ln</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oMath>
      </m:oMathPara>
    </w:p>
    <w:p w:rsidR="002560C6" w:rsidRDefault="002560C6" w:rsidP="002560C6">
      <w:pPr>
        <w:pStyle w:val="Legenda"/>
        <w:keepNext/>
        <w:jc w:val="center"/>
      </w:pPr>
      <w:r>
        <w:t xml:space="preserve">Tabela </w:t>
      </w:r>
      <w:r>
        <w:fldChar w:fldCharType="begin"/>
      </w:r>
      <w:r>
        <w:instrText xml:space="preserve"> SEQ Tabela \* ARABIC </w:instrText>
      </w:r>
      <w:r>
        <w:fldChar w:fldCharType="separate"/>
      </w:r>
      <w:r w:rsidR="00DB3B29">
        <w:rPr>
          <w:noProof/>
        </w:rPr>
        <w:t>3</w:t>
      </w:r>
      <w:r>
        <w:fldChar w:fldCharType="end"/>
      </w:r>
      <w:r>
        <w:t>: W</w:t>
      </w:r>
      <w:r w:rsidRPr="00A82E82">
        <w:t>yniki obliczeń temperatury logarytmu naturalnego z rezystancji i 1000 dzielonego przez temperaturę w Kelwinach oraz ich niepewności pomiarowe dla próbki nr 1.</w:t>
      </w:r>
    </w:p>
    <w:tbl>
      <w:tblPr>
        <w:tblStyle w:val="Siatkatabeli"/>
        <w:tblW w:w="7083" w:type="dxa"/>
        <w:jc w:val="center"/>
        <w:tblLook w:val="04A0" w:firstRow="1" w:lastRow="0" w:firstColumn="1" w:lastColumn="0" w:noHBand="0" w:noVBand="1"/>
      </w:tblPr>
      <w:tblGrid>
        <w:gridCol w:w="704"/>
        <w:gridCol w:w="142"/>
        <w:gridCol w:w="850"/>
        <w:gridCol w:w="81"/>
        <w:gridCol w:w="960"/>
        <w:gridCol w:w="1227"/>
        <w:gridCol w:w="1418"/>
        <w:gridCol w:w="1701"/>
      </w:tblGrid>
      <w:tr w:rsidR="001674E7" w:rsidRPr="001674E7" w:rsidTr="004748D7">
        <w:trPr>
          <w:trHeight w:val="300"/>
          <w:jc w:val="center"/>
        </w:trPr>
        <w:tc>
          <w:tcPr>
            <w:tcW w:w="704"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K</w:t>
            </w:r>
            <w:r w:rsidRPr="004748D7">
              <w:rPr>
                <w:rFonts w:ascii="Calibri" w:eastAsia="Times New Roman" w:hAnsi="Calibri" w:cs="Calibri"/>
                <w:b/>
                <w:color w:val="000000"/>
                <w:lang w:eastAsia="pl-PL"/>
              </w:rPr>
              <w:t>]</w:t>
            </w:r>
          </w:p>
        </w:tc>
        <w:tc>
          <w:tcPr>
            <w:tcW w:w="992" w:type="dxa"/>
            <w:gridSpan w:val="2"/>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[K]</w:t>
            </w:r>
          </w:p>
        </w:tc>
        <w:tc>
          <w:tcPr>
            <w:tcW w:w="1041" w:type="dxa"/>
            <w:gridSpan w:val="2"/>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lnR1</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227"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u(ln</w:t>
            </w:r>
            <w:r w:rsidR="002560C6" w:rsidRPr="004748D7">
              <w:rPr>
                <w:rFonts w:ascii="Calibri" w:eastAsia="Times New Roman" w:hAnsi="Calibri" w:cs="Calibri"/>
                <w:b/>
                <w:color w:val="000000"/>
                <w:lang w:eastAsia="pl-PL"/>
              </w:rPr>
              <w:t>R1</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 xml:space="preserve"> </w:t>
            </w:r>
            <w:r w:rsidR="00C87029" w:rsidRPr="004748D7">
              <w:rPr>
                <w:rFonts w:ascii="Calibri" w:eastAsia="Times New Roman" w:hAnsi="Calibri" w:cs="Calibri"/>
                <w:b/>
                <w:color w:val="000000"/>
                <w:lang w:eastAsia="pl-PL"/>
              </w:rPr>
              <w:t>[Ω]</w:t>
            </w:r>
          </w:p>
        </w:tc>
        <w:tc>
          <w:tcPr>
            <w:tcW w:w="1418"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1000/T</w:t>
            </w:r>
            <w:r w:rsidR="004748D7" w:rsidRPr="004748D7">
              <w:rPr>
                <w:rFonts w:ascii="Calibri" w:eastAsia="Times New Roman" w:hAnsi="Calibri" w:cs="Calibri"/>
                <w:b/>
                <w:color w:val="000000"/>
                <w:lang w:eastAsia="pl-PL"/>
              </w:rPr>
              <w:t xml:space="preserve"> [1/K]</w:t>
            </w:r>
          </w:p>
        </w:tc>
        <w:tc>
          <w:tcPr>
            <w:tcW w:w="1701"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u(1000/T)</w:t>
            </w:r>
            <w:r w:rsidR="004748D7" w:rsidRPr="004748D7">
              <w:rPr>
                <w:rFonts w:ascii="Calibri" w:eastAsia="Times New Roman" w:hAnsi="Calibri" w:cs="Calibri"/>
                <w:b/>
                <w:color w:val="000000"/>
                <w:lang w:eastAsia="pl-PL"/>
              </w:rPr>
              <w:t xml:space="preserve"> [1/K]</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4,9171</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0,0057</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3,390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4,7958</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3,333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4,6597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3,279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4,5390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3,226</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4,4427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3,175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4,3175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0,0063</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3,125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4,2239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3,077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4,1320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3,030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4,0182</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2,985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3,9220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0,0070</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2,941</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3,8133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2,899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3,6939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2,857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3,5264</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2,817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3,4563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2,778</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3,3707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0,0084</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2,740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3,3105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2,703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0,0091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2,667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bl>
    <w:p w:rsidR="002560C6" w:rsidRDefault="006A03D3" w:rsidP="002560C6">
      <w:pPr>
        <w:pStyle w:val="Akapitzlist"/>
        <w:keepNext/>
        <w:ind w:left="-57"/>
      </w:pPr>
      <w:r>
        <w:rPr>
          <w:noProof/>
        </w:rPr>
        <w:lastRenderedPageBreak/>
        <w:drawing>
          <wp:inline distT="0" distB="0" distL="0" distR="0" wp14:anchorId="064F6258" wp14:editId="2E7C7C9F">
            <wp:extent cx="6057900" cy="3381375"/>
            <wp:effectExtent l="0" t="0" r="0" b="9525"/>
            <wp:docPr id="2" name="Wykres 2">
              <a:extLst xmlns:a="http://schemas.openxmlformats.org/drawingml/2006/main">
                <a:ext uri="{FF2B5EF4-FFF2-40B4-BE49-F238E27FC236}">
                  <a16:creationId xmlns:a16="http://schemas.microsoft.com/office/drawing/2014/main" id="{425AA990-1F19-4B76-A3E2-D6CFD7083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03D3" w:rsidRDefault="002560C6" w:rsidP="00E80338">
      <w:pPr>
        <w:pStyle w:val="Legenda"/>
        <w:jc w:val="center"/>
      </w:pPr>
      <w:r>
        <w:t xml:space="preserve">Wykres </w:t>
      </w:r>
      <w:r>
        <w:fldChar w:fldCharType="begin"/>
      </w:r>
      <w:r>
        <w:instrText xml:space="preserve"> SEQ Wykres \* ARABIC </w:instrText>
      </w:r>
      <w:r>
        <w:fldChar w:fldCharType="separate"/>
      </w:r>
      <w:r w:rsidR="00DB3B29">
        <w:rPr>
          <w:noProof/>
        </w:rPr>
        <w:t>2</w:t>
      </w:r>
      <w:r>
        <w:fldChar w:fldCharType="end"/>
      </w:r>
      <w:r>
        <w:t xml:space="preserve">: </w:t>
      </w:r>
      <w:r w:rsidRPr="00E51AFD">
        <w:t>Wykres zależności lnR1 od 1000/T</w:t>
      </w:r>
    </w:p>
    <w:p w:rsidR="006A03D3" w:rsidRDefault="006A03D3" w:rsidP="00AC25B0">
      <w:pPr>
        <w:pStyle w:val="Akapitzlist"/>
      </w:pPr>
    </w:p>
    <w:p w:rsidR="002560C6" w:rsidRDefault="002560C6" w:rsidP="002560C6">
      <w:pPr>
        <w:pStyle w:val="Legenda"/>
        <w:keepNext/>
        <w:jc w:val="center"/>
      </w:pPr>
      <w:r>
        <w:t xml:space="preserve">Tabela </w:t>
      </w:r>
      <w:r>
        <w:fldChar w:fldCharType="begin"/>
      </w:r>
      <w:r>
        <w:instrText xml:space="preserve"> SEQ Tabela \* ARABIC </w:instrText>
      </w:r>
      <w:r>
        <w:fldChar w:fldCharType="separate"/>
      </w:r>
      <w:r w:rsidR="00DB3B29">
        <w:rPr>
          <w:noProof/>
        </w:rPr>
        <w:t>4</w:t>
      </w:r>
      <w:r>
        <w:fldChar w:fldCharType="end"/>
      </w:r>
      <w:r>
        <w:t>: W</w:t>
      </w:r>
      <w:r w:rsidRPr="00632A99">
        <w:t>yniki regresji liniowej dla powyższej zależności</w:t>
      </w:r>
    </w:p>
    <w:tbl>
      <w:tblPr>
        <w:tblStyle w:val="Siatkatabeli"/>
        <w:tblW w:w="0" w:type="auto"/>
        <w:tblInd w:w="720" w:type="dxa"/>
        <w:tblLook w:val="04A0" w:firstRow="1" w:lastRow="0" w:firstColumn="1" w:lastColumn="0" w:noHBand="0" w:noVBand="1"/>
      </w:tblPr>
      <w:tblGrid>
        <w:gridCol w:w="2091"/>
        <w:gridCol w:w="2091"/>
        <w:gridCol w:w="2080"/>
        <w:gridCol w:w="2080"/>
      </w:tblGrid>
      <w:tr w:rsidR="004748D7" w:rsidTr="002560C6">
        <w:tc>
          <w:tcPr>
            <w:tcW w:w="2091" w:type="dxa"/>
          </w:tcPr>
          <w:p w:rsidR="004748D7" w:rsidRPr="004748D7" w:rsidRDefault="004748D7" w:rsidP="004748D7">
            <w:pPr>
              <w:pStyle w:val="Akapitzlist"/>
              <w:ind w:left="0"/>
              <w:jc w:val="center"/>
              <w:rPr>
                <w:b/>
              </w:rPr>
            </w:pPr>
            <w:r w:rsidRPr="004748D7">
              <w:rPr>
                <w:b/>
              </w:rPr>
              <w:t>a</w:t>
            </w:r>
            <w:r>
              <w:rPr>
                <w:b/>
              </w:rPr>
              <w:t xml:space="preserve"> [1/</w:t>
            </w:r>
            <w:r>
              <w:rPr>
                <w:rFonts w:cstheme="minorHAnsi"/>
                <w:b/>
              </w:rPr>
              <w:t>⁰</w:t>
            </w:r>
            <w:r>
              <w:rPr>
                <w:b/>
              </w:rPr>
              <w:t>C]</w:t>
            </w:r>
          </w:p>
        </w:tc>
        <w:tc>
          <w:tcPr>
            <w:tcW w:w="2091" w:type="dxa"/>
          </w:tcPr>
          <w:p w:rsidR="004748D7" w:rsidRPr="004748D7" w:rsidRDefault="004748D7" w:rsidP="004748D7">
            <w:pPr>
              <w:pStyle w:val="Akapitzlist"/>
              <w:ind w:left="0"/>
              <w:jc w:val="center"/>
              <w:rPr>
                <w:b/>
              </w:rPr>
            </w:pPr>
            <w:r w:rsidRPr="004748D7">
              <w:rPr>
                <w:b/>
              </w:rPr>
              <w:t>u(a)</w:t>
            </w:r>
            <w:r>
              <w:rPr>
                <w:b/>
              </w:rPr>
              <w:t xml:space="preserve"> [1/</w:t>
            </w:r>
            <w:r>
              <w:rPr>
                <w:rFonts w:cstheme="minorHAnsi"/>
                <w:b/>
              </w:rPr>
              <w:t>⁰</w:t>
            </w:r>
            <w:r>
              <w:rPr>
                <w:b/>
              </w:rPr>
              <w:t>C]</w:t>
            </w:r>
          </w:p>
        </w:tc>
        <w:tc>
          <w:tcPr>
            <w:tcW w:w="2080" w:type="dxa"/>
          </w:tcPr>
          <w:p w:rsidR="004748D7" w:rsidRPr="004748D7" w:rsidRDefault="004748D7" w:rsidP="004748D7">
            <w:pPr>
              <w:pStyle w:val="Akapitzlist"/>
              <w:ind w:left="0"/>
              <w:jc w:val="center"/>
              <w:rPr>
                <w:b/>
              </w:rPr>
            </w:pPr>
            <w:r w:rsidRPr="004748D7">
              <w:rPr>
                <w:b/>
              </w:rPr>
              <w:t>b</w:t>
            </w:r>
            <w:r>
              <w:rPr>
                <w:b/>
              </w:rPr>
              <w:t xml:space="preserve"> [</w:t>
            </w:r>
            <w:r>
              <w:rPr>
                <w:rFonts w:cstheme="minorHAnsi"/>
                <w:b/>
              </w:rPr>
              <w:t>Ω</w:t>
            </w:r>
            <w:r>
              <w:rPr>
                <w:b/>
              </w:rPr>
              <w:t>]</w:t>
            </w:r>
          </w:p>
        </w:tc>
        <w:tc>
          <w:tcPr>
            <w:tcW w:w="2080" w:type="dxa"/>
          </w:tcPr>
          <w:p w:rsidR="004748D7" w:rsidRPr="004748D7" w:rsidRDefault="004748D7" w:rsidP="004748D7">
            <w:pPr>
              <w:pStyle w:val="Akapitzlist"/>
              <w:ind w:left="0"/>
              <w:jc w:val="center"/>
              <w:rPr>
                <w:b/>
              </w:rPr>
            </w:pPr>
            <w:r w:rsidRPr="004748D7">
              <w:rPr>
                <w:b/>
              </w:rPr>
              <w:t>U(b)</w:t>
            </w:r>
            <w:r>
              <w:rPr>
                <w:b/>
              </w:rPr>
              <w:t xml:space="preserve"> [</w:t>
            </w:r>
            <w:r>
              <w:rPr>
                <w:rFonts w:cstheme="minorHAnsi"/>
                <w:b/>
              </w:rPr>
              <w:t>Ω</w:t>
            </w:r>
            <w:r>
              <w:rPr>
                <w:b/>
              </w:rPr>
              <w:t>]</w:t>
            </w:r>
          </w:p>
        </w:tc>
      </w:tr>
      <w:tr w:rsidR="001A30BF" w:rsidTr="002560C6">
        <w:tc>
          <w:tcPr>
            <w:tcW w:w="2091" w:type="dxa"/>
          </w:tcPr>
          <w:p w:rsidR="001A30BF" w:rsidRDefault="001A30BF" w:rsidP="00C87029">
            <w:pPr>
              <w:pStyle w:val="Akapitzlist"/>
              <w:ind w:left="0"/>
              <w:jc w:val="center"/>
            </w:pPr>
            <w:r>
              <w:t>2,382</w:t>
            </w:r>
          </w:p>
        </w:tc>
        <w:tc>
          <w:tcPr>
            <w:tcW w:w="2091" w:type="dxa"/>
          </w:tcPr>
          <w:p w:rsidR="001A30BF" w:rsidRDefault="001A30BF" w:rsidP="00C87029">
            <w:pPr>
              <w:pStyle w:val="Akapitzlist"/>
              <w:ind w:left="0"/>
              <w:jc w:val="center"/>
            </w:pPr>
            <w:r>
              <w:t>0,035</w:t>
            </w:r>
          </w:p>
        </w:tc>
        <w:tc>
          <w:tcPr>
            <w:tcW w:w="2080" w:type="dxa"/>
          </w:tcPr>
          <w:p w:rsidR="001A30BF" w:rsidRDefault="001A30BF" w:rsidP="00C87029">
            <w:pPr>
              <w:pStyle w:val="Akapitzlist"/>
              <w:ind w:left="0"/>
              <w:jc w:val="center"/>
            </w:pPr>
            <w:r>
              <w:t>-3,1</w:t>
            </w:r>
            <w:r w:rsidR="001708F9">
              <w:t>3</w:t>
            </w:r>
          </w:p>
        </w:tc>
        <w:tc>
          <w:tcPr>
            <w:tcW w:w="2080" w:type="dxa"/>
          </w:tcPr>
          <w:p w:rsidR="001A30BF" w:rsidRDefault="001A30BF" w:rsidP="00C87029">
            <w:pPr>
              <w:pStyle w:val="Akapitzlist"/>
              <w:ind w:left="0"/>
              <w:jc w:val="center"/>
            </w:pPr>
            <w:r>
              <w:t>0,11</w:t>
            </w:r>
          </w:p>
        </w:tc>
      </w:tr>
    </w:tbl>
    <w:p w:rsidR="001A30BF" w:rsidRDefault="001A30BF" w:rsidP="00AC25B0">
      <w:pPr>
        <w:pStyle w:val="Akapitzlist"/>
      </w:pPr>
    </w:p>
    <w:p w:rsidR="002560C6" w:rsidRPr="00E80338" w:rsidRDefault="001A30BF" w:rsidP="00AC25B0">
      <w:pPr>
        <w:pStyle w:val="Akapitzlist"/>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oMath>
      </m:oMathPara>
    </w:p>
    <w:p w:rsidR="00E80338" w:rsidRPr="00507816" w:rsidRDefault="00E80338" w:rsidP="00AC25B0">
      <w:pPr>
        <w:pStyle w:val="Akapitzlist"/>
        <w:rPr>
          <w:rFonts w:eastAsiaTheme="minorEastAsia"/>
        </w:rPr>
      </w:pPr>
    </w:p>
    <w:p w:rsidR="00507816" w:rsidRDefault="00507816" w:rsidP="00AC25B0">
      <w:pPr>
        <w:pStyle w:val="Akapitzlist"/>
        <w:rPr>
          <w:rFonts w:eastAsiaTheme="minorEastAsia"/>
        </w:rPr>
      </w:pPr>
      <w:r>
        <w:rPr>
          <w:rFonts w:eastAsiaTheme="minorEastAsia"/>
        </w:rPr>
        <w:t xml:space="preserve">Na podstawie powyższego wzoru można wyznaczyć </w:t>
      </w:r>
      <w:proofErr w:type="spellStart"/>
      <w:r>
        <w:rPr>
          <w:rFonts w:eastAsiaTheme="minorEastAsia"/>
        </w:rPr>
        <w:t>E</w:t>
      </w:r>
      <w:r>
        <w:rPr>
          <w:rFonts w:eastAsiaTheme="minorEastAsia"/>
          <w:vertAlign w:val="subscript"/>
        </w:rPr>
        <w:t>g</w:t>
      </w:r>
      <w:proofErr w:type="spellEnd"/>
      <w:r>
        <w:rPr>
          <w:rFonts w:eastAsiaTheme="minorEastAsia"/>
        </w:rPr>
        <w:t>:</w:t>
      </w:r>
    </w:p>
    <w:p w:rsidR="002560C6" w:rsidRPr="00507816" w:rsidRDefault="002560C6" w:rsidP="00AC25B0">
      <w:pPr>
        <w:pStyle w:val="Akapitzlist"/>
        <w:rPr>
          <w:rFonts w:eastAsiaTheme="minorEastAsia"/>
        </w:rPr>
      </w:pPr>
    </w:p>
    <w:p w:rsidR="001A30BF" w:rsidRPr="003B7FB5" w:rsidRDefault="002560C6" w:rsidP="00AC25B0">
      <w:pPr>
        <w:pStyle w:val="Akapitzlist"/>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=2000ka=</m:t>
          </m:r>
          <m:r>
            <w:rPr>
              <w:rFonts w:ascii="Cambria Math" w:eastAsiaTheme="minorEastAsia" w:hAnsi="Cambria Math"/>
            </w:rPr>
            <m:t>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∙2,382=6,577∙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3B7FB5" w:rsidRPr="00994F5A" w:rsidRDefault="002560C6" w:rsidP="00AC25B0">
      <w:pPr>
        <w:pStyle w:val="Akapitzlis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2000k</m:t>
                      </m:r>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(a)</m:t>
              </m:r>
            </m:e>
          </m:rad>
          <m:r>
            <w:rPr>
              <w:rFonts w:ascii="Cambria Math" w:eastAsiaTheme="minorEastAsia" w:hAnsi="Cambria Math"/>
            </w:rPr>
            <m:t>=0,035∙2000∙1,3806∙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6A03D3" w:rsidRDefault="006A03D3" w:rsidP="00AC25B0">
      <w:pPr>
        <w:pStyle w:val="Akapitzlist"/>
      </w:pPr>
    </w:p>
    <w:p w:rsidR="002560C6" w:rsidRDefault="002560C6" w:rsidP="002560C6">
      <w:pPr>
        <w:pStyle w:val="Legenda"/>
        <w:keepNext/>
        <w:jc w:val="center"/>
      </w:pPr>
      <w:r>
        <w:t xml:space="preserve">Tabela </w:t>
      </w:r>
      <w:r>
        <w:fldChar w:fldCharType="begin"/>
      </w:r>
      <w:r>
        <w:instrText xml:space="preserve"> SEQ Tabela \* ARABIC </w:instrText>
      </w:r>
      <w:r>
        <w:fldChar w:fldCharType="separate"/>
      </w:r>
      <w:r w:rsidR="00DB3B29">
        <w:rPr>
          <w:noProof/>
        </w:rPr>
        <w:t>5</w:t>
      </w:r>
      <w:r>
        <w:fldChar w:fldCharType="end"/>
      </w:r>
      <w:r>
        <w:t xml:space="preserve">: </w:t>
      </w:r>
      <w:r w:rsidRPr="00751261">
        <w:t>Wynik szerokości przerwy energetycznej w dżulach i elektronowoltach</w:t>
      </w:r>
    </w:p>
    <w:tbl>
      <w:tblPr>
        <w:tblStyle w:val="Siatkatabeli"/>
        <w:tblW w:w="0" w:type="auto"/>
        <w:tblInd w:w="720" w:type="dxa"/>
        <w:tblLook w:val="04A0" w:firstRow="1" w:lastRow="0" w:firstColumn="1" w:lastColumn="0" w:noHBand="0" w:noVBand="1"/>
      </w:tblPr>
      <w:tblGrid>
        <w:gridCol w:w="2086"/>
        <w:gridCol w:w="2087"/>
        <w:gridCol w:w="2087"/>
        <w:gridCol w:w="2082"/>
      </w:tblGrid>
      <w:tr w:rsidR="00507816" w:rsidTr="00507816">
        <w:tc>
          <w:tcPr>
            <w:tcW w:w="2086" w:type="dxa"/>
          </w:tcPr>
          <w:p w:rsidR="00507816" w:rsidRPr="004748D7" w:rsidRDefault="002560C6"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eastAsiaTheme="minorEastAsia" w:hAnsi="Cambria Math"/>
                  </w:rPr>
                  <m:t xml:space="preserve"> [J]</m:t>
                </m:r>
              </m:oMath>
            </m:oMathPara>
          </w:p>
        </w:tc>
        <w:tc>
          <w:tcPr>
            <w:tcW w:w="2087" w:type="dxa"/>
          </w:tcPr>
          <w:p w:rsidR="00507816" w:rsidRPr="004748D7" w:rsidRDefault="002560C6"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[J]</m:t>
                </m:r>
              </m:oMath>
            </m:oMathPara>
          </w:p>
        </w:tc>
        <w:tc>
          <w:tcPr>
            <w:tcW w:w="2087" w:type="dxa"/>
          </w:tcPr>
          <w:p w:rsidR="00507816" w:rsidRPr="004748D7" w:rsidRDefault="002560C6"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hAnsi="Cambria Math"/>
                  </w:rPr>
                  <m:t xml:space="preserve"> [eV]</m:t>
                </m:r>
              </m:oMath>
            </m:oMathPara>
          </w:p>
        </w:tc>
        <w:tc>
          <w:tcPr>
            <w:tcW w:w="2082" w:type="dxa"/>
          </w:tcPr>
          <w:p w:rsidR="00507816" w:rsidRPr="004748D7" w:rsidRDefault="002560C6"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[eV]</m:t>
                </m:r>
              </m:oMath>
            </m:oMathPara>
          </w:p>
        </w:tc>
      </w:tr>
      <w:tr w:rsidR="00507816" w:rsidTr="00507816">
        <w:tc>
          <w:tcPr>
            <w:tcW w:w="2086" w:type="dxa"/>
          </w:tcPr>
          <w:p w:rsidR="00507816" w:rsidRDefault="00507816" w:rsidP="00C87029">
            <w:pPr>
              <w:pStyle w:val="Akapitzlist"/>
              <w:ind w:left="0"/>
              <w:jc w:val="center"/>
            </w:pPr>
            <m:oMathPara>
              <m:oMath>
                <m:r>
                  <w:rPr>
                    <w:rFonts w:ascii="Cambria Math" w:eastAsiaTheme="minorEastAsia" w:hAnsi="Cambria Math"/>
                  </w:rPr>
                  <m:t>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hAnsi="Cambria Math"/>
                  </w:rPr>
                  <m:t>0,4105</m:t>
                </m:r>
              </m:oMath>
            </m:oMathPara>
          </w:p>
        </w:tc>
        <w:tc>
          <w:tcPr>
            <w:tcW w:w="2082" w:type="dxa"/>
          </w:tcPr>
          <w:p w:rsidR="00507816" w:rsidRDefault="00507816" w:rsidP="00C87029">
            <w:pPr>
              <w:pStyle w:val="Akapitzlist"/>
              <w:ind w:left="0"/>
              <w:jc w:val="center"/>
            </w:pPr>
            <w:r>
              <w:t>0,0059</w:t>
            </w:r>
          </w:p>
        </w:tc>
      </w:tr>
    </w:tbl>
    <w:p w:rsidR="002B7728" w:rsidRDefault="002B7728" w:rsidP="00DB3B29">
      <w:pPr>
        <w:pStyle w:val="Akapitzlist"/>
        <w:rPr>
          <w:b/>
        </w:rPr>
      </w:pPr>
    </w:p>
    <w:p w:rsidR="00DB3B29" w:rsidRPr="001F0395" w:rsidRDefault="00DB3B29" w:rsidP="00DB3B29">
      <w:pPr>
        <w:pStyle w:val="Akapitzlist"/>
        <w:numPr>
          <w:ilvl w:val="0"/>
          <w:numId w:val="3"/>
        </w:numPr>
        <w:rPr>
          <w:b/>
        </w:rPr>
      </w:pPr>
      <w:r>
        <w:rPr>
          <w:b/>
        </w:rPr>
        <w:t>Wnioski</w:t>
      </w:r>
      <w:bookmarkStart w:id="0" w:name="_GoBack"/>
      <w:bookmarkEnd w:id="0"/>
    </w:p>
    <w:p w:rsidR="00B15D9C" w:rsidRDefault="00B15D9C" w:rsidP="00B15D9C">
      <w:pPr>
        <w:pStyle w:val="Akapitzlist"/>
      </w:pPr>
    </w:p>
    <w:p w:rsidR="00B15D9C" w:rsidRDefault="001F0395" w:rsidP="00B15D9C">
      <w:pPr>
        <w:pStyle w:val="Akapitzlist"/>
        <w:numPr>
          <w:ilvl w:val="0"/>
          <w:numId w:val="4"/>
        </w:numPr>
      </w:pPr>
      <w:r>
        <w:t>Próbki 1, 2 oraz 3 to półprzewodniki.</w:t>
      </w:r>
    </w:p>
    <w:p w:rsidR="00974FB3" w:rsidRDefault="001F0395" w:rsidP="002560C6">
      <w:pPr>
        <w:pStyle w:val="Akapitzlist"/>
        <w:numPr>
          <w:ilvl w:val="0"/>
          <w:numId w:val="4"/>
        </w:numPr>
      </w:pPr>
      <w:r>
        <w:t>Próbka numer 4 to przewodnik.</w:t>
      </w:r>
    </w:p>
    <w:p w:rsidR="002560C6" w:rsidRPr="002560C6" w:rsidRDefault="002560C6" w:rsidP="002560C6">
      <w:pPr>
        <w:pStyle w:val="Akapitzlist"/>
        <w:numPr>
          <w:ilvl w:val="0"/>
          <w:numId w:val="4"/>
        </w:numPr>
        <w:rPr>
          <w:rFonts w:eastAsiaTheme="minorEastAsia"/>
        </w:rPr>
      </w:pPr>
      <w:r>
        <w:rPr>
          <w:rFonts w:eastAsiaTheme="minorEastAsia"/>
        </w:rPr>
        <w:t xml:space="preserve">Dla próbki nr 1: </w:t>
      </w:r>
      <w:proofErr w:type="spellStart"/>
      <w:r>
        <w:rPr>
          <w:rFonts w:eastAsiaTheme="minorEastAsia"/>
        </w:rPr>
        <w:t>E</w:t>
      </w:r>
      <w:r>
        <w:rPr>
          <w:rFonts w:eastAsiaTheme="minorEastAsia"/>
          <w:vertAlign w:val="subscript"/>
        </w:rPr>
        <w:t>g</w:t>
      </w:r>
      <w:proofErr w:type="spellEnd"/>
      <w:r>
        <w:rPr>
          <w:rFonts w:eastAsiaTheme="minorEastAsia"/>
          <w:vertAlign w:val="subscript"/>
        </w:rPr>
        <w:t xml:space="preserve"> </w:t>
      </w:r>
      <w:r>
        <w:t xml:space="preserve">= </w:t>
      </w:r>
      <m:oMath>
        <m:d>
          <m:dPr>
            <m:ctrlPr>
              <w:rPr>
                <w:rFonts w:ascii="Cambria Math" w:eastAsiaTheme="minorEastAsia" w:hAnsi="Cambria Math"/>
                <w:i/>
              </w:rPr>
            </m:ctrlPr>
          </m:dPr>
          <m:e>
            <m:r>
              <w:rPr>
                <w:rFonts w:ascii="Cambria Math" w:eastAsiaTheme="minorEastAsia" w:hAnsi="Cambria Math"/>
              </w:rPr>
              <m:t>0,4105</m:t>
            </m:r>
            <m:r>
              <m:rPr>
                <m:sty m:val="p"/>
              </m:rPr>
              <w:rPr>
                <w:rFonts w:ascii="Cambria Math" w:eastAsiaTheme="minorEastAsia" w:hAnsi="Cambria Math"/>
              </w:rPr>
              <m:t>±</m:t>
            </m:r>
            <m:r>
              <w:rPr>
                <w:rFonts w:ascii="Cambria Math" w:eastAsiaTheme="minorEastAsia" w:hAnsi="Cambria Math"/>
              </w:rPr>
              <m:t>0,0059</m:t>
            </m:r>
          </m:e>
        </m:d>
        <m:r>
          <w:rPr>
            <w:rFonts w:ascii="Cambria Math" w:eastAsiaTheme="minorEastAsia" w:hAnsi="Cambria Math"/>
          </w:rPr>
          <m:t xml:space="preserve"> eV</m:t>
        </m:r>
      </m:oMath>
    </w:p>
    <w:p w:rsidR="006D25EC" w:rsidRPr="004748D7" w:rsidRDefault="002560C6" w:rsidP="004748D7">
      <w:pPr>
        <w:pStyle w:val="Akapitzlist"/>
        <w:numPr>
          <w:ilvl w:val="0"/>
          <w:numId w:val="4"/>
        </w:numPr>
        <w:rPr>
          <w:rFonts w:eastAsiaTheme="minorEastAsia"/>
        </w:rPr>
      </w:pPr>
      <w:r>
        <w:rPr>
          <w:rFonts w:eastAsiaTheme="minorEastAsia"/>
        </w:rPr>
        <w:t xml:space="preserve">Dla próbki nr 4: </w:t>
      </w:r>
      <m:oMath>
        <m:r>
          <m:rPr>
            <m:sty m:val="p"/>
          </m:rPr>
          <w:rPr>
            <w:rFonts w:ascii="Cambria Math" w:eastAsiaTheme="minorEastAsia" w:hAnsi="Cambria Math"/>
          </w:rPr>
          <m:t>α</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0,002493</m:t>
            </m:r>
            <m:r>
              <m:rPr>
                <m:sty m:val="p"/>
              </m:rPr>
              <w:rPr>
                <w:rFonts w:ascii="Cambria Math" w:hAnsi="Cambria Math"/>
              </w:rPr>
              <m:t>±</m:t>
            </m:r>
            <m:r>
              <w:rPr>
                <w:rFonts w:ascii="Cambria Math" w:hAnsi="Cambria Math"/>
              </w:rPr>
              <m:t>0,000067</m:t>
            </m:r>
            <m:ctrlPr>
              <w:rPr>
                <w:rFonts w:ascii="Cambria Math" w:hAnsi="Cambria Math"/>
                <w:i/>
              </w:rPr>
            </m:ctrlPr>
          </m:e>
        </m:d>
        <m:f>
          <m:fPr>
            <m:ctrlPr>
              <w:rPr>
                <w:rFonts w:ascii="Cambria Math" w:hAnsi="Cambria Math"/>
                <w:i/>
              </w:rPr>
            </m:ctrlPr>
          </m:fPr>
          <m:num>
            <m:r>
              <m:rPr>
                <m:sty m:val="p"/>
              </m:rPr>
              <w:rPr>
                <w:rFonts w:ascii="Cambria Math" w:hAnsi="Cambria Math"/>
              </w:rPr>
              <m:t>1</m:t>
            </m:r>
          </m:num>
          <m:den>
            <m:r>
              <w:rPr>
                <w:rFonts w:ascii="Cambria Math" w:hAnsi="Cambria Math"/>
              </w:rPr>
              <m:t>℃</m:t>
            </m:r>
          </m:den>
        </m:f>
      </m:oMath>
      <w:r w:rsidR="006D25EC" w:rsidRPr="004748D7">
        <w:rPr>
          <w:rFonts w:eastAsiaTheme="minorEastAsia"/>
        </w:rPr>
        <w:t xml:space="preserve"> </w:t>
      </w:r>
    </w:p>
    <w:sectPr w:rsidR="006D25EC" w:rsidRPr="00474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678"/>
    <w:multiLevelType w:val="hybridMultilevel"/>
    <w:tmpl w:val="814264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9DB3F8D"/>
    <w:multiLevelType w:val="hybridMultilevel"/>
    <w:tmpl w:val="68725430"/>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A9F281C"/>
    <w:multiLevelType w:val="hybridMultilevel"/>
    <w:tmpl w:val="F72C05AA"/>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9F97ACC"/>
    <w:multiLevelType w:val="hybridMultilevel"/>
    <w:tmpl w:val="8E7468B6"/>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15:restartNumberingAfterBreak="0">
    <w:nsid w:val="62BD49D1"/>
    <w:multiLevelType w:val="hybridMultilevel"/>
    <w:tmpl w:val="C1BE44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89F5BCB"/>
    <w:multiLevelType w:val="hybridMultilevel"/>
    <w:tmpl w:val="C61A50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D0E10BC"/>
    <w:multiLevelType w:val="hybridMultilevel"/>
    <w:tmpl w:val="18C21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3"/>
    <w:rsid w:val="001674E7"/>
    <w:rsid w:val="001708F9"/>
    <w:rsid w:val="001A30BF"/>
    <w:rsid w:val="001E2D84"/>
    <w:rsid w:val="001F0395"/>
    <w:rsid w:val="002560C6"/>
    <w:rsid w:val="002B7728"/>
    <w:rsid w:val="003008F5"/>
    <w:rsid w:val="00355CD9"/>
    <w:rsid w:val="003B7FB5"/>
    <w:rsid w:val="00430972"/>
    <w:rsid w:val="004748D7"/>
    <w:rsid w:val="004B3CC8"/>
    <w:rsid w:val="004D66E6"/>
    <w:rsid w:val="00507816"/>
    <w:rsid w:val="00507A78"/>
    <w:rsid w:val="006A03D3"/>
    <w:rsid w:val="006D25EC"/>
    <w:rsid w:val="00813EEC"/>
    <w:rsid w:val="008B3A55"/>
    <w:rsid w:val="00974FB3"/>
    <w:rsid w:val="00994F5A"/>
    <w:rsid w:val="00A01933"/>
    <w:rsid w:val="00A438DE"/>
    <w:rsid w:val="00AC25B0"/>
    <w:rsid w:val="00B15D9C"/>
    <w:rsid w:val="00B25A66"/>
    <w:rsid w:val="00B52D95"/>
    <w:rsid w:val="00C87029"/>
    <w:rsid w:val="00D42643"/>
    <w:rsid w:val="00DB3B29"/>
    <w:rsid w:val="00E80338"/>
    <w:rsid w:val="00EC2863"/>
    <w:rsid w:val="00F54A02"/>
    <w:rsid w:val="00FD1A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339C"/>
  <w15:chartTrackingRefBased/>
  <w15:docId w15:val="{D9E143C1-3062-4D2D-8C9B-9CA0A75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E2D8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974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B25A66"/>
    <w:pPr>
      <w:ind w:left="720"/>
      <w:contextualSpacing/>
    </w:pPr>
  </w:style>
  <w:style w:type="character" w:styleId="Tekstzastpczy">
    <w:name w:val="Placeholder Text"/>
    <w:basedOn w:val="Domylnaczcionkaakapitu"/>
    <w:uiPriority w:val="99"/>
    <w:semiHidden/>
    <w:rsid w:val="002B7728"/>
    <w:rPr>
      <w:color w:val="808080"/>
    </w:rPr>
  </w:style>
  <w:style w:type="paragraph" w:styleId="Legenda">
    <w:name w:val="caption"/>
    <w:basedOn w:val="Normalny"/>
    <w:next w:val="Normalny"/>
    <w:uiPriority w:val="35"/>
    <w:unhideWhenUsed/>
    <w:qFormat/>
    <w:rsid w:val="00F54A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302">
      <w:bodyDiv w:val="1"/>
      <w:marLeft w:val="0"/>
      <w:marRight w:val="0"/>
      <w:marTop w:val="0"/>
      <w:marBottom w:val="0"/>
      <w:divBdr>
        <w:top w:val="none" w:sz="0" w:space="0" w:color="auto"/>
        <w:left w:val="none" w:sz="0" w:space="0" w:color="auto"/>
        <w:bottom w:val="none" w:sz="0" w:space="0" w:color="auto"/>
        <w:right w:val="none" w:sz="0" w:space="0" w:color="auto"/>
      </w:divBdr>
    </w:div>
    <w:div w:id="155720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R4=f(t)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3"/>
            <c:dispRSqr val="0"/>
            <c:dispEq val="0"/>
          </c:trendline>
          <c:trendline>
            <c:spPr>
              <a:ln w="19050" cap="rnd">
                <a:solidFill>
                  <a:schemeClr val="accent1"/>
                </a:solidFill>
                <a:prstDash val="sysDot"/>
              </a:ln>
              <a:effectLst/>
            </c:spPr>
            <c:trendlineType val="linear"/>
            <c:dispRSqr val="0"/>
            <c:dispEq val="1"/>
            <c:trendlineLbl>
              <c:layout>
                <c:manualLayout>
                  <c:x val="-4.7572810928754386E-2"/>
                  <c:y val="1.23988936866762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cust"/>
            <c:noEndCap val="0"/>
            <c:pl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plus>
            <c:min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plus>
            <c:min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minus>
            <c:spPr>
              <a:noFill/>
              <a:ln w="9525" cap="flat" cmpd="sng" algn="ctr">
                <a:solidFill>
                  <a:schemeClr val="tx1">
                    <a:lumMod val="65000"/>
                    <a:lumOff val="35000"/>
                  </a:schemeClr>
                </a:solidFill>
                <a:round/>
              </a:ln>
              <a:effectLst/>
            </c:spPr>
          </c:errBars>
          <c:xVal>
            <c:numRef>
              <c:f>Arkusz1!$B$2:$B$18</c:f>
              <c:numCache>
                <c:formatCode>General</c:formatCode>
                <c:ptCount val="17"/>
                <c:pt idx="0">
                  <c:v>22</c:v>
                </c:pt>
                <c:pt idx="1">
                  <c:v>27</c:v>
                </c:pt>
                <c:pt idx="2">
                  <c:v>32</c:v>
                </c:pt>
                <c:pt idx="3">
                  <c:v>37</c:v>
                </c:pt>
                <c:pt idx="4">
                  <c:v>42</c:v>
                </c:pt>
                <c:pt idx="5">
                  <c:v>47</c:v>
                </c:pt>
                <c:pt idx="6">
                  <c:v>52</c:v>
                </c:pt>
                <c:pt idx="7">
                  <c:v>57</c:v>
                </c:pt>
                <c:pt idx="8">
                  <c:v>62</c:v>
                </c:pt>
                <c:pt idx="9">
                  <c:v>67</c:v>
                </c:pt>
                <c:pt idx="10">
                  <c:v>72</c:v>
                </c:pt>
                <c:pt idx="11">
                  <c:v>77</c:v>
                </c:pt>
                <c:pt idx="12">
                  <c:v>82</c:v>
                </c:pt>
                <c:pt idx="13">
                  <c:v>87</c:v>
                </c:pt>
                <c:pt idx="14">
                  <c:v>92</c:v>
                </c:pt>
                <c:pt idx="15">
                  <c:v>97</c:v>
                </c:pt>
                <c:pt idx="16">
                  <c:v>102</c:v>
                </c:pt>
              </c:numCache>
            </c:numRef>
          </c:xVal>
          <c:yVal>
            <c:numRef>
              <c:f>Arkusz1!$J$2:$J$18</c:f>
              <c:numCache>
                <c:formatCode>General</c:formatCode>
                <c:ptCount val="17"/>
                <c:pt idx="0">
                  <c:v>112.3</c:v>
                </c:pt>
                <c:pt idx="1">
                  <c:v>113</c:v>
                </c:pt>
                <c:pt idx="2">
                  <c:v>113.6</c:v>
                </c:pt>
                <c:pt idx="3">
                  <c:v>114.8</c:v>
                </c:pt>
                <c:pt idx="4">
                  <c:v>115.6</c:v>
                </c:pt>
                <c:pt idx="5">
                  <c:v>117.3</c:v>
                </c:pt>
                <c:pt idx="6">
                  <c:v>118.2</c:v>
                </c:pt>
                <c:pt idx="7">
                  <c:v>119.4</c:v>
                </c:pt>
                <c:pt idx="8">
                  <c:v>120.6</c:v>
                </c:pt>
                <c:pt idx="9">
                  <c:v>122</c:v>
                </c:pt>
                <c:pt idx="10">
                  <c:v>123.1</c:v>
                </c:pt>
                <c:pt idx="11">
                  <c:v>124.9</c:v>
                </c:pt>
                <c:pt idx="12">
                  <c:v>127.1</c:v>
                </c:pt>
                <c:pt idx="13">
                  <c:v>128.19999999999999</c:v>
                </c:pt>
                <c:pt idx="14">
                  <c:v>130.1</c:v>
                </c:pt>
                <c:pt idx="15">
                  <c:v>131</c:v>
                </c:pt>
                <c:pt idx="16">
                  <c:v>132.5</c:v>
                </c:pt>
              </c:numCache>
            </c:numRef>
          </c:yVal>
          <c:smooth val="0"/>
          <c:extLst>
            <c:ext xmlns:c16="http://schemas.microsoft.com/office/drawing/2014/chart" uri="{C3380CC4-5D6E-409C-BE32-E72D297353CC}">
              <c16:uniqueId val="{00000001-6B4A-4CFB-9EC8-A77B48A63DCD}"/>
            </c:ext>
          </c:extLst>
        </c:ser>
        <c:dLbls>
          <c:showLegendKey val="0"/>
          <c:showVal val="0"/>
          <c:showCatName val="0"/>
          <c:showSerName val="0"/>
          <c:showPercent val="0"/>
          <c:showBubbleSize val="0"/>
        </c:dLbls>
        <c:axId val="291097880"/>
        <c:axId val="291098536"/>
      </c:scatterChart>
      <c:valAx>
        <c:axId val="291097880"/>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a:t>
                </a:r>
                <a:r>
                  <a:rPr lang="pl-PL" baseline="0"/>
                  <a:t> [</a:t>
                </a:r>
                <a:r>
                  <a:rPr lang="pl-PL" baseline="0">
                    <a:latin typeface="Calibri" panose="020F0502020204030204" pitchFamily="34" charset="0"/>
                    <a:cs typeface="Calibri" panose="020F0502020204030204" pitchFamily="34" charset="0"/>
                  </a:rPr>
                  <a:t>⁰</a:t>
                </a:r>
                <a:r>
                  <a:rPr lang="pl-PL"/>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8536"/>
        <c:crosses val="autoZero"/>
        <c:crossBetween val="midCat"/>
        <c:majorUnit val="5"/>
      </c:valAx>
      <c:valAx>
        <c:axId val="291098536"/>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R4</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7880"/>
        <c:crosses val="autoZero"/>
        <c:crossBetween val="midCat"/>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t>
            </a:r>
            <a:r>
              <a:rPr lang="pl-PL"/>
              <a:t>R1</a:t>
            </a:r>
            <a:r>
              <a:rPr lang="en-US"/>
              <a:t>=f(1000/T)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lnx=f(1000/T)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1"/>
            <c:dispRSqr val="0"/>
            <c:dispEq val="0"/>
          </c:trendline>
          <c:trendline>
            <c:spPr>
              <a:ln w="19050" cap="rnd">
                <a:solidFill>
                  <a:schemeClr val="accent1"/>
                </a:solidFill>
                <a:prstDash val="sysDot"/>
              </a:ln>
              <a:effectLst/>
            </c:spPr>
            <c:trendlineType val="linear"/>
            <c:dispRSqr val="0"/>
            <c:dispEq val="1"/>
            <c:trendlineLbl>
              <c:layout>
                <c:manualLayout>
                  <c:x val="-5.6496145528978615E-2"/>
                  <c:y val="-1.41829876899190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percentage"/>
            <c:noEndCap val="0"/>
            <c:val val="0.2"/>
            <c:spPr>
              <a:noFill/>
              <a:ln w="9525" cap="flat" cmpd="sng" algn="ctr">
                <a:solidFill>
                  <a:schemeClr val="tx1">
                    <a:lumMod val="65000"/>
                    <a:lumOff val="35000"/>
                  </a:schemeClr>
                </a:solidFill>
                <a:round/>
              </a:ln>
              <a:effectLst/>
            </c:spPr>
          </c:errBars>
          <c:errBars>
            <c:errDir val="y"/>
            <c:errBarType val="both"/>
            <c:errValType val="percentage"/>
            <c:noEndCap val="0"/>
            <c:val val="0.60000000000000009"/>
            <c:spPr>
              <a:noFill/>
              <a:ln w="9525" cap="flat" cmpd="sng" algn="ctr">
                <a:solidFill>
                  <a:schemeClr val="tx1">
                    <a:lumMod val="65000"/>
                    <a:lumOff val="35000"/>
                  </a:schemeClr>
                </a:solidFill>
                <a:round/>
              </a:ln>
              <a:effectLst/>
            </c:spPr>
          </c:errBars>
          <c:xVal>
            <c:numRef>
              <c:f>Arkusz1!$N$2:$N$18</c:f>
              <c:numCache>
                <c:formatCode>General</c:formatCode>
                <c:ptCount val="17"/>
                <c:pt idx="0">
                  <c:v>3.3898305084745761</c:v>
                </c:pt>
                <c:pt idx="1">
                  <c:v>3.3333333333333335</c:v>
                </c:pt>
                <c:pt idx="2">
                  <c:v>3.278688524590164</c:v>
                </c:pt>
                <c:pt idx="3">
                  <c:v>3.225806451612903</c:v>
                </c:pt>
                <c:pt idx="4">
                  <c:v>3.1746031746031744</c:v>
                </c:pt>
                <c:pt idx="5">
                  <c:v>3.125</c:v>
                </c:pt>
                <c:pt idx="6">
                  <c:v>3.0769230769230771</c:v>
                </c:pt>
                <c:pt idx="7">
                  <c:v>3.0303030303030303</c:v>
                </c:pt>
                <c:pt idx="8">
                  <c:v>2.9850746268656718</c:v>
                </c:pt>
                <c:pt idx="9">
                  <c:v>2.9411764705882355</c:v>
                </c:pt>
                <c:pt idx="10">
                  <c:v>2.8985507246376812</c:v>
                </c:pt>
                <c:pt idx="11">
                  <c:v>2.8571428571428572</c:v>
                </c:pt>
                <c:pt idx="12">
                  <c:v>2.816901408450704</c:v>
                </c:pt>
                <c:pt idx="13">
                  <c:v>2.7777777777777777</c:v>
                </c:pt>
                <c:pt idx="14">
                  <c:v>2.7397260273972601</c:v>
                </c:pt>
                <c:pt idx="15">
                  <c:v>2.7027027027027026</c:v>
                </c:pt>
                <c:pt idx="16">
                  <c:v>2.6666666666666665</c:v>
                </c:pt>
              </c:numCache>
            </c:numRef>
          </c:xVal>
          <c:yVal>
            <c:numRef>
              <c:f>Arkusz1!$M$2:$M$18</c:f>
              <c:numCache>
                <c:formatCode>General</c:formatCode>
                <c:ptCount val="17"/>
                <c:pt idx="0">
                  <c:v>4.9170569471366896</c:v>
                </c:pt>
                <c:pt idx="1">
                  <c:v>4.7957905455967413</c:v>
                </c:pt>
                <c:pt idx="2">
                  <c:v>4.6596583712721609</c:v>
                </c:pt>
                <c:pt idx="3">
                  <c:v>4.5390303834835466</c:v>
                </c:pt>
                <c:pt idx="4">
                  <c:v>4.4426512564903167</c:v>
                </c:pt>
                <c:pt idx="5">
                  <c:v>4.3174881135363101</c:v>
                </c:pt>
                <c:pt idx="6">
                  <c:v>4.2239097665767442</c:v>
                </c:pt>
                <c:pt idx="7">
                  <c:v>4.1319614257934072</c:v>
                </c:pt>
                <c:pt idx="8">
                  <c:v>4.0181832012565364</c:v>
                </c:pt>
                <c:pt idx="9">
                  <c:v>3.9219733362813143</c:v>
                </c:pt>
                <c:pt idx="10">
                  <c:v>3.8133070324889884</c:v>
                </c:pt>
                <c:pt idx="11">
                  <c:v>3.6938669956249757</c:v>
                </c:pt>
                <c:pt idx="12">
                  <c:v>3.5263605246161616</c:v>
                </c:pt>
                <c:pt idx="13">
                  <c:v>3.4563166808832348</c:v>
                </c:pt>
                <c:pt idx="14">
                  <c:v>3.3707381741774469</c:v>
                </c:pt>
                <c:pt idx="15">
                  <c:v>3.3105430133940246</c:v>
                </c:pt>
                <c:pt idx="16">
                  <c:v>3.202746442938317</c:v>
                </c:pt>
              </c:numCache>
            </c:numRef>
          </c:yVal>
          <c:smooth val="0"/>
          <c:extLst>
            <c:ext xmlns:c16="http://schemas.microsoft.com/office/drawing/2014/chart" uri="{C3380CC4-5D6E-409C-BE32-E72D297353CC}">
              <c16:uniqueId val="{00000001-BA88-4BC2-8DF8-7321DEF0D11D}"/>
            </c:ext>
          </c:extLst>
        </c:ser>
        <c:dLbls>
          <c:showLegendKey val="0"/>
          <c:showVal val="0"/>
          <c:showCatName val="0"/>
          <c:showSerName val="0"/>
          <c:showPercent val="0"/>
          <c:showBubbleSize val="0"/>
        </c:dLbls>
        <c:axId val="390115912"/>
        <c:axId val="390112960"/>
      </c:scatterChart>
      <c:valAx>
        <c:axId val="390115912"/>
        <c:scaling>
          <c:orientation val="minMax"/>
          <c:min val="2.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1000/T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2960"/>
        <c:crosses val="autoZero"/>
        <c:crossBetween val="midCat"/>
        <c:majorUnit val="5.000000000000001E-2"/>
      </c:valAx>
      <c:valAx>
        <c:axId val="390112960"/>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lnR1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591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831</Words>
  <Characters>4990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karczewska</dc:creator>
  <cp:keywords/>
  <dc:description/>
  <cp:lastModifiedBy>Student 227078</cp:lastModifiedBy>
  <cp:revision>8</cp:revision>
  <cp:lastPrinted>2017-12-10T16:25:00Z</cp:lastPrinted>
  <dcterms:created xsi:type="dcterms:W3CDTF">2017-12-10T14:55:00Z</dcterms:created>
  <dcterms:modified xsi:type="dcterms:W3CDTF">2017-12-10T16:26:00Z</dcterms:modified>
</cp:coreProperties>
</file>