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D9D" w:rsidRDefault="00B42832" w:rsidP="00F11D9D">
      <w:pPr>
        <w:pStyle w:val="hpPaper-Title"/>
        <w:spacing w:after="0" w:line="300" w:lineRule="auto"/>
      </w:pPr>
      <w:proofErr w:type="spellStart"/>
      <w:r>
        <w:t>Exas</w:t>
      </w:r>
      <w:r w:rsidR="005A377B">
        <w:t>cale</w:t>
      </w:r>
      <w:proofErr w:type="spellEnd"/>
      <w:r w:rsidR="005A377B">
        <w:t xml:space="preserve"> </w:t>
      </w:r>
      <w:r w:rsidR="00356920">
        <w:t xml:space="preserve">Power </w:t>
      </w:r>
      <w:r w:rsidR="005A377B">
        <w:t>Management</w:t>
      </w:r>
    </w:p>
    <w:p w:rsidR="007C1EA6" w:rsidRDefault="007C1EA6" w:rsidP="00F11D9D">
      <w:pPr>
        <w:pStyle w:val="hpPaper-Title"/>
        <w:spacing w:after="0" w:line="300" w:lineRule="auto"/>
      </w:pPr>
      <w:r>
        <w:t>With</w:t>
      </w:r>
      <w:r w:rsidR="00F11D9D">
        <w:t xml:space="preserve"> </w:t>
      </w:r>
    </w:p>
    <w:p w:rsidR="00EC3486" w:rsidRDefault="005A377B" w:rsidP="00F11D9D">
      <w:pPr>
        <w:pStyle w:val="hpPaper-Title"/>
        <w:spacing w:after="0" w:line="300" w:lineRule="auto"/>
      </w:pPr>
      <w:r>
        <w:t>Power API and</w:t>
      </w:r>
      <w:r w:rsidR="00F11D9D">
        <w:t xml:space="preserve"> Redfish</w:t>
      </w:r>
    </w:p>
    <w:p w:rsidR="00EC3486" w:rsidRDefault="00EC3486" w:rsidP="00EC3486">
      <w:pPr>
        <w:pStyle w:val="hpAuthors"/>
        <w:spacing w:after="0" w:line="300" w:lineRule="auto"/>
      </w:pPr>
      <w:r>
        <w:rPr>
          <w:spacing w:val="-1"/>
        </w:rPr>
        <w:t>Prasanth Kurian,</w:t>
      </w:r>
      <w:r>
        <w:t xml:space="preserve"> </w:t>
      </w:r>
      <w:r>
        <w:rPr>
          <w:spacing w:val="-1"/>
        </w:rPr>
        <w:t>Vinanti Phadke,</w:t>
      </w:r>
      <w:r>
        <w:t xml:space="preserve"> Anusha M</w:t>
      </w:r>
      <w:r w:rsidR="00EB5814">
        <w:t xml:space="preserve"> S</w:t>
      </w:r>
    </w:p>
    <w:p w:rsidR="00EC3486" w:rsidRDefault="00EC3486" w:rsidP="00EC3486">
      <w:pPr>
        <w:spacing w:line="300" w:lineRule="auto"/>
        <w:jc w:val="center"/>
        <w:rPr>
          <w:sz w:val="24"/>
          <w:lang w:val="en-GB"/>
        </w:rPr>
      </w:pPr>
      <w:r>
        <w:rPr>
          <w:spacing w:val="-1"/>
          <w:sz w:val="24"/>
        </w:rPr>
        <w:t xml:space="preserve">Enterprise </w:t>
      </w:r>
      <w:r>
        <w:rPr>
          <w:sz w:val="24"/>
        </w:rPr>
        <w:t>Group</w:t>
      </w:r>
    </w:p>
    <w:p w:rsidR="00EC3486" w:rsidRDefault="00EC3486" w:rsidP="00EC3486">
      <w:pPr>
        <w:pStyle w:val="hpAuthors"/>
        <w:spacing w:after="0" w:line="300" w:lineRule="auto"/>
      </w:pPr>
      <w:r>
        <w:rPr>
          <w:spacing w:val="-1"/>
        </w:rPr>
        <w:t>{</w:t>
      </w:r>
      <w:hyperlink r:id="rId6" w:history="1">
        <w:r w:rsidR="00887E90" w:rsidRPr="00ED1D9E">
          <w:t>anusha.m-s@hpe.com</w:t>
        </w:r>
      </w:hyperlink>
      <w:r w:rsidR="00887E90">
        <w:t xml:space="preserve">, </w:t>
      </w:r>
      <w:r>
        <w:rPr>
          <w:spacing w:val="-1"/>
        </w:rPr>
        <w:t>prasanth.kurian@hpe.com,</w:t>
      </w:r>
      <w:r>
        <w:t xml:space="preserve"> </w:t>
      </w:r>
      <w:r>
        <w:rPr>
          <w:spacing w:val="-1"/>
        </w:rPr>
        <w:t>vinanti.phadke@hpe.com</w:t>
      </w:r>
      <w:r w:rsidR="00D3427E">
        <w:t>}</w:t>
      </w:r>
    </w:p>
    <w:p w:rsidR="00D3427E" w:rsidRDefault="00D3427E" w:rsidP="00EC3486">
      <w:pPr>
        <w:pStyle w:val="hpAuthors"/>
        <w:spacing w:after="0" w:line="300" w:lineRule="auto"/>
      </w:pPr>
    </w:p>
    <w:p w:rsidR="00EC3486" w:rsidRDefault="00EC3486" w:rsidP="00EC3486">
      <w:pPr>
        <w:pStyle w:val="hpHeading0"/>
        <w:spacing w:line="300" w:lineRule="auto"/>
      </w:pPr>
      <w:r>
        <w:t>Abstract</w:t>
      </w:r>
    </w:p>
    <w:p w:rsidR="00EC3486" w:rsidRPr="00FF3FEE" w:rsidRDefault="00A239C8" w:rsidP="001F3AE3">
      <w:pPr>
        <w:autoSpaceDE w:val="0"/>
        <w:autoSpaceDN w:val="0"/>
        <w:adjustRightInd w:val="0"/>
        <w:spacing w:after="0" w:line="240" w:lineRule="auto"/>
        <w:rPr>
          <w:rFonts w:ascii="TisaPro" w:hAnsi="TisaPro" w:cs="TisaPro"/>
          <w:i/>
          <w:sz w:val="18"/>
          <w:szCs w:val="18"/>
        </w:rPr>
      </w:pPr>
      <w:r w:rsidRPr="00FF3FEE">
        <w:rPr>
          <w:i/>
        </w:rPr>
        <w:t xml:space="preserve">The challenge of balancing between power and performance is now well established. While research in this area is well underway, the ability to </w:t>
      </w:r>
      <w:r w:rsidR="00356920">
        <w:rPr>
          <w:i/>
        </w:rPr>
        <w:t>monitor and manage</w:t>
      </w:r>
      <w:r w:rsidR="004E6EE7" w:rsidRPr="00FF3FEE">
        <w:rPr>
          <w:i/>
        </w:rPr>
        <w:t xml:space="preserve"> power and energy </w:t>
      </w:r>
      <w:r w:rsidRPr="00FF3FEE">
        <w:rPr>
          <w:i/>
        </w:rPr>
        <w:t xml:space="preserve">has </w:t>
      </w:r>
      <w:r w:rsidR="00356920">
        <w:rPr>
          <w:i/>
        </w:rPr>
        <w:t>been evolving</w:t>
      </w:r>
      <w:r w:rsidRPr="00FF3FEE">
        <w:rPr>
          <w:i/>
        </w:rPr>
        <w:t xml:space="preserve">. This </w:t>
      </w:r>
      <w:r w:rsidR="00356920">
        <w:rPr>
          <w:i/>
        </w:rPr>
        <w:t>is a behemoth challeng</w:t>
      </w:r>
      <w:r w:rsidR="00887E90">
        <w:rPr>
          <w:i/>
        </w:rPr>
        <w:t>e</w:t>
      </w:r>
      <w:r w:rsidR="003F31A6">
        <w:rPr>
          <w:i/>
        </w:rPr>
        <w:t xml:space="preserve"> </w:t>
      </w:r>
      <w:r w:rsidR="00887E90">
        <w:rPr>
          <w:i/>
        </w:rPr>
        <w:t xml:space="preserve">in </w:t>
      </w:r>
      <w:r w:rsidRPr="00FF3FEE">
        <w:rPr>
          <w:i/>
        </w:rPr>
        <w:t>the field of High Performance Computing (HPC)</w:t>
      </w:r>
      <w:r w:rsidR="00356920">
        <w:rPr>
          <w:i/>
        </w:rPr>
        <w:t xml:space="preserve"> </w:t>
      </w:r>
      <w:r w:rsidR="00356920" w:rsidRPr="005E7121">
        <w:rPr>
          <w:i/>
        </w:rPr>
        <w:t>more so</w:t>
      </w:r>
      <w:r w:rsidR="00356920">
        <w:rPr>
          <w:i/>
        </w:rPr>
        <w:t xml:space="preserve"> when designing an </w:t>
      </w:r>
      <w:proofErr w:type="spellStart"/>
      <w:r w:rsidR="00D061FB" w:rsidRPr="00FF3FEE">
        <w:rPr>
          <w:i/>
        </w:rPr>
        <w:t>Exa</w:t>
      </w:r>
      <w:r w:rsidR="00B42832">
        <w:rPr>
          <w:i/>
        </w:rPr>
        <w:t>s</w:t>
      </w:r>
      <w:r w:rsidR="00D061FB" w:rsidRPr="00FF3FEE">
        <w:rPr>
          <w:i/>
        </w:rPr>
        <w:t>cale</w:t>
      </w:r>
      <w:proofErr w:type="spellEnd"/>
      <w:r w:rsidR="00D061FB" w:rsidRPr="00FF3FEE">
        <w:rPr>
          <w:i/>
        </w:rPr>
        <w:t xml:space="preserve"> supercomput</w:t>
      </w:r>
      <w:r w:rsidR="00356920">
        <w:rPr>
          <w:i/>
        </w:rPr>
        <w:t>er</w:t>
      </w:r>
      <w:r w:rsidR="00D061FB" w:rsidRPr="00FF3FEE">
        <w:rPr>
          <w:i/>
        </w:rPr>
        <w:t xml:space="preserve">. With every generation of hardware, more power measurement and control capabilities are </w:t>
      </w:r>
      <w:r w:rsidR="00356920">
        <w:rPr>
          <w:i/>
        </w:rPr>
        <w:t>made available</w:t>
      </w:r>
      <w:r w:rsidR="00D061FB" w:rsidRPr="00FF3FEE">
        <w:rPr>
          <w:i/>
        </w:rPr>
        <w:t xml:space="preserve">. Software will need to make appropriate choices about how to allocate the available power budget given many, sometimes conflicting considerations. For these reasons, </w:t>
      </w:r>
      <w:r w:rsidR="00356920">
        <w:rPr>
          <w:i/>
        </w:rPr>
        <w:t xml:space="preserve">specifications for </w:t>
      </w:r>
      <w:r w:rsidR="00D061FB" w:rsidRPr="00FF3FEE">
        <w:rPr>
          <w:i/>
        </w:rPr>
        <w:t>Power AP</w:t>
      </w:r>
      <w:r w:rsidR="0081048C">
        <w:rPr>
          <w:i/>
        </w:rPr>
        <w:t>I</w:t>
      </w:r>
      <w:r w:rsidR="003A5244" w:rsidRPr="00FF3FEE">
        <w:rPr>
          <w:i/>
        </w:rPr>
        <w:t xml:space="preserve"> </w:t>
      </w:r>
      <w:r w:rsidR="00D061FB" w:rsidRPr="00FF3FEE">
        <w:rPr>
          <w:i/>
        </w:rPr>
        <w:t xml:space="preserve">for power </w:t>
      </w:r>
      <w:r w:rsidR="00356920">
        <w:rPr>
          <w:i/>
        </w:rPr>
        <w:t>management</w:t>
      </w:r>
      <w:r w:rsidR="00D061FB" w:rsidRPr="00FF3FEE">
        <w:rPr>
          <w:i/>
        </w:rPr>
        <w:t xml:space="preserve"> was been de</w:t>
      </w:r>
      <w:r w:rsidR="00356920">
        <w:rPr>
          <w:i/>
        </w:rPr>
        <w:t>fined</w:t>
      </w:r>
      <w:r w:rsidR="00ED1D9E" w:rsidRPr="00FF3FEE">
        <w:rPr>
          <w:i/>
        </w:rPr>
        <w:t xml:space="preserve"> by Sandia Labs</w:t>
      </w:r>
      <w:r w:rsidR="001F3AE3" w:rsidRPr="00FF3FEE">
        <w:rPr>
          <w:i/>
        </w:rPr>
        <w:t xml:space="preserve"> in collaboration with </w:t>
      </w:r>
      <w:r w:rsidR="00356920">
        <w:rPr>
          <w:i/>
        </w:rPr>
        <w:t xml:space="preserve">a consortium of hardware </w:t>
      </w:r>
      <w:r w:rsidR="001F3AE3" w:rsidRPr="00FF3FEE">
        <w:rPr>
          <w:i/>
        </w:rPr>
        <w:t>vendors including HPE</w:t>
      </w:r>
      <w:r w:rsidR="00D061FB" w:rsidRPr="00FF3FEE">
        <w:rPr>
          <w:i/>
        </w:rPr>
        <w:t>.</w:t>
      </w:r>
      <w:r w:rsidR="001637E3" w:rsidRPr="00FF3FEE">
        <w:rPr>
          <w:rFonts w:ascii="TisaPro" w:hAnsi="TisaPro" w:cs="TisaPro"/>
          <w:i/>
          <w:sz w:val="18"/>
          <w:szCs w:val="18"/>
        </w:rPr>
        <w:t xml:space="preserve"> </w:t>
      </w:r>
      <w:r w:rsidR="001637E3" w:rsidRPr="00FF3FEE">
        <w:rPr>
          <w:i/>
        </w:rPr>
        <w:t xml:space="preserve">It is a standardized power measurement and control API for </w:t>
      </w:r>
      <w:proofErr w:type="spellStart"/>
      <w:r w:rsidR="001637E3" w:rsidRPr="00FF3FEE">
        <w:rPr>
          <w:i/>
        </w:rPr>
        <w:t>exascale</w:t>
      </w:r>
      <w:proofErr w:type="spellEnd"/>
      <w:r w:rsidR="001637E3" w:rsidRPr="00FF3FEE">
        <w:rPr>
          <w:i/>
        </w:rPr>
        <w:t xml:space="preserve"> systems.</w:t>
      </w:r>
      <w:r w:rsidR="001F3AE3" w:rsidRPr="00FF3FEE">
        <w:rPr>
          <w:i/>
        </w:rPr>
        <w:t xml:space="preserve"> It enables high-frequency measurement and </w:t>
      </w:r>
      <w:r w:rsidR="00356920">
        <w:rPr>
          <w:i/>
        </w:rPr>
        <w:t>i</w:t>
      </w:r>
      <w:r w:rsidR="001F3AE3" w:rsidRPr="00FF3FEE">
        <w:rPr>
          <w:i/>
        </w:rPr>
        <w:t xml:space="preserve">t includes a rich </w:t>
      </w:r>
      <w:r w:rsidR="00356920">
        <w:rPr>
          <w:i/>
        </w:rPr>
        <w:t xml:space="preserve">and granular level metrics </w:t>
      </w:r>
      <w:r w:rsidR="001F3AE3" w:rsidRPr="00FF3FEE">
        <w:rPr>
          <w:i/>
        </w:rPr>
        <w:t>gathering interface</w:t>
      </w:r>
      <w:r w:rsidR="001F3AE3" w:rsidRPr="00FF3FEE">
        <w:rPr>
          <w:rFonts w:ascii="TisaPro" w:hAnsi="TisaPro" w:cs="TisaPro"/>
          <w:i/>
          <w:sz w:val="18"/>
          <w:szCs w:val="18"/>
        </w:rPr>
        <w:t xml:space="preserve">  </w:t>
      </w:r>
      <w:r w:rsidR="001F3AE3" w:rsidRPr="00FF3FEE">
        <w:rPr>
          <w:i/>
        </w:rPr>
        <w:t xml:space="preserve">and </w:t>
      </w:r>
      <w:r w:rsidR="00356920">
        <w:rPr>
          <w:i/>
        </w:rPr>
        <w:t>i</w:t>
      </w:r>
      <w:r w:rsidR="001F3AE3" w:rsidRPr="00FF3FEE">
        <w:rPr>
          <w:i/>
        </w:rPr>
        <w:t xml:space="preserve">t </w:t>
      </w:r>
      <w:r w:rsidR="00356920">
        <w:rPr>
          <w:i/>
        </w:rPr>
        <w:t xml:space="preserve">also </w:t>
      </w:r>
      <w:r w:rsidR="001F3AE3" w:rsidRPr="00FF3FEE">
        <w:rPr>
          <w:i/>
        </w:rPr>
        <w:t xml:space="preserve">targets diverse requirements from software vendors </w:t>
      </w:r>
      <w:r w:rsidR="001F3AE3" w:rsidRPr="00FF3FEE">
        <w:rPr>
          <w:rFonts w:ascii="TisaPro" w:hAnsi="TisaPro" w:cs="TisaPro"/>
          <w:i/>
          <w:sz w:val="18"/>
          <w:szCs w:val="18"/>
        </w:rPr>
        <w:t>.</w:t>
      </w:r>
      <w:r w:rsidR="001637E3" w:rsidRPr="00FF3FEE">
        <w:rPr>
          <w:i/>
        </w:rPr>
        <w:t>It</w:t>
      </w:r>
      <w:r w:rsidR="000A2C6D" w:rsidRPr="00FF3FEE">
        <w:rPr>
          <w:i/>
        </w:rPr>
        <w:t xml:space="preserve"> provide</w:t>
      </w:r>
      <w:r w:rsidR="00356920">
        <w:rPr>
          <w:i/>
        </w:rPr>
        <w:t>s</w:t>
      </w:r>
      <w:r w:rsidR="000A2C6D" w:rsidRPr="00FF3FEE">
        <w:rPr>
          <w:i/>
        </w:rPr>
        <w:t xml:space="preserve"> flexibility to the implementer of </w:t>
      </w:r>
      <w:r w:rsidR="001637E3" w:rsidRPr="00FF3FEE">
        <w:rPr>
          <w:i/>
        </w:rPr>
        <w:t xml:space="preserve">Power API to use wide variety of </w:t>
      </w:r>
      <w:r w:rsidR="000A2C6D" w:rsidRPr="00FF3FEE">
        <w:rPr>
          <w:i/>
        </w:rPr>
        <w:t xml:space="preserve">devices like </w:t>
      </w:r>
      <w:r w:rsidR="001822F6" w:rsidRPr="00FF3FEE">
        <w:rPr>
          <w:i/>
        </w:rPr>
        <w:t>RAPL, PAPI</w:t>
      </w:r>
      <w:r w:rsidR="003A5244" w:rsidRPr="00FF3FEE">
        <w:rPr>
          <w:i/>
        </w:rPr>
        <w:t xml:space="preserve">, </w:t>
      </w:r>
      <w:r w:rsidR="001637E3" w:rsidRPr="00FF3FEE">
        <w:rPr>
          <w:i/>
        </w:rPr>
        <w:t>Power</w:t>
      </w:r>
      <w:r w:rsidR="003A5244" w:rsidRPr="00FF3FEE">
        <w:rPr>
          <w:i/>
        </w:rPr>
        <w:t xml:space="preserve"> Insight </w:t>
      </w:r>
      <w:r w:rsidR="00ED1D9E" w:rsidRPr="00FF3FEE">
        <w:rPr>
          <w:i/>
        </w:rPr>
        <w:t>etc</w:t>
      </w:r>
      <w:r w:rsidR="001637E3" w:rsidRPr="00FF3FEE">
        <w:rPr>
          <w:i/>
        </w:rPr>
        <w:t xml:space="preserve">. </w:t>
      </w:r>
      <w:r w:rsidR="001822F6" w:rsidRPr="00FF3FEE">
        <w:rPr>
          <w:i/>
        </w:rPr>
        <w:t>Redfish</w:t>
      </w:r>
      <w:r w:rsidR="003A5244" w:rsidRPr="00FF3FEE">
        <w:rPr>
          <w:i/>
        </w:rPr>
        <w:t xml:space="preserve"> </w:t>
      </w:r>
      <w:r w:rsidR="00873013" w:rsidRPr="00FF3FEE">
        <w:rPr>
          <w:i/>
        </w:rPr>
        <w:t xml:space="preserve">is a DMTF standard, built on modern tool chain (HTTPS, JSON and OData), for managing multimode server via a RESTFUL interface. </w:t>
      </w:r>
      <w:r w:rsidR="001822F6" w:rsidRPr="00FF3FEE">
        <w:rPr>
          <w:i/>
        </w:rPr>
        <w:t xml:space="preserve">By integrating </w:t>
      </w:r>
      <w:r w:rsidR="00873013" w:rsidRPr="00FF3FEE">
        <w:rPr>
          <w:i/>
        </w:rPr>
        <w:t xml:space="preserve">Power API </w:t>
      </w:r>
      <w:r w:rsidR="001822F6" w:rsidRPr="00FF3FEE">
        <w:rPr>
          <w:i/>
        </w:rPr>
        <w:t>with Redfish we strive to achieve a solution which will provide immense flexibility and portability for the implementers.</w:t>
      </w:r>
    </w:p>
    <w:p w:rsidR="001F3AE3" w:rsidRPr="001F3AE3" w:rsidRDefault="001F3AE3" w:rsidP="001F3AE3">
      <w:pPr>
        <w:autoSpaceDE w:val="0"/>
        <w:autoSpaceDN w:val="0"/>
        <w:adjustRightInd w:val="0"/>
        <w:spacing w:after="0" w:line="240" w:lineRule="auto"/>
        <w:rPr>
          <w:rFonts w:ascii="TisaPro" w:hAnsi="TisaPro" w:cs="TisaPro"/>
          <w:sz w:val="18"/>
          <w:szCs w:val="18"/>
        </w:rPr>
      </w:pPr>
    </w:p>
    <w:p w:rsidR="00A27579" w:rsidRDefault="00EC3486" w:rsidP="001B092C">
      <w:pPr>
        <w:pStyle w:val="hpHeading1"/>
      </w:pPr>
      <w:r w:rsidRPr="00321303">
        <w:t>Problem statement</w:t>
      </w:r>
      <w:bookmarkStart w:id="0" w:name="_GoBack"/>
      <w:bookmarkEnd w:id="0"/>
    </w:p>
    <w:p w:rsidR="00037CB1" w:rsidRDefault="00CB2CFC" w:rsidP="00EC3486">
      <w:r>
        <w:t xml:space="preserve">Though </w:t>
      </w:r>
      <w:r w:rsidR="00E72098">
        <w:t xml:space="preserve">Power API currently supports </w:t>
      </w:r>
      <w:r w:rsidR="00356920">
        <w:t>a wide spectrum of devices</w:t>
      </w:r>
      <w:r w:rsidR="00E72098">
        <w:t xml:space="preserve"> but most of them are proprietary</w:t>
      </w:r>
      <w:r w:rsidR="00852B6D">
        <w:t xml:space="preserve"> </w:t>
      </w:r>
      <w:r w:rsidR="00534144">
        <w:t>and not</w:t>
      </w:r>
      <w:r w:rsidR="003924C9">
        <w:t xml:space="preserve"> hardware agnostic.</w:t>
      </w:r>
      <w:r w:rsidR="005B1563">
        <w:t xml:space="preserve"> </w:t>
      </w:r>
      <w:r w:rsidR="004E6EE7">
        <w:t xml:space="preserve">Redfish is an open </w:t>
      </w:r>
      <w:r w:rsidR="00D27822">
        <w:t xml:space="preserve">standard and </w:t>
      </w:r>
      <w:r w:rsidR="004E6EE7">
        <w:t xml:space="preserve">is vendor neutral </w:t>
      </w:r>
      <w:r w:rsidR="00D27822">
        <w:t xml:space="preserve">is expected to be a mandate for all the </w:t>
      </w:r>
      <w:r w:rsidR="00356920">
        <w:t>hardware</w:t>
      </w:r>
      <w:r w:rsidR="00D27822">
        <w:t xml:space="preserve"> being used by large accounts like Federal/National labs</w:t>
      </w:r>
      <w:r w:rsidR="004E6EE7">
        <w:t xml:space="preserve"> in near future</w:t>
      </w:r>
      <w:r w:rsidR="00D27822">
        <w:t>.</w:t>
      </w:r>
      <w:r w:rsidR="004E6EE7">
        <w:t xml:space="preserve"> Redfish can be supported by wide variety of devices starting from chi</w:t>
      </w:r>
      <w:r w:rsidR="001637E3">
        <w:t xml:space="preserve">psets to servers. </w:t>
      </w:r>
      <w:r w:rsidR="00137300">
        <w:t xml:space="preserve">Power API offers both in-band and out-of-band communication with devices which reduces </w:t>
      </w:r>
      <w:r w:rsidR="00037CB1">
        <w:t xml:space="preserve">stealing the CPU cycles. </w:t>
      </w:r>
    </w:p>
    <w:p w:rsidR="00EC3486" w:rsidRDefault="001B092C" w:rsidP="00EC3486">
      <w:r>
        <w:t xml:space="preserve">System wide power management in a cluster is a tedious task, however using Power API the power management of the entire cluster could be done from a single point. All the desired power configurations can be pushed by an agent to the individual </w:t>
      </w:r>
      <w:r w:rsidR="00356920">
        <w:t>R</w:t>
      </w:r>
      <w:r>
        <w:t xml:space="preserve">edfish compliant devices in a seamless way. </w:t>
      </w:r>
    </w:p>
    <w:p w:rsidR="00EC3486" w:rsidRDefault="00240106" w:rsidP="00EC3486">
      <w:pPr>
        <w:pStyle w:val="hpHeading1"/>
      </w:pPr>
      <w:r>
        <w:t>Our solution</w:t>
      </w:r>
    </w:p>
    <w:p w:rsidR="00AF0D42" w:rsidRPr="00AF0D42" w:rsidRDefault="00AF0D42" w:rsidP="00AF0D42">
      <w:r>
        <w:t xml:space="preserve">Power API core features are exposed to the various clients looking for Power Management across small or large cluster. </w:t>
      </w:r>
      <w:r w:rsidR="007C19F7">
        <w:t xml:space="preserve">A device plugin is developed, in current scenario Redfish plugin, which communicates between Power API and the master node. This master node talks to the underlying servers which conforms to Redfish Standard. </w:t>
      </w:r>
      <w:r w:rsidR="006D76F7">
        <w:t>[</w:t>
      </w:r>
      <w:r w:rsidR="007C19F7">
        <w:t>Refer Figure 1 for Reference Implementation of the same.</w:t>
      </w:r>
      <w:r w:rsidR="006D76F7">
        <w:t>]</w:t>
      </w:r>
      <w:r w:rsidR="007C19F7">
        <w:t xml:space="preserve"> </w:t>
      </w:r>
    </w:p>
    <w:p w:rsidR="00EC3486" w:rsidRDefault="00AF0D42" w:rsidP="00EC3486">
      <w:r>
        <w:rPr>
          <w:noProof/>
        </w:rPr>
        <w:lastRenderedPageBreak/>
        <w:drawing>
          <wp:inline distT="0" distB="0" distL="0" distR="0">
            <wp:extent cx="6028267"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3911" cy="3394075"/>
                    </a:xfrm>
                    <a:prstGeom prst="rect">
                      <a:avLst/>
                    </a:prstGeom>
                    <a:noFill/>
                    <a:ln>
                      <a:noFill/>
                    </a:ln>
                  </pic:spPr>
                </pic:pic>
              </a:graphicData>
            </a:graphic>
          </wp:inline>
        </w:drawing>
      </w:r>
    </w:p>
    <w:tbl>
      <w:tblPr>
        <w:tblW w:w="0" w:type="auto"/>
        <w:jc w:val="center"/>
        <w:tblLayout w:type="fixed"/>
        <w:tblCellMar>
          <w:left w:w="0" w:type="dxa"/>
          <w:right w:w="0" w:type="dxa"/>
        </w:tblCellMar>
        <w:tblLook w:val="01E0" w:firstRow="1" w:lastRow="1" w:firstColumn="1" w:lastColumn="1" w:noHBand="0" w:noVBand="0"/>
      </w:tblPr>
      <w:tblGrid>
        <w:gridCol w:w="3593"/>
      </w:tblGrid>
      <w:tr w:rsidR="00AF0D42" w:rsidTr="00AF0D42">
        <w:trPr>
          <w:trHeight w:hRule="exact" w:val="315"/>
          <w:jc w:val="center"/>
        </w:trPr>
        <w:tc>
          <w:tcPr>
            <w:tcW w:w="3593" w:type="dxa"/>
            <w:tcBorders>
              <w:top w:val="nil"/>
              <w:left w:val="nil"/>
              <w:bottom w:val="nil"/>
              <w:right w:val="nil"/>
            </w:tcBorders>
          </w:tcPr>
          <w:p w:rsidR="00AF0D42" w:rsidRDefault="00AF0D42" w:rsidP="00AF0D42">
            <w:pPr>
              <w:pStyle w:val="TableParagraph"/>
              <w:spacing w:before="73"/>
              <w:ind w:left="55"/>
              <w:jc w:val="right"/>
              <w:rPr>
                <w:rFonts w:ascii="Times New Roman" w:eastAsia="Times New Roman" w:hAnsi="Times New Roman" w:cs="Times New Roman"/>
                <w:sz w:val="20"/>
                <w:szCs w:val="20"/>
              </w:rPr>
            </w:pPr>
            <w:r>
              <w:rPr>
                <w:rFonts w:ascii="Times New Roman"/>
                <w:i/>
                <w:sz w:val="20"/>
              </w:rPr>
              <w:t>Figure-1:</w:t>
            </w:r>
            <w:r>
              <w:rPr>
                <w:rFonts w:ascii="Times New Roman"/>
                <w:i/>
                <w:spacing w:val="-6"/>
                <w:sz w:val="20"/>
              </w:rPr>
              <w:t xml:space="preserve"> Reference Implementation</w:t>
            </w:r>
          </w:p>
        </w:tc>
      </w:tr>
      <w:tr w:rsidR="007C19F7" w:rsidTr="00AF0D42">
        <w:trPr>
          <w:trHeight w:hRule="exact" w:val="315"/>
          <w:jc w:val="center"/>
        </w:trPr>
        <w:tc>
          <w:tcPr>
            <w:tcW w:w="3593" w:type="dxa"/>
            <w:tcBorders>
              <w:top w:val="nil"/>
              <w:left w:val="nil"/>
              <w:bottom w:val="nil"/>
              <w:right w:val="nil"/>
            </w:tcBorders>
          </w:tcPr>
          <w:p w:rsidR="007C19F7" w:rsidRDefault="007C19F7" w:rsidP="00AF0D42">
            <w:pPr>
              <w:pStyle w:val="TableParagraph"/>
              <w:spacing w:before="73"/>
              <w:ind w:left="55"/>
              <w:jc w:val="right"/>
              <w:rPr>
                <w:rFonts w:ascii="Times New Roman"/>
                <w:i/>
                <w:sz w:val="20"/>
              </w:rPr>
            </w:pPr>
          </w:p>
        </w:tc>
      </w:tr>
      <w:tr w:rsidR="00AF0D42" w:rsidTr="00AF0D42">
        <w:trPr>
          <w:trHeight w:hRule="exact" w:val="315"/>
          <w:jc w:val="center"/>
        </w:trPr>
        <w:tc>
          <w:tcPr>
            <w:tcW w:w="3593" w:type="dxa"/>
            <w:tcBorders>
              <w:top w:val="nil"/>
              <w:left w:val="nil"/>
              <w:bottom w:val="nil"/>
              <w:right w:val="nil"/>
            </w:tcBorders>
          </w:tcPr>
          <w:p w:rsidR="00AF0D42" w:rsidRDefault="00AF0D42" w:rsidP="00AF0D42">
            <w:pPr>
              <w:pStyle w:val="TableParagraph"/>
              <w:spacing w:line="219" w:lineRule="exact"/>
              <w:rPr>
                <w:rFonts w:ascii="Times New Roman" w:eastAsia="Times New Roman" w:hAnsi="Times New Roman" w:cs="Times New Roman"/>
                <w:sz w:val="20"/>
                <w:szCs w:val="20"/>
              </w:rPr>
            </w:pPr>
          </w:p>
        </w:tc>
      </w:tr>
    </w:tbl>
    <w:p w:rsidR="006D76F7" w:rsidRDefault="006D76F7" w:rsidP="00EC3486">
      <w:r>
        <w:t>Refer Figure -2 for Schematic flow of our Implementation. In the figure we have three main entities. 1) Power API exposed to user interface and which can talk to redfish plugins  2) Redfish Plugin which can talk to underlying redfish complain</w:t>
      </w:r>
      <w:r w:rsidR="007D52E1">
        <w:t xml:space="preserve">t systems via Redfish agents </w:t>
      </w:r>
      <w:r w:rsidR="00B42832">
        <w:t>and</w:t>
      </w:r>
      <w:r>
        <w:t xml:space="preserve"> it can talk to multiple agents 3) Redfish Agents which is light weight daemon listening over TCP/IP . It receives node, device and attributes information from the plugin and converts the received information into REST URI’s. It can also talk to local machine via </w:t>
      </w:r>
      <w:r w:rsidR="00B42832">
        <w:t>a</w:t>
      </w:r>
      <w:r>
        <w:t xml:space="preserve"> channel interface driver (in-ba</w:t>
      </w:r>
      <w:r w:rsidR="00490F43">
        <w:t>n</w:t>
      </w:r>
      <w:r>
        <w:t xml:space="preserve">d) </w:t>
      </w:r>
      <w:r w:rsidR="00490F43">
        <w:t>and remo</w:t>
      </w:r>
      <w:r w:rsidR="005F1910">
        <w:t xml:space="preserve">te machine securely over HTTPS </w:t>
      </w:r>
      <w:r w:rsidR="00490F43">
        <w:t>(out-of-band).</w:t>
      </w:r>
    </w:p>
    <w:p w:rsidR="00395F96" w:rsidRPr="00395F96" w:rsidRDefault="00395F96" w:rsidP="00EC3486">
      <w:r>
        <w:t xml:space="preserve">A connection is initialized with an agent and a session is created. Power API opens the connection and send the node and device information to </w:t>
      </w:r>
      <w:r w:rsidR="00B42832">
        <w:t>desired</w:t>
      </w:r>
      <w:r>
        <w:t xml:space="preserve"> agent. </w:t>
      </w:r>
      <w:r>
        <w:rPr>
          <w:b/>
        </w:rPr>
        <w:t xml:space="preserve"> </w:t>
      </w:r>
      <w:r>
        <w:t xml:space="preserve">The plugin makes the read call for attributes like voltage, power, </w:t>
      </w:r>
      <w:r w:rsidR="003E7300">
        <w:t>and temperature</w:t>
      </w:r>
      <w:r>
        <w:t xml:space="preserve"> to an agent to read from </w:t>
      </w:r>
      <w:r w:rsidR="003E7300">
        <w:t>I</w:t>
      </w:r>
      <w:r>
        <w:t>L</w:t>
      </w:r>
      <w:r w:rsidR="003E7300">
        <w:t>O</w:t>
      </w:r>
      <w:r w:rsidR="00B42832">
        <w:t xml:space="preserve"> (In the case of HPE Servers)</w:t>
      </w:r>
      <w:r>
        <w:t xml:space="preserve"> for the corresponding device.</w:t>
      </w:r>
      <w:r w:rsidR="00D0333E">
        <w:t xml:space="preserve"> The result </w:t>
      </w:r>
      <w:r w:rsidR="00B41C66">
        <w:t>is sent back from an agent to plugin and finally session is closed.</w:t>
      </w:r>
    </w:p>
    <w:p w:rsidR="007C19F7" w:rsidRDefault="00796219" w:rsidP="00EC3486">
      <w:r>
        <w:rPr>
          <w:noProof/>
        </w:rPr>
        <w:lastRenderedPageBreak/>
        <w:drawing>
          <wp:inline distT="0" distB="0" distL="0" distR="0">
            <wp:extent cx="59436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tbl>
      <w:tblPr>
        <w:tblW w:w="0" w:type="auto"/>
        <w:jc w:val="center"/>
        <w:tblLayout w:type="fixed"/>
        <w:tblCellMar>
          <w:left w:w="0" w:type="dxa"/>
          <w:right w:w="0" w:type="dxa"/>
        </w:tblCellMar>
        <w:tblLook w:val="01E0" w:firstRow="1" w:lastRow="1" w:firstColumn="1" w:lastColumn="1" w:noHBand="0" w:noVBand="0"/>
      </w:tblPr>
      <w:tblGrid>
        <w:gridCol w:w="3593"/>
      </w:tblGrid>
      <w:tr w:rsidR="006D76F7" w:rsidTr="00661C7E">
        <w:trPr>
          <w:trHeight w:hRule="exact" w:val="315"/>
          <w:jc w:val="center"/>
        </w:trPr>
        <w:tc>
          <w:tcPr>
            <w:tcW w:w="3593" w:type="dxa"/>
            <w:tcBorders>
              <w:top w:val="nil"/>
              <w:left w:val="nil"/>
              <w:bottom w:val="nil"/>
              <w:right w:val="nil"/>
            </w:tcBorders>
          </w:tcPr>
          <w:p w:rsidR="006D76F7" w:rsidRDefault="006D76F7" w:rsidP="00D4547B">
            <w:pPr>
              <w:pStyle w:val="TableParagraph"/>
              <w:spacing w:before="73"/>
              <w:ind w:left="55"/>
              <w:rPr>
                <w:rFonts w:ascii="Times New Roman" w:eastAsia="Times New Roman" w:hAnsi="Times New Roman" w:cs="Times New Roman"/>
                <w:sz w:val="20"/>
                <w:szCs w:val="20"/>
              </w:rPr>
            </w:pPr>
            <w:r>
              <w:rPr>
                <w:rFonts w:ascii="Times New Roman"/>
                <w:i/>
                <w:sz w:val="20"/>
              </w:rPr>
              <w:t>Figure-2:</w:t>
            </w:r>
            <w:r>
              <w:rPr>
                <w:rFonts w:ascii="Times New Roman"/>
                <w:i/>
                <w:spacing w:val="-6"/>
                <w:sz w:val="20"/>
              </w:rPr>
              <w:t>Schematic Workflow</w:t>
            </w:r>
          </w:p>
        </w:tc>
      </w:tr>
      <w:tr w:rsidR="006D76F7" w:rsidTr="00661C7E">
        <w:trPr>
          <w:trHeight w:hRule="exact" w:val="315"/>
          <w:jc w:val="center"/>
        </w:trPr>
        <w:tc>
          <w:tcPr>
            <w:tcW w:w="3593" w:type="dxa"/>
            <w:tcBorders>
              <w:top w:val="nil"/>
              <w:left w:val="nil"/>
              <w:bottom w:val="nil"/>
              <w:right w:val="nil"/>
            </w:tcBorders>
          </w:tcPr>
          <w:p w:rsidR="006D76F7" w:rsidRDefault="006D76F7" w:rsidP="00661C7E">
            <w:pPr>
              <w:pStyle w:val="TableParagraph"/>
              <w:spacing w:before="73"/>
              <w:ind w:left="55"/>
              <w:jc w:val="right"/>
              <w:rPr>
                <w:rFonts w:ascii="Times New Roman"/>
                <w:i/>
                <w:sz w:val="20"/>
              </w:rPr>
            </w:pPr>
          </w:p>
        </w:tc>
      </w:tr>
      <w:tr w:rsidR="006D76F7" w:rsidTr="00661C7E">
        <w:trPr>
          <w:trHeight w:hRule="exact" w:val="315"/>
          <w:jc w:val="center"/>
        </w:trPr>
        <w:tc>
          <w:tcPr>
            <w:tcW w:w="3593" w:type="dxa"/>
            <w:tcBorders>
              <w:top w:val="nil"/>
              <w:left w:val="nil"/>
              <w:bottom w:val="nil"/>
              <w:right w:val="nil"/>
            </w:tcBorders>
          </w:tcPr>
          <w:p w:rsidR="006D76F7" w:rsidRDefault="006D76F7" w:rsidP="00661C7E">
            <w:pPr>
              <w:pStyle w:val="TableParagraph"/>
              <w:spacing w:line="219" w:lineRule="exact"/>
              <w:rPr>
                <w:rFonts w:ascii="Times New Roman" w:eastAsia="Times New Roman" w:hAnsi="Times New Roman" w:cs="Times New Roman"/>
                <w:sz w:val="20"/>
                <w:szCs w:val="20"/>
              </w:rPr>
            </w:pPr>
          </w:p>
        </w:tc>
      </w:tr>
    </w:tbl>
    <w:p w:rsidR="00A239C8" w:rsidRDefault="00C96F0A" w:rsidP="00A239C8">
      <w:pPr>
        <w:pStyle w:val="hpHeading1"/>
      </w:pPr>
      <w:r>
        <w:t>Current status</w:t>
      </w:r>
    </w:p>
    <w:p w:rsidR="009129C1" w:rsidRDefault="009129C1" w:rsidP="009129C1">
      <w:pPr>
        <w:pStyle w:val="hpBody"/>
        <w:rPr>
          <w:spacing w:val="-1"/>
          <w:szCs w:val="22"/>
        </w:rPr>
      </w:pPr>
      <w:r w:rsidRPr="0011548D">
        <w:rPr>
          <w:spacing w:val="-1"/>
          <w:szCs w:val="22"/>
        </w:rPr>
        <w:t>The initial prototype has been developed and currently the tool</w:t>
      </w:r>
      <w:r w:rsidR="00D0333E">
        <w:rPr>
          <w:spacing w:val="-1"/>
          <w:szCs w:val="22"/>
        </w:rPr>
        <w:t xml:space="preserve"> can query some</w:t>
      </w:r>
      <w:r>
        <w:rPr>
          <w:spacing w:val="-1"/>
          <w:szCs w:val="22"/>
        </w:rPr>
        <w:t xml:space="preserve"> of the attributes related to temperature and power</w:t>
      </w:r>
      <w:r w:rsidRPr="0011548D">
        <w:rPr>
          <w:spacing w:val="-1"/>
          <w:szCs w:val="22"/>
        </w:rPr>
        <w:t>.</w:t>
      </w:r>
      <w:r w:rsidR="0005768E">
        <w:rPr>
          <w:spacing w:val="-1"/>
          <w:szCs w:val="22"/>
        </w:rPr>
        <w:t xml:space="preserve"> </w:t>
      </w:r>
      <w:r w:rsidR="00D0333E">
        <w:rPr>
          <w:spacing w:val="-1"/>
          <w:szCs w:val="22"/>
        </w:rPr>
        <w:t xml:space="preserve">Power API is </w:t>
      </w:r>
      <w:r w:rsidR="00561D7C">
        <w:rPr>
          <w:spacing w:val="-1"/>
          <w:szCs w:val="22"/>
        </w:rPr>
        <w:t xml:space="preserve">also </w:t>
      </w:r>
      <w:r w:rsidR="00D0333E">
        <w:rPr>
          <w:spacing w:val="-1"/>
          <w:szCs w:val="22"/>
        </w:rPr>
        <w:t>integrated with the monitoring tool</w:t>
      </w:r>
      <w:r>
        <w:rPr>
          <w:spacing w:val="-1"/>
          <w:szCs w:val="22"/>
        </w:rPr>
        <w:t xml:space="preserve"> called Ganglia. For further enhancements we are collaborati</w:t>
      </w:r>
      <w:r w:rsidRPr="0011548D">
        <w:rPr>
          <w:spacing w:val="-1"/>
          <w:szCs w:val="22"/>
        </w:rPr>
        <w:t xml:space="preserve">ng </w:t>
      </w:r>
      <w:r>
        <w:rPr>
          <w:spacing w:val="-1"/>
          <w:szCs w:val="22"/>
        </w:rPr>
        <w:t xml:space="preserve">with Sandia Labs. </w:t>
      </w:r>
      <w:r w:rsidR="00561D7C">
        <w:rPr>
          <w:spacing w:val="-1"/>
          <w:szCs w:val="22"/>
        </w:rPr>
        <w:t>Currently</w:t>
      </w:r>
      <w:r>
        <w:rPr>
          <w:spacing w:val="-1"/>
          <w:szCs w:val="22"/>
        </w:rPr>
        <w:t xml:space="preserve"> we are working towards s</w:t>
      </w:r>
      <w:r w:rsidR="00D0333E">
        <w:rPr>
          <w:spacing w:val="-1"/>
          <w:szCs w:val="22"/>
        </w:rPr>
        <w:t>etting up a Test Bed for measuring</w:t>
      </w:r>
      <w:r>
        <w:rPr>
          <w:spacing w:val="-1"/>
          <w:szCs w:val="22"/>
        </w:rPr>
        <w:t xml:space="preserve"> different factors like Latency and accuracy. </w:t>
      </w:r>
    </w:p>
    <w:p w:rsidR="00887E90" w:rsidRDefault="00887E90" w:rsidP="009129C1">
      <w:pPr>
        <w:pStyle w:val="hpBody"/>
        <w:rPr>
          <w:spacing w:val="-1"/>
          <w:szCs w:val="22"/>
        </w:rPr>
      </w:pPr>
    </w:p>
    <w:p w:rsidR="00CB6C4C" w:rsidRDefault="00D204F4" w:rsidP="009129C1">
      <w:pPr>
        <w:pStyle w:val="hpBody"/>
        <w:rPr>
          <w:spacing w:val="-1"/>
          <w:szCs w:val="22"/>
        </w:rPr>
      </w:pPr>
      <w:r>
        <w:rPr>
          <w:noProof/>
          <w:spacing w:val="-1"/>
          <w:szCs w:val="22"/>
        </w:rPr>
        <w:drawing>
          <wp:inline distT="0" distB="0" distL="0" distR="0">
            <wp:extent cx="5935980" cy="1866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866900"/>
                    </a:xfrm>
                    <a:prstGeom prst="rect">
                      <a:avLst/>
                    </a:prstGeom>
                    <a:noFill/>
                    <a:ln>
                      <a:noFill/>
                    </a:ln>
                  </pic:spPr>
                </pic:pic>
              </a:graphicData>
            </a:graphic>
          </wp:inline>
        </w:drawing>
      </w:r>
    </w:p>
    <w:tbl>
      <w:tblPr>
        <w:tblW w:w="0" w:type="auto"/>
        <w:tblInd w:w="2892" w:type="dxa"/>
        <w:tblLayout w:type="fixed"/>
        <w:tblCellMar>
          <w:left w:w="0" w:type="dxa"/>
          <w:right w:w="0" w:type="dxa"/>
        </w:tblCellMar>
        <w:tblLook w:val="01E0" w:firstRow="1" w:lastRow="1" w:firstColumn="1" w:lastColumn="1" w:noHBand="0" w:noVBand="0"/>
      </w:tblPr>
      <w:tblGrid>
        <w:gridCol w:w="3593"/>
      </w:tblGrid>
      <w:tr w:rsidR="009935C1" w:rsidTr="005E7121">
        <w:trPr>
          <w:trHeight w:hRule="exact" w:val="315"/>
        </w:trPr>
        <w:tc>
          <w:tcPr>
            <w:tcW w:w="3593" w:type="dxa"/>
            <w:tcBorders>
              <w:top w:val="nil"/>
              <w:left w:val="nil"/>
              <w:bottom w:val="nil"/>
              <w:right w:val="nil"/>
            </w:tcBorders>
          </w:tcPr>
          <w:p w:rsidR="009935C1" w:rsidRDefault="009935C1" w:rsidP="00C76F9B">
            <w:pPr>
              <w:pStyle w:val="TableParagraph"/>
              <w:spacing w:before="73"/>
              <w:ind w:left="55"/>
              <w:rPr>
                <w:rFonts w:ascii="Times New Roman" w:eastAsia="Times New Roman" w:hAnsi="Times New Roman" w:cs="Times New Roman"/>
                <w:sz w:val="20"/>
                <w:szCs w:val="20"/>
              </w:rPr>
            </w:pPr>
            <w:r>
              <w:rPr>
                <w:rFonts w:ascii="Times New Roman"/>
                <w:i/>
                <w:sz w:val="20"/>
              </w:rPr>
              <w:t>Figure-3: Textual output</w:t>
            </w:r>
          </w:p>
        </w:tc>
      </w:tr>
      <w:tr w:rsidR="009935C1" w:rsidTr="005E7121">
        <w:trPr>
          <w:trHeight w:hRule="exact" w:val="315"/>
        </w:trPr>
        <w:tc>
          <w:tcPr>
            <w:tcW w:w="3593" w:type="dxa"/>
            <w:tcBorders>
              <w:top w:val="nil"/>
              <w:left w:val="nil"/>
              <w:bottom w:val="nil"/>
              <w:right w:val="nil"/>
            </w:tcBorders>
          </w:tcPr>
          <w:p w:rsidR="009935C1" w:rsidRDefault="009935C1" w:rsidP="00C76F9B">
            <w:pPr>
              <w:pStyle w:val="TableParagraph"/>
              <w:spacing w:before="73"/>
              <w:ind w:left="55"/>
              <w:jc w:val="right"/>
              <w:rPr>
                <w:rFonts w:ascii="Times New Roman"/>
                <w:i/>
                <w:sz w:val="20"/>
              </w:rPr>
            </w:pPr>
          </w:p>
        </w:tc>
      </w:tr>
      <w:tr w:rsidR="009935C1" w:rsidTr="005E7121">
        <w:trPr>
          <w:trHeight w:hRule="exact" w:val="315"/>
        </w:trPr>
        <w:tc>
          <w:tcPr>
            <w:tcW w:w="3593" w:type="dxa"/>
            <w:tcBorders>
              <w:top w:val="nil"/>
              <w:left w:val="nil"/>
              <w:bottom w:val="nil"/>
              <w:right w:val="nil"/>
            </w:tcBorders>
          </w:tcPr>
          <w:p w:rsidR="009935C1" w:rsidRDefault="009935C1" w:rsidP="00C76F9B">
            <w:pPr>
              <w:pStyle w:val="TableParagraph"/>
              <w:spacing w:line="219" w:lineRule="exact"/>
              <w:rPr>
                <w:rFonts w:ascii="Times New Roman" w:eastAsia="Times New Roman" w:hAnsi="Times New Roman" w:cs="Times New Roman"/>
                <w:sz w:val="20"/>
                <w:szCs w:val="20"/>
              </w:rPr>
            </w:pPr>
          </w:p>
        </w:tc>
      </w:tr>
    </w:tbl>
    <w:p w:rsidR="00CB6C4C" w:rsidRDefault="00CB6C4C" w:rsidP="009129C1">
      <w:pPr>
        <w:pStyle w:val="hpBody"/>
        <w:rPr>
          <w:spacing w:val="-1"/>
          <w:szCs w:val="22"/>
        </w:rPr>
      </w:pPr>
    </w:p>
    <w:tbl>
      <w:tblPr>
        <w:tblpPr w:leftFromText="180" w:rightFromText="180" w:vertAnchor="text" w:horzAnchor="page" w:tblpX="4009" w:tblpY="3241"/>
        <w:tblW w:w="0" w:type="auto"/>
        <w:tblLayout w:type="fixed"/>
        <w:tblCellMar>
          <w:left w:w="0" w:type="dxa"/>
          <w:right w:w="0" w:type="dxa"/>
        </w:tblCellMar>
        <w:tblLook w:val="01E0" w:firstRow="1" w:lastRow="1" w:firstColumn="1" w:lastColumn="1" w:noHBand="0" w:noVBand="0"/>
      </w:tblPr>
      <w:tblGrid>
        <w:gridCol w:w="3593"/>
      </w:tblGrid>
      <w:tr w:rsidR="009935C1" w:rsidTr="005E7121">
        <w:trPr>
          <w:trHeight w:hRule="exact" w:val="315"/>
        </w:trPr>
        <w:tc>
          <w:tcPr>
            <w:tcW w:w="3593" w:type="dxa"/>
            <w:tcBorders>
              <w:top w:val="nil"/>
              <w:left w:val="nil"/>
              <w:bottom w:val="nil"/>
              <w:right w:val="nil"/>
            </w:tcBorders>
          </w:tcPr>
          <w:p w:rsidR="009935C1" w:rsidRDefault="009935C1" w:rsidP="006856C6">
            <w:pPr>
              <w:pStyle w:val="TableParagraph"/>
              <w:spacing w:before="73"/>
              <w:ind w:left="55"/>
              <w:rPr>
                <w:rFonts w:ascii="Times New Roman" w:eastAsia="Times New Roman" w:hAnsi="Times New Roman" w:cs="Times New Roman"/>
                <w:sz w:val="20"/>
                <w:szCs w:val="20"/>
              </w:rPr>
            </w:pPr>
            <w:r>
              <w:rPr>
                <w:rFonts w:ascii="Times New Roman"/>
                <w:i/>
                <w:sz w:val="20"/>
              </w:rPr>
              <w:lastRenderedPageBreak/>
              <w:t>Figure-4:Ganglia Interface</w:t>
            </w:r>
          </w:p>
        </w:tc>
      </w:tr>
      <w:tr w:rsidR="009935C1" w:rsidTr="005E7121">
        <w:trPr>
          <w:trHeight w:hRule="exact" w:val="315"/>
        </w:trPr>
        <w:tc>
          <w:tcPr>
            <w:tcW w:w="3593" w:type="dxa"/>
            <w:tcBorders>
              <w:top w:val="nil"/>
              <w:left w:val="nil"/>
              <w:bottom w:val="nil"/>
              <w:right w:val="nil"/>
            </w:tcBorders>
          </w:tcPr>
          <w:p w:rsidR="009935C1" w:rsidRDefault="009935C1" w:rsidP="006856C6">
            <w:pPr>
              <w:pStyle w:val="TableParagraph"/>
              <w:spacing w:before="73"/>
              <w:ind w:left="55"/>
              <w:jc w:val="right"/>
              <w:rPr>
                <w:rFonts w:ascii="Times New Roman"/>
                <w:i/>
                <w:sz w:val="20"/>
              </w:rPr>
            </w:pPr>
          </w:p>
        </w:tc>
      </w:tr>
      <w:tr w:rsidR="009935C1" w:rsidTr="005E7121">
        <w:trPr>
          <w:trHeight w:hRule="exact" w:val="315"/>
        </w:trPr>
        <w:tc>
          <w:tcPr>
            <w:tcW w:w="3593" w:type="dxa"/>
            <w:tcBorders>
              <w:top w:val="nil"/>
              <w:left w:val="nil"/>
              <w:bottom w:val="nil"/>
              <w:right w:val="nil"/>
            </w:tcBorders>
          </w:tcPr>
          <w:p w:rsidR="009935C1" w:rsidRDefault="009935C1" w:rsidP="006856C6">
            <w:pPr>
              <w:pStyle w:val="TableParagraph"/>
              <w:spacing w:line="219" w:lineRule="exact"/>
              <w:rPr>
                <w:rFonts w:ascii="Times New Roman" w:eastAsia="Times New Roman" w:hAnsi="Times New Roman" w:cs="Times New Roman"/>
                <w:sz w:val="20"/>
                <w:szCs w:val="20"/>
              </w:rPr>
            </w:pPr>
          </w:p>
        </w:tc>
      </w:tr>
    </w:tbl>
    <w:p w:rsidR="003E4424" w:rsidRPr="00321303" w:rsidRDefault="003E4424" w:rsidP="009129C1">
      <w:pPr>
        <w:pStyle w:val="hpBody"/>
      </w:pPr>
      <w:r>
        <w:rPr>
          <w:noProof/>
        </w:rPr>
        <w:drawing>
          <wp:inline distT="0" distB="0" distL="0" distR="0">
            <wp:extent cx="5935980" cy="19964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996440"/>
                    </a:xfrm>
                    <a:prstGeom prst="rect">
                      <a:avLst/>
                    </a:prstGeom>
                    <a:noFill/>
                    <a:ln>
                      <a:noFill/>
                    </a:ln>
                  </pic:spPr>
                </pic:pic>
              </a:graphicData>
            </a:graphic>
          </wp:inline>
        </w:drawing>
      </w:r>
    </w:p>
    <w:p w:rsidR="009935C1" w:rsidRDefault="009935C1" w:rsidP="00122005">
      <w:pPr>
        <w:pStyle w:val="hpreferences"/>
        <w:jc w:val="left"/>
      </w:pPr>
    </w:p>
    <w:p w:rsidR="006856C6" w:rsidRDefault="006856C6" w:rsidP="00122005">
      <w:pPr>
        <w:pStyle w:val="hpreferences"/>
        <w:jc w:val="left"/>
      </w:pPr>
    </w:p>
    <w:p w:rsidR="006856C6" w:rsidRDefault="006856C6" w:rsidP="00122005">
      <w:pPr>
        <w:pStyle w:val="hpreferences"/>
        <w:jc w:val="left"/>
      </w:pPr>
    </w:p>
    <w:p w:rsidR="00A239C8" w:rsidRDefault="00A239C8" w:rsidP="00122005">
      <w:pPr>
        <w:pStyle w:val="hpreferences"/>
        <w:jc w:val="left"/>
      </w:pPr>
      <w:r>
        <w:t>References</w:t>
      </w:r>
    </w:p>
    <w:p w:rsidR="00A239C8" w:rsidRDefault="000B6F41" w:rsidP="00EC3486">
      <w:r>
        <w:t xml:space="preserve">[1] </w:t>
      </w:r>
      <w:hyperlink r:id="rId11" w:history="1">
        <w:r w:rsidRPr="00CF591B">
          <w:rPr>
            <w:rStyle w:val="Hyperlink"/>
          </w:rPr>
          <w:t>http://powerapi.sandia.gov/docs/PowerAPI_SAND_V1.4.pdf</w:t>
        </w:r>
      </w:hyperlink>
    </w:p>
    <w:p w:rsidR="000B6F41" w:rsidRDefault="000B6F41" w:rsidP="00EC3486">
      <w:r>
        <w:t xml:space="preserve">[2] </w:t>
      </w:r>
      <w:hyperlink r:id="rId12" w:history="1">
        <w:r w:rsidRPr="00CF591B">
          <w:rPr>
            <w:rStyle w:val="Hyperlink"/>
          </w:rPr>
          <w:t>http://www.sandia.gov/~jhlaros/Laros_23_PowerInsight.pdf</w:t>
        </w:r>
      </w:hyperlink>
    </w:p>
    <w:p w:rsidR="000B6F41" w:rsidRDefault="000B6F41" w:rsidP="00EC3486">
      <w:r>
        <w:t xml:space="preserve">[3] </w:t>
      </w:r>
      <w:hyperlink r:id="rId13" w:history="1">
        <w:r w:rsidRPr="00CF591B">
          <w:rPr>
            <w:rStyle w:val="Hyperlink"/>
          </w:rPr>
          <w:t>https://www.dmtf.org/standards/redfish</w:t>
        </w:r>
      </w:hyperlink>
    </w:p>
    <w:p w:rsidR="00D3427E" w:rsidRPr="00D3427E" w:rsidRDefault="00D3427E" w:rsidP="00D3427E">
      <w:pPr>
        <w:autoSpaceDE w:val="0"/>
        <w:autoSpaceDN w:val="0"/>
        <w:spacing w:after="0" w:line="240" w:lineRule="auto"/>
        <w:rPr>
          <w:rStyle w:val="Hyperlink"/>
        </w:rPr>
      </w:pPr>
      <w:r>
        <w:t xml:space="preserve">[4] </w:t>
      </w:r>
      <w:r w:rsidRPr="00D3427E">
        <w:rPr>
          <w:rStyle w:val="Hyperlink"/>
        </w:rPr>
        <w:t xml:space="preserve">http://www.sandia.gov/~jhlaros/publications/MeasuringRealPowerUsage.pdf </w:t>
      </w:r>
    </w:p>
    <w:p w:rsidR="00D3427E" w:rsidRDefault="00D3427E" w:rsidP="00D3427E">
      <w:pPr>
        <w:autoSpaceDE w:val="0"/>
        <w:autoSpaceDN w:val="0"/>
        <w:spacing w:after="0" w:line="240" w:lineRule="auto"/>
      </w:pPr>
    </w:p>
    <w:p w:rsidR="00D3427E" w:rsidRDefault="00D3427E" w:rsidP="00EC3486"/>
    <w:sectPr w:rsidR="00D3427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53E" w:rsidRDefault="0026353E" w:rsidP="00140C40">
      <w:pPr>
        <w:spacing w:after="0" w:line="240" w:lineRule="auto"/>
      </w:pPr>
      <w:r>
        <w:separator/>
      </w:r>
    </w:p>
  </w:endnote>
  <w:endnote w:type="continuationSeparator" w:id="0">
    <w:p w:rsidR="0026353E" w:rsidRDefault="0026353E" w:rsidP="00140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sa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0" w:rsidRPr="00140C40" w:rsidRDefault="00140C40">
    <w:pPr>
      <w:pStyle w:val="Footer"/>
      <w:rPr>
        <w:color w:val="AEAAAA" w:themeColor="background2" w:themeShade="BF"/>
      </w:rPr>
    </w:pPr>
    <w:r w:rsidRPr="00140C40">
      <w:rPr>
        <w:color w:val="AEAAAA" w:themeColor="background2" w:themeShade="BF"/>
        <w:sz w:val="20"/>
        <w:szCs w:val="20"/>
      </w:rPr>
      <w:t>Hewlett Packard Enterprise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53E" w:rsidRDefault="0026353E" w:rsidP="00140C40">
      <w:pPr>
        <w:spacing w:after="0" w:line="240" w:lineRule="auto"/>
      </w:pPr>
      <w:r>
        <w:separator/>
      </w:r>
    </w:p>
  </w:footnote>
  <w:footnote w:type="continuationSeparator" w:id="0">
    <w:p w:rsidR="0026353E" w:rsidRDefault="0026353E" w:rsidP="00140C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486"/>
    <w:rsid w:val="00011262"/>
    <w:rsid w:val="00037CB1"/>
    <w:rsid w:val="0005768E"/>
    <w:rsid w:val="000A2C6D"/>
    <w:rsid w:val="000B6F41"/>
    <w:rsid w:val="00122005"/>
    <w:rsid w:val="00137140"/>
    <w:rsid w:val="00137300"/>
    <w:rsid w:val="00140C40"/>
    <w:rsid w:val="001637E3"/>
    <w:rsid w:val="001822F6"/>
    <w:rsid w:val="00194040"/>
    <w:rsid w:val="001B092C"/>
    <w:rsid w:val="001F3AE3"/>
    <w:rsid w:val="00240106"/>
    <w:rsid w:val="00255114"/>
    <w:rsid w:val="0026353E"/>
    <w:rsid w:val="00310C57"/>
    <w:rsid w:val="00356920"/>
    <w:rsid w:val="003843A3"/>
    <w:rsid w:val="003924C9"/>
    <w:rsid w:val="00395F96"/>
    <w:rsid w:val="003A5244"/>
    <w:rsid w:val="003E4424"/>
    <w:rsid w:val="003E7300"/>
    <w:rsid w:val="003F31A6"/>
    <w:rsid w:val="00490F43"/>
    <w:rsid w:val="004E664C"/>
    <w:rsid w:val="004E6EE7"/>
    <w:rsid w:val="004F1E35"/>
    <w:rsid w:val="004F2450"/>
    <w:rsid w:val="00505037"/>
    <w:rsid w:val="00510D25"/>
    <w:rsid w:val="00534144"/>
    <w:rsid w:val="00561D7C"/>
    <w:rsid w:val="005A377B"/>
    <w:rsid w:val="005B1563"/>
    <w:rsid w:val="005E7121"/>
    <w:rsid w:val="005F1910"/>
    <w:rsid w:val="00660AAE"/>
    <w:rsid w:val="006856C6"/>
    <w:rsid w:val="006D76F7"/>
    <w:rsid w:val="007959F5"/>
    <w:rsid w:val="00796219"/>
    <w:rsid w:val="007C19F7"/>
    <w:rsid w:val="007C1EA6"/>
    <w:rsid w:val="007D52E1"/>
    <w:rsid w:val="007F79C2"/>
    <w:rsid w:val="0081048C"/>
    <w:rsid w:val="00852B6D"/>
    <w:rsid w:val="00873013"/>
    <w:rsid w:val="00887E90"/>
    <w:rsid w:val="009129C1"/>
    <w:rsid w:val="00941C3F"/>
    <w:rsid w:val="00974FD4"/>
    <w:rsid w:val="009935C1"/>
    <w:rsid w:val="00A239C8"/>
    <w:rsid w:val="00A269A0"/>
    <w:rsid w:val="00A27579"/>
    <w:rsid w:val="00AA3759"/>
    <w:rsid w:val="00AB7599"/>
    <w:rsid w:val="00AC4397"/>
    <w:rsid w:val="00AD49AF"/>
    <w:rsid w:val="00AE2A76"/>
    <w:rsid w:val="00AF0D42"/>
    <w:rsid w:val="00B41C66"/>
    <w:rsid w:val="00B42832"/>
    <w:rsid w:val="00C10109"/>
    <w:rsid w:val="00C25F36"/>
    <w:rsid w:val="00C96F0A"/>
    <w:rsid w:val="00CB2CFC"/>
    <w:rsid w:val="00CB6C4C"/>
    <w:rsid w:val="00CD4E5A"/>
    <w:rsid w:val="00D0333E"/>
    <w:rsid w:val="00D061FB"/>
    <w:rsid w:val="00D204F4"/>
    <w:rsid w:val="00D27822"/>
    <w:rsid w:val="00D3427E"/>
    <w:rsid w:val="00D4547B"/>
    <w:rsid w:val="00DD7E9C"/>
    <w:rsid w:val="00E72098"/>
    <w:rsid w:val="00E7590B"/>
    <w:rsid w:val="00EB51A5"/>
    <w:rsid w:val="00EB5814"/>
    <w:rsid w:val="00EC3486"/>
    <w:rsid w:val="00ED1D9E"/>
    <w:rsid w:val="00EE77E8"/>
    <w:rsid w:val="00F11D9D"/>
    <w:rsid w:val="00FC5FCB"/>
    <w:rsid w:val="00FF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766970-F6AC-4D08-9060-FF19E1DC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Paper-Title">
    <w:name w:val="_hp_Paper-Title"/>
    <w:basedOn w:val="Normal"/>
    <w:next w:val="Normal"/>
    <w:qFormat/>
    <w:rsid w:val="00EC3486"/>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autoSpaceDE w:val="0"/>
      <w:autoSpaceDN w:val="0"/>
      <w:adjustRightInd w:val="0"/>
      <w:spacing w:after="120" w:line="260" w:lineRule="atLeast"/>
      <w:jc w:val="center"/>
    </w:pPr>
    <w:rPr>
      <w:rFonts w:ascii="Arial" w:eastAsia="Times New Roman" w:hAnsi="Arial" w:cs="Arial"/>
      <w:b/>
      <w:color w:val="000000"/>
      <w:sz w:val="32"/>
      <w:szCs w:val="24"/>
    </w:rPr>
  </w:style>
  <w:style w:type="paragraph" w:customStyle="1" w:styleId="hpAuthors">
    <w:name w:val="_hp_Authors"/>
    <w:basedOn w:val="Normal"/>
    <w:qFormat/>
    <w:rsid w:val="00EC3486"/>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autoSpaceDE w:val="0"/>
      <w:autoSpaceDN w:val="0"/>
      <w:adjustRightInd w:val="0"/>
      <w:spacing w:after="120" w:line="240" w:lineRule="auto"/>
      <w:jc w:val="center"/>
    </w:pPr>
    <w:rPr>
      <w:rFonts w:ascii="Times New Roman" w:eastAsia="Times New Roman" w:hAnsi="Times New Roman" w:cs="Times New Roman"/>
      <w:color w:val="000000"/>
      <w:sz w:val="24"/>
      <w:szCs w:val="24"/>
    </w:rPr>
  </w:style>
  <w:style w:type="paragraph" w:customStyle="1" w:styleId="hpHeading0">
    <w:name w:val="_hp_Heading 0"/>
    <w:basedOn w:val="Normal"/>
    <w:next w:val="Normal"/>
    <w:link w:val="hpHeading0Char"/>
    <w:qFormat/>
    <w:rsid w:val="00EC3486"/>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autoSpaceDE w:val="0"/>
      <w:autoSpaceDN w:val="0"/>
      <w:adjustRightInd w:val="0"/>
      <w:spacing w:after="120" w:line="240" w:lineRule="auto"/>
      <w:jc w:val="center"/>
    </w:pPr>
    <w:rPr>
      <w:rFonts w:ascii="Helvetica" w:eastAsia="Times New Roman" w:hAnsi="Helvetica" w:cs="Helvetica"/>
      <w:b/>
      <w:color w:val="000000"/>
      <w:sz w:val="28"/>
      <w:szCs w:val="24"/>
    </w:rPr>
  </w:style>
  <w:style w:type="character" w:customStyle="1" w:styleId="hpHeading0Char">
    <w:name w:val="_hp_Heading 0 Char"/>
    <w:basedOn w:val="DefaultParagraphFont"/>
    <w:link w:val="hpHeading0"/>
    <w:rsid w:val="00EC3486"/>
    <w:rPr>
      <w:rFonts w:ascii="Helvetica" w:eastAsia="Times New Roman" w:hAnsi="Helvetica" w:cs="Helvetica"/>
      <w:b/>
      <w:color w:val="000000"/>
      <w:sz w:val="28"/>
      <w:szCs w:val="24"/>
    </w:rPr>
  </w:style>
  <w:style w:type="paragraph" w:customStyle="1" w:styleId="hpHeading1">
    <w:name w:val="_hp_Heading 1"/>
    <w:basedOn w:val="Normal"/>
    <w:next w:val="Normal"/>
    <w:qFormat/>
    <w:rsid w:val="00EC3486"/>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autoSpaceDE w:val="0"/>
      <w:autoSpaceDN w:val="0"/>
      <w:adjustRightInd w:val="0"/>
      <w:spacing w:after="120" w:line="240" w:lineRule="auto"/>
    </w:pPr>
    <w:rPr>
      <w:rFonts w:ascii="Arial" w:eastAsia="Times New Roman" w:hAnsi="Arial" w:cs="Arial"/>
      <w:b/>
      <w:color w:val="000000"/>
      <w:sz w:val="28"/>
      <w:szCs w:val="24"/>
    </w:rPr>
  </w:style>
  <w:style w:type="character" w:customStyle="1" w:styleId="Symbol">
    <w:name w:val="Symbol"/>
    <w:rsid w:val="00EC3486"/>
  </w:style>
  <w:style w:type="paragraph" w:customStyle="1" w:styleId="hpreferences">
    <w:name w:val="_hp_references"/>
    <w:basedOn w:val="hpHeading0"/>
    <w:link w:val="hpreferencesChar"/>
    <w:qFormat/>
    <w:rsid w:val="00A239C8"/>
  </w:style>
  <w:style w:type="character" w:customStyle="1" w:styleId="hpreferencesChar">
    <w:name w:val="_hp_references Char"/>
    <w:basedOn w:val="hpHeading0Char"/>
    <w:link w:val="hpreferences"/>
    <w:rsid w:val="00A239C8"/>
    <w:rPr>
      <w:rFonts w:ascii="Helvetica" w:eastAsia="Times New Roman" w:hAnsi="Helvetica" w:cs="Helvetica"/>
      <w:b/>
      <w:color w:val="000000"/>
      <w:sz w:val="28"/>
      <w:szCs w:val="24"/>
    </w:rPr>
  </w:style>
  <w:style w:type="paragraph" w:customStyle="1" w:styleId="TableParagraph">
    <w:name w:val="Table Paragraph"/>
    <w:basedOn w:val="Normal"/>
    <w:uiPriority w:val="1"/>
    <w:qFormat/>
    <w:rsid w:val="00AF0D42"/>
    <w:pPr>
      <w:widowControl w:val="0"/>
      <w:spacing w:after="0" w:line="240" w:lineRule="auto"/>
    </w:pPr>
  </w:style>
  <w:style w:type="character" w:styleId="Hyperlink">
    <w:name w:val="Hyperlink"/>
    <w:basedOn w:val="DefaultParagraphFont"/>
    <w:uiPriority w:val="99"/>
    <w:unhideWhenUsed/>
    <w:rsid w:val="000B6F41"/>
    <w:rPr>
      <w:color w:val="0563C1" w:themeColor="hyperlink"/>
      <w:u w:val="single"/>
    </w:rPr>
  </w:style>
  <w:style w:type="paragraph" w:customStyle="1" w:styleId="hpBody">
    <w:name w:val="_hp_Body"/>
    <w:basedOn w:val="Normal"/>
    <w:link w:val="hpBodyChar"/>
    <w:qFormat/>
    <w:rsid w:val="009129C1"/>
    <w:pPr>
      <w:widowControl w:val="0"/>
      <w:autoSpaceDE w:val="0"/>
      <w:autoSpaceDN w:val="0"/>
      <w:adjustRightInd w:val="0"/>
      <w:spacing w:after="120" w:line="240" w:lineRule="auto"/>
      <w:jc w:val="both"/>
    </w:pPr>
    <w:rPr>
      <w:rFonts w:ascii="Times New Roman" w:eastAsia="Times New Roman" w:hAnsi="Times New Roman" w:cs="Times New Roman"/>
      <w:color w:val="000000"/>
      <w:szCs w:val="24"/>
    </w:rPr>
  </w:style>
  <w:style w:type="character" w:customStyle="1" w:styleId="hpBodyChar">
    <w:name w:val="_hp_Body Char"/>
    <w:basedOn w:val="DefaultParagraphFont"/>
    <w:link w:val="hpBody"/>
    <w:rsid w:val="009129C1"/>
    <w:rPr>
      <w:rFonts w:ascii="Times New Roman" w:eastAsia="Times New Roman" w:hAnsi="Times New Roman" w:cs="Times New Roman"/>
      <w:color w:val="000000"/>
      <w:szCs w:val="24"/>
    </w:rPr>
  </w:style>
  <w:style w:type="paragraph" w:styleId="Header">
    <w:name w:val="header"/>
    <w:basedOn w:val="Normal"/>
    <w:link w:val="HeaderChar"/>
    <w:uiPriority w:val="99"/>
    <w:unhideWhenUsed/>
    <w:rsid w:val="0014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C40"/>
  </w:style>
  <w:style w:type="paragraph" w:styleId="Footer">
    <w:name w:val="footer"/>
    <w:basedOn w:val="Normal"/>
    <w:link w:val="FooterChar"/>
    <w:uiPriority w:val="99"/>
    <w:unhideWhenUsed/>
    <w:rsid w:val="0014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C40"/>
  </w:style>
  <w:style w:type="character" w:styleId="FollowedHyperlink">
    <w:name w:val="FollowedHyperlink"/>
    <w:basedOn w:val="DefaultParagraphFont"/>
    <w:uiPriority w:val="99"/>
    <w:semiHidden/>
    <w:unhideWhenUsed/>
    <w:rsid w:val="006856C6"/>
    <w:rPr>
      <w:color w:val="954F72" w:themeColor="followedHyperlink"/>
      <w:u w:val="single"/>
    </w:rPr>
  </w:style>
  <w:style w:type="paragraph" w:styleId="BalloonText">
    <w:name w:val="Balloon Text"/>
    <w:basedOn w:val="Normal"/>
    <w:link w:val="BalloonTextChar"/>
    <w:uiPriority w:val="99"/>
    <w:semiHidden/>
    <w:unhideWhenUsed/>
    <w:rsid w:val="006856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6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32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mtf.org/standards/redfish"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www.sandia.gov/~jhlaros/Laros_23_PowerInsight.pd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nusha.m-s@hpe.com" TargetMode="External"/><Relationship Id="rId11" Type="http://schemas.openxmlformats.org/officeDocument/2006/relationships/hyperlink" Target="http://powerapi.sandia.gov/docs/PowerAPI_SAND_V1.4.pdf"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Phadke, Vinanti</dc:creator>
  <cp:keywords/>
  <dc:description/>
  <cp:lastModifiedBy>Kurian, Prasanth</cp:lastModifiedBy>
  <cp:revision>4</cp:revision>
  <dcterms:created xsi:type="dcterms:W3CDTF">2017-01-17T06:38:00Z</dcterms:created>
  <dcterms:modified xsi:type="dcterms:W3CDTF">2017-01-17T06:39:00Z</dcterms:modified>
</cp:coreProperties>
</file>