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034" w:rsidRDefault="00723034" w:rsidP="00935A49">
      <w:pPr>
        <w:pStyle w:val="Heading30"/>
        <w:jc w:val="center"/>
        <w:rPr>
          <w:sz w:val="36"/>
          <w:szCs w:val="36"/>
        </w:rPr>
      </w:pPr>
    </w:p>
    <w:p w:rsidR="00723034" w:rsidRDefault="00723034" w:rsidP="00935A49">
      <w:pPr>
        <w:pStyle w:val="Heading30"/>
        <w:jc w:val="center"/>
        <w:rPr>
          <w:sz w:val="36"/>
          <w:szCs w:val="36"/>
        </w:rPr>
      </w:pPr>
    </w:p>
    <w:p w:rsidR="00723034" w:rsidRDefault="00723034" w:rsidP="00935A49">
      <w:pPr>
        <w:pStyle w:val="Heading30"/>
        <w:jc w:val="center"/>
        <w:rPr>
          <w:sz w:val="36"/>
          <w:szCs w:val="36"/>
        </w:rPr>
      </w:pPr>
    </w:p>
    <w:p w:rsidR="00723034" w:rsidRDefault="00723034" w:rsidP="00935A49">
      <w:pPr>
        <w:pStyle w:val="Heading30"/>
        <w:jc w:val="center"/>
        <w:rPr>
          <w:sz w:val="36"/>
          <w:szCs w:val="36"/>
        </w:rPr>
      </w:pPr>
    </w:p>
    <w:p w:rsidR="00723034" w:rsidRDefault="00723034" w:rsidP="00935A49">
      <w:pPr>
        <w:pStyle w:val="Heading30"/>
        <w:jc w:val="center"/>
        <w:rPr>
          <w:sz w:val="36"/>
          <w:szCs w:val="36"/>
        </w:rPr>
      </w:pPr>
    </w:p>
    <w:p w:rsidR="00723034" w:rsidRPr="00394D03" w:rsidRDefault="00723034" w:rsidP="00394D03">
      <w:pPr>
        <w:spacing w:line="240" w:lineRule="auto"/>
        <w:jc w:val="center"/>
        <w:rPr>
          <w:rFonts w:ascii="Cambria" w:eastAsia="Calibri" w:hAnsi="Cambria" w:cs="Times New Roman"/>
          <w:b/>
          <w:bCs/>
          <w:color w:val="365F91"/>
          <w:sz w:val="36"/>
          <w:szCs w:val="36"/>
        </w:rPr>
      </w:pPr>
      <w:bookmarkStart w:id="0" w:name="_Toc370375769"/>
      <w:bookmarkStart w:id="1" w:name="_Toc370376045"/>
      <w:r w:rsidRPr="00394D03">
        <w:rPr>
          <w:rFonts w:ascii="Cambria" w:eastAsia="Calibri" w:hAnsi="Cambria" w:cs="Times New Roman"/>
          <w:b/>
          <w:bCs/>
          <w:color w:val="365F91"/>
          <w:sz w:val="36"/>
          <w:szCs w:val="36"/>
        </w:rPr>
        <w:t>Publish What You Fund</w:t>
      </w:r>
      <w:bookmarkEnd w:id="0"/>
      <w:bookmarkEnd w:id="1"/>
    </w:p>
    <w:p w:rsidR="00723034" w:rsidRPr="00394D03" w:rsidRDefault="00214020" w:rsidP="00394D03">
      <w:pPr>
        <w:spacing w:line="240" w:lineRule="auto"/>
        <w:jc w:val="center"/>
        <w:rPr>
          <w:rFonts w:ascii="Cambria" w:eastAsia="Calibri" w:hAnsi="Cambria" w:cs="Times New Roman"/>
          <w:b/>
          <w:bCs/>
          <w:color w:val="365F91"/>
          <w:sz w:val="36"/>
          <w:szCs w:val="36"/>
        </w:rPr>
      </w:pPr>
      <w:bookmarkStart w:id="2" w:name="_Toc370375770"/>
      <w:bookmarkStart w:id="3" w:name="_Toc370376046"/>
      <w:r w:rsidRPr="00394D03">
        <w:rPr>
          <w:rFonts w:ascii="Cambria" w:eastAsia="Calibri" w:hAnsi="Cambria" w:cs="Times New Roman"/>
          <w:b/>
          <w:bCs/>
          <w:color w:val="365F91"/>
          <w:sz w:val="36"/>
          <w:szCs w:val="36"/>
        </w:rPr>
        <w:t>201</w:t>
      </w:r>
      <w:r w:rsidR="00B87378" w:rsidRPr="00394D03">
        <w:rPr>
          <w:rFonts w:ascii="Cambria" w:eastAsia="Calibri" w:hAnsi="Cambria" w:cs="Times New Roman"/>
          <w:b/>
          <w:bCs/>
          <w:color w:val="365F91"/>
          <w:sz w:val="36"/>
          <w:szCs w:val="36"/>
        </w:rPr>
        <w:t>4</w:t>
      </w:r>
      <w:r w:rsidRPr="00394D03">
        <w:rPr>
          <w:rFonts w:ascii="Cambria" w:eastAsia="Calibri" w:hAnsi="Cambria" w:cs="Times New Roman"/>
          <w:b/>
          <w:bCs/>
          <w:color w:val="365F91"/>
          <w:sz w:val="36"/>
          <w:szCs w:val="36"/>
        </w:rPr>
        <w:t xml:space="preserve"> </w:t>
      </w:r>
      <w:r w:rsidR="00723034" w:rsidRPr="00394D03">
        <w:rPr>
          <w:rFonts w:ascii="Cambria" w:eastAsia="Calibri" w:hAnsi="Cambria" w:cs="Times New Roman"/>
          <w:b/>
          <w:bCs/>
          <w:color w:val="365F91"/>
          <w:sz w:val="36"/>
          <w:szCs w:val="36"/>
        </w:rPr>
        <w:t>Aid Transparency Index</w:t>
      </w:r>
      <w:bookmarkEnd w:id="2"/>
      <w:bookmarkEnd w:id="3"/>
    </w:p>
    <w:p w:rsidR="00214020" w:rsidRPr="00394D03" w:rsidRDefault="00214020" w:rsidP="00935A49">
      <w:pPr>
        <w:pStyle w:val="Heading1"/>
        <w:spacing w:before="0" w:after="200" w:line="240" w:lineRule="auto"/>
        <w:jc w:val="center"/>
        <w:rPr>
          <w:rFonts w:ascii="Cambria" w:eastAsia="Calibri" w:hAnsi="Cambria" w:cs="Times New Roman"/>
          <w:color w:val="365F91"/>
          <w:sz w:val="36"/>
          <w:szCs w:val="36"/>
        </w:rPr>
      </w:pPr>
    </w:p>
    <w:p w:rsidR="00214020" w:rsidRPr="00394D03" w:rsidRDefault="00214020" w:rsidP="00935A49">
      <w:pPr>
        <w:spacing w:line="240" w:lineRule="auto"/>
        <w:jc w:val="center"/>
        <w:rPr>
          <w:rFonts w:ascii="Cambria" w:eastAsia="Calibri" w:hAnsi="Cambria" w:cs="Times New Roman"/>
          <w:b/>
          <w:bCs/>
          <w:color w:val="365F91"/>
          <w:sz w:val="36"/>
          <w:szCs w:val="36"/>
        </w:rPr>
      </w:pPr>
      <w:r w:rsidRPr="00394D03">
        <w:rPr>
          <w:rFonts w:ascii="Cambria" w:eastAsia="Calibri" w:hAnsi="Cambria" w:cs="Times New Roman"/>
          <w:b/>
          <w:bCs/>
          <w:color w:val="365F91"/>
          <w:sz w:val="36"/>
          <w:szCs w:val="36"/>
        </w:rPr>
        <w:t>Technical Paper</w:t>
      </w:r>
    </w:p>
    <w:p w:rsidR="00214020" w:rsidRPr="00214020" w:rsidRDefault="00214020" w:rsidP="00935A49">
      <w:pPr>
        <w:spacing w:line="240" w:lineRule="auto"/>
        <w:sectPr w:rsidR="00214020" w:rsidRPr="00214020" w:rsidSect="002B2AC5">
          <w:pgSz w:w="16838" w:h="11906" w:orient="landscape"/>
          <w:pgMar w:top="1021" w:right="1021" w:bottom="1021" w:left="1021" w:header="709" w:footer="709" w:gutter="0"/>
          <w:cols w:space="708"/>
          <w:docGrid w:linePitch="360"/>
        </w:sectPr>
      </w:pPr>
    </w:p>
    <w:p w:rsidR="00FF07EE" w:rsidRPr="00394D03" w:rsidRDefault="00FF07EE" w:rsidP="00394D03">
      <w:pPr>
        <w:pStyle w:val="Heading1"/>
        <w:pBdr>
          <w:bottom w:val="single" w:sz="4" w:space="1" w:color="auto"/>
        </w:pBdr>
        <w:spacing w:before="0" w:after="200" w:line="240" w:lineRule="auto"/>
        <w:rPr>
          <w:sz w:val="36"/>
        </w:rPr>
      </w:pPr>
      <w:bookmarkStart w:id="4" w:name="_Toc370375771"/>
      <w:bookmarkStart w:id="5" w:name="_Toc370376047"/>
      <w:bookmarkStart w:id="6" w:name="_Toc399168583"/>
      <w:r w:rsidRPr="00394D03">
        <w:rPr>
          <w:sz w:val="36"/>
        </w:rPr>
        <w:lastRenderedPageBreak/>
        <w:t>Table of Contents</w:t>
      </w:r>
      <w:bookmarkEnd w:id="4"/>
      <w:bookmarkEnd w:id="5"/>
      <w:bookmarkEnd w:id="6"/>
    </w:p>
    <w:p w:rsidR="00FF07EE" w:rsidRDefault="00FF07EE" w:rsidP="00FF07EE">
      <w:pPr>
        <w:spacing w:after="0" w:line="240" w:lineRule="auto"/>
      </w:pPr>
    </w:p>
    <w:p w:rsidR="00FF07EE" w:rsidRDefault="00FF07EE" w:rsidP="00FF07EE">
      <w:pPr>
        <w:spacing w:after="0" w:line="240" w:lineRule="auto"/>
      </w:pPr>
    </w:p>
    <w:p w:rsidR="00FF07EE" w:rsidRDefault="00FF07EE" w:rsidP="00FF07EE">
      <w:pPr>
        <w:spacing w:after="0" w:line="240" w:lineRule="auto"/>
      </w:pPr>
    </w:p>
    <w:sdt>
      <w:sdtPr>
        <w:rPr>
          <w:rFonts w:asciiTheme="minorHAnsi" w:eastAsiaTheme="minorEastAsia" w:hAnsiTheme="minorHAnsi"/>
          <w:bCs w:val="0"/>
          <w:noProof w:val="0"/>
        </w:rPr>
        <w:id w:val="1995061855"/>
        <w:docPartObj>
          <w:docPartGallery w:val="Table of Contents"/>
          <w:docPartUnique/>
        </w:docPartObj>
      </w:sdtPr>
      <w:sdtEndPr>
        <w:rPr>
          <w:b/>
        </w:rPr>
      </w:sdtEndPr>
      <w:sdtContent>
        <w:p w:rsidR="003B57B7" w:rsidRDefault="0030568D">
          <w:pPr>
            <w:pStyle w:val="TOC1"/>
            <w:rPr>
              <w:rFonts w:asciiTheme="minorHAnsi" w:eastAsiaTheme="minorEastAsia" w:hAnsiTheme="minorHAnsi"/>
              <w:bCs w:val="0"/>
              <w:lang w:eastAsia="en-GB" w:bidi="ar-SA"/>
            </w:rPr>
          </w:pPr>
          <w:r>
            <w:fldChar w:fldCharType="begin"/>
          </w:r>
          <w:r w:rsidR="004960F3">
            <w:instrText xml:space="preserve"> TOC \o "1-3" \h \z \u </w:instrText>
          </w:r>
          <w:r>
            <w:fldChar w:fldCharType="separate"/>
          </w:r>
          <w:hyperlink w:anchor="_Toc399168583" w:history="1">
            <w:r w:rsidR="003B57B7" w:rsidRPr="001136B8">
              <w:rPr>
                <w:rStyle w:val="Hyperlink"/>
                <w:rFonts w:eastAsiaTheme="majorEastAsia"/>
              </w:rPr>
              <w:t>Table of Contents</w:t>
            </w:r>
            <w:r w:rsidR="003B57B7">
              <w:rPr>
                <w:webHidden/>
              </w:rPr>
              <w:tab/>
            </w:r>
            <w:r>
              <w:rPr>
                <w:webHidden/>
              </w:rPr>
              <w:fldChar w:fldCharType="begin"/>
            </w:r>
            <w:r w:rsidR="003B57B7">
              <w:rPr>
                <w:webHidden/>
              </w:rPr>
              <w:instrText xml:space="preserve"> PAGEREF _Toc399168583 \h </w:instrText>
            </w:r>
            <w:r>
              <w:rPr>
                <w:webHidden/>
              </w:rPr>
            </w:r>
            <w:r>
              <w:rPr>
                <w:webHidden/>
              </w:rPr>
              <w:fldChar w:fldCharType="separate"/>
            </w:r>
            <w:r w:rsidR="00345D43">
              <w:rPr>
                <w:webHidden/>
              </w:rPr>
              <w:t>i</w:t>
            </w:r>
            <w:r>
              <w:rPr>
                <w:webHidden/>
              </w:rPr>
              <w:fldChar w:fldCharType="end"/>
            </w:r>
          </w:hyperlink>
        </w:p>
        <w:p w:rsidR="003B57B7" w:rsidRDefault="00A06A5C">
          <w:pPr>
            <w:pStyle w:val="TOC1"/>
            <w:rPr>
              <w:rFonts w:asciiTheme="minorHAnsi" w:eastAsiaTheme="minorEastAsia" w:hAnsiTheme="minorHAnsi"/>
              <w:bCs w:val="0"/>
              <w:lang w:eastAsia="en-GB" w:bidi="ar-SA"/>
            </w:rPr>
          </w:pPr>
          <w:hyperlink w:anchor="_Toc399168584" w:history="1">
            <w:r w:rsidR="003B57B7" w:rsidRPr="001136B8">
              <w:rPr>
                <w:rStyle w:val="Hyperlink"/>
                <w:rFonts w:eastAsiaTheme="majorEastAsia"/>
              </w:rPr>
              <w:t>Acronyms and Abbreviations</w:t>
            </w:r>
            <w:r w:rsidR="003B57B7">
              <w:rPr>
                <w:webHidden/>
              </w:rPr>
              <w:tab/>
            </w:r>
            <w:r w:rsidR="0030568D">
              <w:rPr>
                <w:webHidden/>
              </w:rPr>
              <w:fldChar w:fldCharType="begin"/>
            </w:r>
            <w:r w:rsidR="003B57B7">
              <w:rPr>
                <w:webHidden/>
              </w:rPr>
              <w:instrText xml:space="preserve"> PAGEREF _Toc399168584 \h </w:instrText>
            </w:r>
            <w:r w:rsidR="0030568D">
              <w:rPr>
                <w:webHidden/>
              </w:rPr>
            </w:r>
            <w:r w:rsidR="0030568D">
              <w:rPr>
                <w:webHidden/>
              </w:rPr>
              <w:fldChar w:fldCharType="separate"/>
            </w:r>
            <w:r w:rsidR="00345D43">
              <w:rPr>
                <w:webHidden/>
              </w:rPr>
              <w:t>ii</w:t>
            </w:r>
            <w:r w:rsidR="0030568D">
              <w:rPr>
                <w:webHidden/>
              </w:rPr>
              <w:fldChar w:fldCharType="end"/>
            </w:r>
          </w:hyperlink>
        </w:p>
        <w:p w:rsidR="003B57B7" w:rsidRDefault="00A06A5C">
          <w:pPr>
            <w:pStyle w:val="TOC1"/>
            <w:rPr>
              <w:rFonts w:asciiTheme="minorHAnsi" w:eastAsiaTheme="minorEastAsia" w:hAnsiTheme="minorHAnsi"/>
              <w:bCs w:val="0"/>
              <w:lang w:eastAsia="en-GB" w:bidi="ar-SA"/>
            </w:rPr>
          </w:pPr>
          <w:hyperlink w:anchor="_Toc399168585" w:history="1">
            <w:r w:rsidR="003B57B7" w:rsidRPr="001136B8">
              <w:rPr>
                <w:rStyle w:val="Hyperlink"/>
                <w:rFonts w:eastAsiaTheme="majorEastAsia"/>
              </w:rPr>
              <w:t>Introduction</w:t>
            </w:r>
            <w:r w:rsidR="003B57B7">
              <w:rPr>
                <w:webHidden/>
              </w:rPr>
              <w:tab/>
            </w:r>
            <w:r w:rsidR="0030568D">
              <w:rPr>
                <w:webHidden/>
              </w:rPr>
              <w:fldChar w:fldCharType="begin"/>
            </w:r>
            <w:r w:rsidR="003B57B7">
              <w:rPr>
                <w:webHidden/>
              </w:rPr>
              <w:instrText xml:space="preserve"> PAGEREF _Toc399168585 \h </w:instrText>
            </w:r>
            <w:r w:rsidR="0030568D">
              <w:rPr>
                <w:webHidden/>
              </w:rPr>
            </w:r>
            <w:r w:rsidR="0030568D">
              <w:rPr>
                <w:webHidden/>
              </w:rPr>
              <w:fldChar w:fldCharType="separate"/>
            </w:r>
            <w:r w:rsidR="00345D43">
              <w:rPr>
                <w:webHidden/>
              </w:rPr>
              <w:t>1</w:t>
            </w:r>
            <w:r w:rsidR="0030568D">
              <w:rPr>
                <w:webHidden/>
              </w:rPr>
              <w:fldChar w:fldCharType="end"/>
            </w:r>
          </w:hyperlink>
        </w:p>
        <w:p w:rsidR="003B57B7" w:rsidRDefault="00A06A5C">
          <w:pPr>
            <w:pStyle w:val="TOC1"/>
            <w:rPr>
              <w:rFonts w:asciiTheme="minorHAnsi" w:eastAsiaTheme="minorEastAsia" w:hAnsiTheme="minorHAnsi"/>
              <w:bCs w:val="0"/>
              <w:lang w:eastAsia="en-GB" w:bidi="ar-SA"/>
            </w:rPr>
          </w:pPr>
          <w:hyperlink w:anchor="_Toc399168586" w:history="1">
            <w:r w:rsidR="003B57B7" w:rsidRPr="001136B8">
              <w:rPr>
                <w:rStyle w:val="Hyperlink"/>
                <w:rFonts w:eastAsiaTheme="majorEastAsia"/>
              </w:rPr>
              <w:t>Section 1. Donor selection</w:t>
            </w:r>
            <w:r w:rsidR="003B57B7">
              <w:rPr>
                <w:webHidden/>
              </w:rPr>
              <w:tab/>
            </w:r>
            <w:r w:rsidR="0030568D">
              <w:rPr>
                <w:webHidden/>
              </w:rPr>
              <w:fldChar w:fldCharType="begin"/>
            </w:r>
            <w:r w:rsidR="003B57B7">
              <w:rPr>
                <w:webHidden/>
              </w:rPr>
              <w:instrText xml:space="preserve"> PAGEREF _Toc399168586 \h </w:instrText>
            </w:r>
            <w:r w:rsidR="0030568D">
              <w:rPr>
                <w:webHidden/>
              </w:rPr>
            </w:r>
            <w:r w:rsidR="0030568D">
              <w:rPr>
                <w:webHidden/>
              </w:rPr>
              <w:fldChar w:fldCharType="separate"/>
            </w:r>
            <w:r w:rsidR="00345D43">
              <w:rPr>
                <w:webHidden/>
              </w:rPr>
              <w:t>2</w:t>
            </w:r>
            <w:r w:rsidR="0030568D">
              <w:rPr>
                <w:webHidden/>
              </w:rPr>
              <w:fldChar w:fldCharType="end"/>
            </w:r>
          </w:hyperlink>
        </w:p>
        <w:p w:rsidR="003B57B7" w:rsidRDefault="00A06A5C">
          <w:pPr>
            <w:pStyle w:val="TOC1"/>
            <w:rPr>
              <w:rFonts w:asciiTheme="minorHAnsi" w:eastAsiaTheme="minorEastAsia" w:hAnsiTheme="minorHAnsi"/>
              <w:bCs w:val="0"/>
              <w:lang w:eastAsia="en-GB" w:bidi="ar-SA"/>
            </w:rPr>
          </w:pPr>
          <w:hyperlink w:anchor="_Toc399168587" w:history="1">
            <w:r w:rsidR="003B57B7" w:rsidRPr="001136B8">
              <w:rPr>
                <w:rStyle w:val="Hyperlink"/>
                <w:rFonts w:eastAsiaTheme="majorEastAsia"/>
              </w:rPr>
              <w:t>Section 2. Indicators, grouping and scoring</w:t>
            </w:r>
            <w:r w:rsidR="003B57B7">
              <w:rPr>
                <w:webHidden/>
              </w:rPr>
              <w:tab/>
            </w:r>
            <w:r w:rsidR="0030568D">
              <w:rPr>
                <w:webHidden/>
              </w:rPr>
              <w:fldChar w:fldCharType="begin"/>
            </w:r>
            <w:r w:rsidR="003B57B7">
              <w:rPr>
                <w:webHidden/>
              </w:rPr>
              <w:instrText xml:space="preserve"> PAGEREF _Toc399168587 \h </w:instrText>
            </w:r>
            <w:r w:rsidR="0030568D">
              <w:rPr>
                <w:webHidden/>
              </w:rPr>
            </w:r>
            <w:r w:rsidR="0030568D">
              <w:rPr>
                <w:webHidden/>
              </w:rPr>
              <w:fldChar w:fldCharType="separate"/>
            </w:r>
            <w:r w:rsidR="00345D43">
              <w:rPr>
                <w:webHidden/>
              </w:rPr>
              <w:t>6</w:t>
            </w:r>
            <w:r w:rsidR="0030568D">
              <w:rPr>
                <w:webHidden/>
              </w:rPr>
              <w:fldChar w:fldCharType="end"/>
            </w:r>
          </w:hyperlink>
        </w:p>
        <w:p w:rsidR="003B57B7" w:rsidRDefault="00A06A5C">
          <w:pPr>
            <w:pStyle w:val="TOC1"/>
            <w:rPr>
              <w:rFonts w:asciiTheme="minorHAnsi" w:eastAsiaTheme="minorEastAsia" w:hAnsiTheme="minorHAnsi"/>
              <w:bCs w:val="0"/>
              <w:lang w:eastAsia="en-GB" w:bidi="ar-SA"/>
            </w:rPr>
          </w:pPr>
          <w:hyperlink w:anchor="_Toc399168588" w:history="1">
            <w:r w:rsidR="003B57B7" w:rsidRPr="001136B8">
              <w:rPr>
                <w:rStyle w:val="Hyperlink"/>
                <w:rFonts w:eastAsiaTheme="majorEastAsia"/>
              </w:rPr>
              <w:t>Section 3. Weighting, ranking and performance categories</w:t>
            </w:r>
            <w:r w:rsidR="003B57B7">
              <w:rPr>
                <w:webHidden/>
              </w:rPr>
              <w:tab/>
            </w:r>
            <w:r w:rsidR="0030568D">
              <w:rPr>
                <w:webHidden/>
              </w:rPr>
              <w:fldChar w:fldCharType="begin"/>
            </w:r>
            <w:r w:rsidR="003B57B7">
              <w:rPr>
                <w:webHidden/>
              </w:rPr>
              <w:instrText xml:space="preserve"> PAGEREF _Toc399168588 \h </w:instrText>
            </w:r>
            <w:r w:rsidR="0030568D">
              <w:rPr>
                <w:webHidden/>
              </w:rPr>
            </w:r>
            <w:r w:rsidR="0030568D">
              <w:rPr>
                <w:webHidden/>
              </w:rPr>
              <w:fldChar w:fldCharType="separate"/>
            </w:r>
            <w:r w:rsidR="00345D43">
              <w:rPr>
                <w:webHidden/>
              </w:rPr>
              <w:t>14</w:t>
            </w:r>
            <w:r w:rsidR="0030568D">
              <w:rPr>
                <w:webHidden/>
              </w:rPr>
              <w:fldChar w:fldCharType="end"/>
            </w:r>
          </w:hyperlink>
        </w:p>
        <w:p w:rsidR="003B57B7" w:rsidRDefault="00A06A5C">
          <w:pPr>
            <w:pStyle w:val="TOC1"/>
            <w:rPr>
              <w:rFonts w:asciiTheme="minorHAnsi" w:eastAsiaTheme="minorEastAsia" w:hAnsiTheme="minorHAnsi"/>
              <w:bCs w:val="0"/>
              <w:lang w:eastAsia="en-GB" w:bidi="ar-SA"/>
            </w:rPr>
          </w:pPr>
          <w:hyperlink w:anchor="_Toc399168589" w:history="1">
            <w:r w:rsidR="003B57B7" w:rsidRPr="001136B8">
              <w:rPr>
                <w:rStyle w:val="Hyperlink"/>
                <w:rFonts w:eastAsiaTheme="majorEastAsia"/>
              </w:rPr>
              <w:t>Section 4. Data collection</w:t>
            </w:r>
            <w:r w:rsidR="003B57B7">
              <w:rPr>
                <w:webHidden/>
              </w:rPr>
              <w:tab/>
            </w:r>
            <w:r w:rsidR="0030568D">
              <w:rPr>
                <w:webHidden/>
              </w:rPr>
              <w:fldChar w:fldCharType="begin"/>
            </w:r>
            <w:r w:rsidR="003B57B7">
              <w:rPr>
                <w:webHidden/>
              </w:rPr>
              <w:instrText xml:space="preserve"> PAGEREF _Toc399168589 \h </w:instrText>
            </w:r>
            <w:r w:rsidR="0030568D">
              <w:rPr>
                <w:webHidden/>
              </w:rPr>
            </w:r>
            <w:r w:rsidR="0030568D">
              <w:rPr>
                <w:webHidden/>
              </w:rPr>
              <w:fldChar w:fldCharType="separate"/>
            </w:r>
            <w:r w:rsidR="00345D43">
              <w:rPr>
                <w:webHidden/>
              </w:rPr>
              <w:t>17</w:t>
            </w:r>
            <w:r w:rsidR="0030568D">
              <w:rPr>
                <w:webHidden/>
              </w:rPr>
              <w:fldChar w:fldCharType="end"/>
            </w:r>
          </w:hyperlink>
        </w:p>
        <w:p w:rsidR="003B57B7" w:rsidRDefault="00A06A5C">
          <w:pPr>
            <w:pStyle w:val="TOC1"/>
            <w:rPr>
              <w:rFonts w:asciiTheme="minorHAnsi" w:eastAsiaTheme="minorEastAsia" w:hAnsiTheme="minorHAnsi"/>
              <w:bCs w:val="0"/>
              <w:lang w:eastAsia="en-GB" w:bidi="ar-SA"/>
            </w:rPr>
          </w:pPr>
          <w:hyperlink w:anchor="_Toc399168590" w:history="1">
            <w:r w:rsidR="003B57B7" w:rsidRPr="001136B8">
              <w:rPr>
                <w:rStyle w:val="Hyperlink"/>
                <w:rFonts w:eastAsiaTheme="majorEastAsia"/>
              </w:rPr>
              <w:t>Section 5. Comparing results with previous years</w:t>
            </w:r>
            <w:r w:rsidR="003B57B7">
              <w:rPr>
                <w:webHidden/>
              </w:rPr>
              <w:tab/>
            </w:r>
            <w:r w:rsidR="0030568D">
              <w:rPr>
                <w:webHidden/>
              </w:rPr>
              <w:fldChar w:fldCharType="begin"/>
            </w:r>
            <w:r w:rsidR="003B57B7">
              <w:rPr>
                <w:webHidden/>
              </w:rPr>
              <w:instrText xml:space="preserve"> PAGEREF _Toc399168590 \h </w:instrText>
            </w:r>
            <w:r w:rsidR="0030568D">
              <w:rPr>
                <w:webHidden/>
              </w:rPr>
            </w:r>
            <w:r w:rsidR="0030568D">
              <w:rPr>
                <w:webHidden/>
              </w:rPr>
              <w:fldChar w:fldCharType="separate"/>
            </w:r>
            <w:r w:rsidR="00345D43">
              <w:rPr>
                <w:webHidden/>
              </w:rPr>
              <w:t>20</w:t>
            </w:r>
            <w:r w:rsidR="0030568D">
              <w:rPr>
                <w:webHidden/>
              </w:rPr>
              <w:fldChar w:fldCharType="end"/>
            </w:r>
          </w:hyperlink>
        </w:p>
        <w:p w:rsidR="003B57B7" w:rsidRDefault="00A06A5C">
          <w:pPr>
            <w:pStyle w:val="TOC1"/>
            <w:rPr>
              <w:rFonts w:asciiTheme="minorHAnsi" w:eastAsiaTheme="minorEastAsia" w:hAnsiTheme="minorHAnsi"/>
              <w:bCs w:val="0"/>
              <w:lang w:eastAsia="en-GB" w:bidi="ar-SA"/>
            </w:rPr>
          </w:pPr>
          <w:hyperlink w:anchor="_Toc399168591" w:history="1">
            <w:r w:rsidR="003B57B7" w:rsidRPr="001136B8">
              <w:rPr>
                <w:rStyle w:val="Hyperlink"/>
                <w:rFonts w:eastAsiaTheme="majorEastAsia"/>
              </w:rPr>
              <w:t>Section 6. Challenges, limitations and lessons learnt</w:t>
            </w:r>
            <w:r w:rsidR="003B57B7">
              <w:rPr>
                <w:webHidden/>
              </w:rPr>
              <w:tab/>
            </w:r>
            <w:r w:rsidR="0030568D">
              <w:rPr>
                <w:webHidden/>
              </w:rPr>
              <w:fldChar w:fldCharType="begin"/>
            </w:r>
            <w:r w:rsidR="003B57B7">
              <w:rPr>
                <w:webHidden/>
              </w:rPr>
              <w:instrText xml:space="preserve"> PAGEREF _Toc399168591 \h </w:instrText>
            </w:r>
            <w:r w:rsidR="0030568D">
              <w:rPr>
                <w:webHidden/>
              </w:rPr>
            </w:r>
            <w:r w:rsidR="0030568D">
              <w:rPr>
                <w:webHidden/>
              </w:rPr>
              <w:fldChar w:fldCharType="separate"/>
            </w:r>
            <w:r w:rsidR="00345D43">
              <w:rPr>
                <w:webHidden/>
              </w:rPr>
              <w:t>21</w:t>
            </w:r>
            <w:r w:rsidR="0030568D">
              <w:rPr>
                <w:webHidden/>
              </w:rPr>
              <w:fldChar w:fldCharType="end"/>
            </w:r>
          </w:hyperlink>
        </w:p>
        <w:p w:rsidR="003B57B7" w:rsidRDefault="00A06A5C">
          <w:pPr>
            <w:pStyle w:val="TOC1"/>
            <w:rPr>
              <w:rFonts w:asciiTheme="minorHAnsi" w:eastAsiaTheme="minorEastAsia" w:hAnsiTheme="minorHAnsi"/>
              <w:bCs w:val="0"/>
              <w:lang w:eastAsia="en-GB" w:bidi="ar-SA"/>
            </w:rPr>
          </w:pPr>
          <w:hyperlink w:anchor="_Toc399168592" w:history="1">
            <w:r w:rsidR="003B57B7" w:rsidRPr="001136B8">
              <w:rPr>
                <w:rStyle w:val="Hyperlink"/>
                <w:rFonts w:eastAsiaTheme="majorEastAsia"/>
              </w:rPr>
              <w:t>Annex 1: Indicator definitions</w:t>
            </w:r>
            <w:r w:rsidR="003B57B7">
              <w:rPr>
                <w:webHidden/>
              </w:rPr>
              <w:tab/>
            </w:r>
            <w:r w:rsidR="0030568D">
              <w:rPr>
                <w:webHidden/>
              </w:rPr>
              <w:fldChar w:fldCharType="begin"/>
            </w:r>
            <w:r w:rsidR="003B57B7">
              <w:rPr>
                <w:webHidden/>
              </w:rPr>
              <w:instrText xml:space="preserve"> PAGEREF _Toc399168592 \h </w:instrText>
            </w:r>
            <w:r w:rsidR="0030568D">
              <w:rPr>
                <w:webHidden/>
              </w:rPr>
            </w:r>
            <w:r w:rsidR="0030568D">
              <w:rPr>
                <w:webHidden/>
              </w:rPr>
              <w:fldChar w:fldCharType="separate"/>
            </w:r>
            <w:r w:rsidR="00345D43">
              <w:rPr>
                <w:webHidden/>
              </w:rPr>
              <w:t>31</w:t>
            </w:r>
            <w:r w:rsidR="0030568D">
              <w:rPr>
                <w:webHidden/>
              </w:rPr>
              <w:fldChar w:fldCharType="end"/>
            </w:r>
          </w:hyperlink>
        </w:p>
        <w:p w:rsidR="003B57B7" w:rsidRDefault="00A06A5C">
          <w:pPr>
            <w:pStyle w:val="TOC1"/>
            <w:rPr>
              <w:rFonts w:asciiTheme="minorHAnsi" w:eastAsiaTheme="minorEastAsia" w:hAnsiTheme="minorHAnsi"/>
              <w:bCs w:val="0"/>
              <w:lang w:eastAsia="en-GB" w:bidi="ar-SA"/>
            </w:rPr>
          </w:pPr>
          <w:hyperlink w:anchor="_Toc399168593" w:history="1">
            <w:r w:rsidR="003B57B7" w:rsidRPr="001136B8">
              <w:rPr>
                <w:rStyle w:val="Hyperlink"/>
                <w:rFonts w:eastAsiaTheme="majorEastAsia"/>
              </w:rPr>
              <w:t>Annex 2: Data quality tests</w:t>
            </w:r>
            <w:r w:rsidR="003B57B7">
              <w:rPr>
                <w:webHidden/>
              </w:rPr>
              <w:tab/>
            </w:r>
            <w:r w:rsidR="0030568D">
              <w:rPr>
                <w:webHidden/>
              </w:rPr>
              <w:fldChar w:fldCharType="begin"/>
            </w:r>
            <w:r w:rsidR="003B57B7">
              <w:rPr>
                <w:webHidden/>
              </w:rPr>
              <w:instrText xml:space="preserve"> PAGEREF _Toc399168593 \h </w:instrText>
            </w:r>
            <w:r w:rsidR="0030568D">
              <w:rPr>
                <w:webHidden/>
              </w:rPr>
            </w:r>
            <w:r w:rsidR="0030568D">
              <w:rPr>
                <w:webHidden/>
              </w:rPr>
              <w:fldChar w:fldCharType="separate"/>
            </w:r>
            <w:r w:rsidR="00345D43">
              <w:rPr>
                <w:webHidden/>
              </w:rPr>
              <w:t>43</w:t>
            </w:r>
            <w:r w:rsidR="0030568D">
              <w:rPr>
                <w:webHidden/>
              </w:rPr>
              <w:fldChar w:fldCharType="end"/>
            </w:r>
          </w:hyperlink>
        </w:p>
        <w:p w:rsidR="004960F3" w:rsidRDefault="0030568D">
          <w:r>
            <w:rPr>
              <w:b/>
              <w:bCs/>
              <w:noProof/>
            </w:rPr>
            <w:fldChar w:fldCharType="end"/>
          </w:r>
        </w:p>
      </w:sdtContent>
    </w:sdt>
    <w:p w:rsidR="00FF07EE" w:rsidRPr="00FF07EE" w:rsidRDefault="00FF07EE" w:rsidP="00FF07EE">
      <w:pPr>
        <w:sectPr w:rsidR="00FF07EE" w:rsidRPr="00FF07EE" w:rsidSect="002B2AC5">
          <w:footerReference w:type="default" r:id="rId8"/>
          <w:pgSz w:w="16838" w:h="11906" w:orient="landscape"/>
          <w:pgMar w:top="1021" w:right="1021" w:bottom="1021" w:left="1021" w:header="709" w:footer="709" w:gutter="0"/>
          <w:pgNumType w:fmt="lowerRoman" w:start="1"/>
          <w:cols w:space="708"/>
          <w:docGrid w:linePitch="360"/>
        </w:sectPr>
      </w:pPr>
    </w:p>
    <w:p w:rsidR="0027047F" w:rsidRPr="0027047F" w:rsidRDefault="0027047F" w:rsidP="0027047F">
      <w:pPr>
        <w:pStyle w:val="Heading1"/>
        <w:pBdr>
          <w:bottom w:val="single" w:sz="4" w:space="1" w:color="auto"/>
        </w:pBdr>
        <w:spacing w:before="0" w:after="200" w:line="240" w:lineRule="auto"/>
        <w:rPr>
          <w:sz w:val="36"/>
        </w:rPr>
      </w:pPr>
      <w:bookmarkStart w:id="7" w:name="_Toc273694250"/>
      <w:bookmarkStart w:id="8" w:name="_Toc273732784"/>
      <w:bookmarkStart w:id="9" w:name="_Toc369018202"/>
      <w:bookmarkStart w:id="10" w:name="_Toc399168584"/>
      <w:r w:rsidRPr="00040928">
        <w:rPr>
          <w:sz w:val="36"/>
        </w:rPr>
        <w:lastRenderedPageBreak/>
        <w:t xml:space="preserve">Acronyms </w:t>
      </w:r>
      <w:r w:rsidRPr="00394D03">
        <w:rPr>
          <w:color w:val="365F91"/>
          <w:sz w:val="36"/>
        </w:rPr>
        <w:t>and</w:t>
      </w:r>
      <w:r w:rsidRPr="00040928">
        <w:rPr>
          <w:sz w:val="36"/>
        </w:rPr>
        <w:t xml:space="preserve"> Abbreviations</w:t>
      </w:r>
      <w:bookmarkEnd w:id="7"/>
      <w:bookmarkEnd w:id="8"/>
      <w:bookmarkEnd w:id="9"/>
      <w:bookmarkEnd w:id="10"/>
    </w:p>
    <w:p w:rsidR="0027047F" w:rsidRPr="00375E5D" w:rsidRDefault="0027047F" w:rsidP="000B005C">
      <w:pPr>
        <w:spacing w:after="0" w:line="240" w:lineRule="auto"/>
      </w:pPr>
    </w:p>
    <w:tbl>
      <w:tblPr>
        <w:tblStyle w:val="TableGrid"/>
        <w:tblW w:w="0" w:type="auto"/>
        <w:tblInd w:w="108" w:type="dxa"/>
        <w:tblLook w:val="04A0" w:firstRow="1" w:lastRow="0" w:firstColumn="1" w:lastColumn="0" w:noHBand="0" w:noVBand="1"/>
      </w:tblPr>
      <w:tblGrid>
        <w:gridCol w:w="728"/>
        <w:gridCol w:w="12748"/>
      </w:tblGrid>
      <w:tr w:rsidR="00FC0BC5" w:rsidRPr="00643E95" w:rsidTr="00FC0BC5">
        <w:trPr>
          <w:trHeight w:val="284"/>
        </w:trPr>
        <w:tc>
          <w:tcPr>
            <w:tcW w:w="728" w:type="dxa"/>
            <w:vAlign w:val="center"/>
          </w:tcPr>
          <w:p w:rsidR="00FC0BC5" w:rsidRPr="00643E95" w:rsidRDefault="00FC0BC5" w:rsidP="00553C6C">
            <w:pPr>
              <w:rPr>
                <w:rFonts w:cstheme="minorHAnsi"/>
                <w:sz w:val="20"/>
                <w:szCs w:val="20"/>
              </w:rPr>
            </w:pPr>
            <w:r>
              <w:rPr>
                <w:rFonts w:cstheme="minorHAnsi"/>
                <w:sz w:val="20"/>
                <w:szCs w:val="20"/>
              </w:rPr>
              <w:t>AIMS</w:t>
            </w:r>
          </w:p>
        </w:tc>
        <w:tc>
          <w:tcPr>
            <w:tcW w:w="12748" w:type="dxa"/>
            <w:vAlign w:val="center"/>
          </w:tcPr>
          <w:p w:rsidR="00FC0BC5" w:rsidRPr="00643E95" w:rsidRDefault="00FC0BC5" w:rsidP="00553C6C">
            <w:pPr>
              <w:rPr>
                <w:rFonts w:cstheme="minorHAnsi"/>
                <w:sz w:val="20"/>
                <w:szCs w:val="20"/>
              </w:rPr>
            </w:pPr>
            <w:r>
              <w:rPr>
                <w:rFonts w:cstheme="minorHAnsi"/>
                <w:sz w:val="20"/>
                <w:szCs w:val="20"/>
              </w:rPr>
              <w:t>Aid Information Management System</w:t>
            </w:r>
          </w:p>
        </w:tc>
      </w:tr>
      <w:tr w:rsidR="0087570D" w:rsidRPr="00643E95" w:rsidTr="00FC0BC5">
        <w:trPr>
          <w:trHeight w:val="284"/>
        </w:trPr>
        <w:tc>
          <w:tcPr>
            <w:tcW w:w="728" w:type="dxa"/>
            <w:vAlign w:val="center"/>
          </w:tcPr>
          <w:p w:rsidR="0087570D" w:rsidRPr="00643E95" w:rsidRDefault="0087570D" w:rsidP="00553C6C">
            <w:pPr>
              <w:rPr>
                <w:rFonts w:cstheme="minorHAnsi"/>
                <w:sz w:val="20"/>
                <w:szCs w:val="20"/>
              </w:rPr>
            </w:pPr>
            <w:r w:rsidRPr="00643E95">
              <w:rPr>
                <w:rFonts w:cstheme="minorHAnsi"/>
                <w:sz w:val="20"/>
                <w:szCs w:val="20"/>
              </w:rPr>
              <w:t>CPA</w:t>
            </w:r>
          </w:p>
        </w:tc>
        <w:tc>
          <w:tcPr>
            <w:tcW w:w="12748" w:type="dxa"/>
            <w:vAlign w:val="center"/>
          </w:tcPr>
          <w:p w:rsidR="0087570D" w:rsidRPr="00643E95" w:rsidRDefault="0087570D" w:rsidP="00553C6C">
            <w:pPr>
              <w:rPr>
                <w:rFonts w:cstheme="minorHAnsi"/>
                <w:sz w:val="20"/>
                <w:szCs w:val="20"/>
              </w:rPr>
            </w:pPr>
            <w:r w:rsidRPr="00643E95">
              <w:rPr>
                <w:rFonts w:cstheme="minorHAnsi"/>
                <w:sz w:val="20"/>
                <w:szCs w:val="20"/>
              </w:rPr>
              <w:t>Country Programmable Aid</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CRS</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Creditor Reporting System (of the OECD DAC)</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CSO</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Civil society organisation</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CSV</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Comma separated values</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DAC</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Development Assistance Committee (of the OECD)</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DFI</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Development Finance Institution</w:t>
            </w:r>
          </w:p>
        </w:tc>
      </w:tr>
      <w:tr w:rsidR="00880ABE" w:rsidRPr="00643E95" w:rsidTr="00FC0BC5">
        <w:trPr>
          <w:trHeight w:val="284"/>
        </w:trPr>
        <w:tc>
          <w:tcPr>
            <w:tcW w:w="728" w:type="dxa"/>
            <w:vAlign w:val="center"/>
          </w:tcPr>
          <w:p w:rsidR="00880ABE" w:rsidRPr="00643E95" w:rsidRDefault="00880ABE" w:rsidP="00553C6C">
            <w:pPr>
              <w:rPr>
                <w:rFonts w:cstheme="minorHAnsi"/>
                <w:sz w:val="20"/>
                <w:szCs w:val="20"/>
              </w:rPr>
            </w:pPr>
            <w:r w:rsidRPr="00643E95">
              <w:rPr>
                <w:rFonts w:cstheme="minorHAnsi"/>
                <w:sz w:val="20"/>
                <w:szCs w:val="20"/>
              </w:rPr>
              <w:t>DFID</w:t>
            </w:r>
          </w:p>
        </w:tc>
        <w:tc>
          <w:tcPr>
            <w:tcW w:w="12748" w:type="dxa"/>
            <w:vAlign w:val="center"/>
          </w:tcPr>
          <w:p w:rsidR="00880ABE" w:rsidRPr="00643E95" w:rsidRDefault="00880ABE" w:rsidP="00553C6C">
            <w:pPr>
              <w:rPr>
                <w:rFonts w:cstheme="minorHAnsi"/>
                <w:sz w:val="20"/>
                <w:szCs w:val="20"/>
              </w:rPr>
            </w:pPr>
            <w:r w:rsidRPr="00643E95">
              <w:rPr>
                <w:rFonts w:cstheme="minorHAnsi"/>
                <w:sz w:val="20"/>
                <w:szCs w:val="20"/>
              </w:rPr>
              <w:t>Department for International Development</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EC</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European Commission</w:t>
            </w:r>
          </w:p>
        </w:tc>
      </w:tr>
      <w:tr w:rsidR="00EB2722" w:rsidRPr="00643E95" w:rsidTr="00FC0BC5">
        <w:trPr>
          <w:trHeight w:val="284"/>
        </w:trPr>
        <w:tc>
          <w:tcPr>
            <w:tcW w:w="728" w:type="dxa"/>
            <w:vAlign w:val="center"/>
          </w:tcPr>
          <w:p w:rsidR="00EB2722" w:rsidRPr="00643E95" w:rsidRDefault="00EB2722" w:rsidP="00676A8E">
            <w:pPr>
              <w:rPr>
                <w:rFonts w:cstheme="minorHAnsi"/>
                <w:sz w:val="20"/>
                <w:szCs w:val="20"/>
              </w:rPr>
            </w:pPr>
            <w:r w:rsidRPr="00643E95">
              <w:rPr>
                <w:rFonts w:cstheme="minorHAnsi"/>
                <w:sz w:val="20"/>
                <w:szCs w:val="20"/>
              </w:rPr>
              <w:t>ECHO</w:t>
            </w:r>
          </w:p>
        </w:tc>
        <w:tc>
          <w:tcPr>
            <w:tcW w:w="12748" w:type="dxa"/>
            <w:vAlign w:val="center"/>
          </w:tcPr>
          <w:p w:rsidR="00EB2722" w:rsidRPr="00643E95" w:rsidRDefault="00EB2722" w:rsidP="00676A8E">
            <w:pPr>
              <w:rPr>
                <w:rFonts w:cstheme="minorHAnsi"/>
                <w:sz w:val="20"/>
                <w:szCs w:val="20"/>
              </w:rPr>
            </w:pPr>
            <w:r w:rsidRPr="00643E95">
              <w:rPr>
                <w:rFonts w:cstheme="minorHAnsi"/>
                <w:sz w:val="20"/>
                <w:szCs w:val="20"/>
                <w:shd w:val="clear" w:color="auto" w:fill="FFFFFF"/>
              </w:rPr>
              <w:t xml:space="preserve">Humanitarian Aid and Civil Protection </w:t>
            </w:r>
            <w:r w:rsidRPr="00643E95">
              <w:rPr>
                <w:rFonts w:cstheme="minorHAnsi"/>
                <w:sz w:val="20"/>
                <w:szCs w:val="20"/>
              </w:rPr>
              <w:t>Department (European Commission)</w:t>
            </w:r>
          </w:p>
        </w:tc>
      </w:tr>
      <w:tr w:rsidR="00553C6C" w:rsidRPr="00643E95" w:rsidTr="00FC0BC5">
        <w:trPr>
          <w:trHeight w:val="284"/>
        </w:trPr>
        <w:tc>
          <w:tcPr>
            <w:tcW w:w="728" w:type="dxa"/>
            <w:vAlign w:val="center"/>
          </w:tcPr>
          <w:p w:rsidR="00553C6C" w:rsidRPr="00643E95" w:rsidRDefault="00553C6C" w:rsidP="00553C6C">
            <w:pPr>
              <w:rPr>
                <w:rFonts w:cstheme="minorHAnsi"/>
                <w:sz w:val="20"/>
                <w:szCs w:val="20"/>
              </w:rPr>
            </w:pPr>
            <w:r w:rsidRPr="00643E95">
              <w:rPr>
                <w:rFonts w:cstheme="minorHAnsi"/>
                <w:sz w:val="20"/>
                <w:szCs w:val="20"/>
              </w:rPr>
              <w:t>FOI(A)</w:t>
            </w:r>
          </w:p>
        </w:tc>
        <w:tc>
          <w:tcPr>
            <w:tcW w:w="12748" w:type="dxa"/>
            <w:vAlign w:val="center"/>
          </w:tcPr>
          <w:p w:rsidR="00553C6C" w:rsidRPr="00643E95" w:rsidRDefault="00553C6C" w:rsidP="00553C6C">
            <w:pPr>
              <w:rPr>
                <w:rFonts w:cstheme="minorHAnsi"/>
                <w:sz w:val="20"/>
                <w:szCs w:val="20"/>
              </w:rPr>
            </w:pPr>
            <w:r w:rsidRPr="00643E95">
              <w:rPr>
                <w:rFonts w:cstheme="minorHAnsi"/>
                <w:sz w:val="20"/>
                <w:szCs w:val="20"/>
              </w:rPr>
              <w:t>Freedom of Information (Act)</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G8</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Group of Eight</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HLF-4</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Fourth High Level Forum on Aid Effectiveness</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HTML</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HyperText Markup Language</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IATI</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International Aid Transparency Initiative</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IFI</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International Financial Institution</w:t>
            </w:r>
          </w:p>
        </w:tc>
      </w:tr>
      <w:tr w:rsidR="00EB2722" w:rsidRPr="00643E95" w:rsidTr="00FC0BC5">
        <w:trPr>
          <w:trHeight w:val="284"/>
        </w:trPr>
        <w:tc>
          <w:tcPr>
            <w:tcW w:w="728" w:type="dxa"/>
            <w:vAlign w:val="center"/>
          </w:tcPr>
          <w:p w:rsidR="00EB2722" w:rsidRPr="00643E95" w:rsidRDefault="00EB2722" w:rsidP="00553C6C">
            <w:pPr>
              <w:rPr>
                <w:rFonts w:cstheme="minorHAnsi"/>
                <w:sz w:val="20"/>
                <w:szCs w:val="20"/>
              </w:rPr>
            </w:pPr>
            <w:r w:rsidRPr="00643E95">
              <w:rPr>
                <w:rFonts w:cstheme="minorHAnsi"/>
                <w:sz w:val="20"/>
                <w:szCs w:val="20"/>
              </w:rPr>
              <w:t>MFA</w:t>
            </w:r>
          </w:p>
        </w:tc>
        <w:tc>
          <w:tcPr>
            <w:tcW w:w="12748" w:type="dxa"/>
            <w:vAlign w:val="center"/>
          </w:tcPr>
          <w:p w:rsidR="00EB2722" w:rsidRPr="00643E95" w:rsidRDefault="00EB2722" w:rsidP="00553C6C">
            <w:pPr>
              <w:rPr>
                <w:rFonts w:cstheme="minorHAnsi"/>
                <w:sz w:val="20"/>
                <w:szCs w:val="20"/>
              </w:rPr>
            </w:pPr>
            <w:r w:rsidRPr="00643E95">
              <w:rPr>
                <w:rFonts w:cstheme="minorHAnsi"/>
                <w:sz w:val="20"/>
                <w:szCs w:val="20"/>
              </w:rPr>
              <w:t>Ministry of Foreign Affairs</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MoU</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Memorandum of Understanding</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NGO</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Non</w:t>
            </w:r>
            <w:r w:rsidR="000B005C" w:rsidRPr="00643E95">
              <w:rPr>
                <w:rFonts w:cstheme="minorHAnsi"/>
                <w:sz w:val="20"/>
                <w:szCs w:val="20"/>
              </w:rPr>
              <w:t>-</w:t>
            </w:r>
            <w:r w:rsidRPr="00643E95">
              <w:rPr>
                <w:rFonts w:cstheme="minorHAnsi"/>
                <w:sz w:val="20"/>
                <w:szCs w:val="20"/>
              </w:rPr>
              <w:t>governmental organisation</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ODA</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Official Development Assistance (definition of OECD DAC)</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ODF</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Official Development Finance (definition of OECD DAC)</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OECD</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Organisation for Economic Co-operation and Development</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PDF</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Portable Document Format</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RTI</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Right to Information</w:t>
            </w:r>
          </w:p>
        </w:tc>
      </w:tr>
      <w:tr w:rsidR="00D53219" w:rsidRPr="00643E95" w:rsidTr="00FC0BC5">
        <w:trPr>
          <w:trHeight w:val="284"/>
        </w:trPr>
        <w:tc>
          <w:tcPr>
            <w:tcW w:w="728" w:type="dxa"/>
            <w:vAlign w:val="center"/>
          </w:tcPr>
          <w:p w:rsidR="00D53219" w:rsidRPr="00643E95" w:rsidRDefault="00D53219" w:rsidP="00553C6C">
            <w:pPr>
              <w:rPr>
                <w:rFonts w:cstheme="minorHAnsi"/>
                <w:sz w:val="20"/>
                <w:szCs w:val="20"/>
              </w:rPr>
            </w:pPr>
            <w:r w:rsidRPr="00643E95">
              <w:rPr>
                <w:rFonts w:cstheme="minorHAnsi"/>
                <w:sz w:val="20"/>
                <w:szCs w:val="20"/>
              </w:rPr>
              <w:t>UK</w:t>
            </w:r>
          </w:p>
        </w:tc>
        <w:tc>
          <w:tcPr>
            <w:tcW w:w="12748" w:type="dxa"/>
            <w:vAlign w:val="center"/>
          </w:tcPr>
          <w:p w:rsidR="00D53219" w:rsidRPr="00643E95" w:rsidRDefault="00D53219" w:rsidP="00553C6C">
            <w:pPr>
              <w:rPr>
                <w:rFonts w:cstheme="minorHAnsi"/>
                <w:sz w:val="20"/>
                <w:szCs w:val="20"/>
              </w:rPr>
            </w:pPr>
            <w:r w:rsidRPr="00643E95">
              <w:rPr>
                <w:rFonts w:cstheme="minorHAnsi"/>
                <w:sz w:val="20"/>
                <w:szCs w:val="20"/>
              </w:rPr>
              <w:t>United Kingdom</w:t>
            </w:r>
          </w:p>
        </w:tc>
      </w:tr>
      <w:tr w:rsidR="00D53219" w:rsidRPr="00643E95" w:rsidTr="00FC0BC5">
        <w:trPr>
          <w:trHeight w:val="284"/>
        </w:trPr>
        <w:tc>
          <w:tcPr>
            <w:tcW w:w="728" w:type="dxa"/>
            <w:vAlign w:val="center"/>
          </w:tcPr>
          <w:p w:rsidR="00D53219" w:rsidRPr="00643E95" w:rsidRDefault="00D53219" w:rsidP="00553C6C">
            <w:pPr>
              <w:rPr>
                <w:rFonts w:cstheme="minorHAnsi"/>
                <w:sz w:val="20"/>
                <w:szCs w:val="20"/>
              </w:rPr>
            </w:pPr>
            <w:r w:rsidRPr="00643E95">
              <w:rPr>
                <w:rFonts w:cstheme="minorHAnsi"/>
                <w:sz w:val="20"/>
                <w:szCs w:val="20"/>
              </w:rPr>
              <w:t>UN</w:t>
            </w:r>
          </w:p>
        </w:tc>
        <w:tc>
          <w:tcPr>
            <w:tcW w:w="12748" w:type="dxa"/>
            <w:vAlign w:val="center"/>
          </w:tcPr>
          <w:p w:rsidR="00D53219" w:rsidRPr="00643E95" w:rsidRDefault="00D53219" w:rsidP="00553C6C">
            <w:pPr>
              <w:rPr>
                <w:rFonts w:cstheme="minorHAnsi"/>
                <w:sz w:val="20"/>
                <w:szCs w:val="20"/>
              </w:rPr>
            </w:pPr>
            <w:r w:rsidRPr="00643E95">
              <w:rPr>
                <w:rFonts w:cstheme="minorHAnsi"/>
                <w:sz w:val="20"/>
                <w:szCs w:val="20"/>
              </w:rPr>
              <w:t>United Nations</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URL</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Uniform Resource Locator</w:t>
            </w:r>
          </w:p>
        </w:tc>
      </w:tr>
      <w:tr w:rsidR="00D53219" w:rsidRPr="00643E95" w:rsidTr="00FC0BC5">
        <w:trPr>
          <w:trHeight w:val="284"/>
        </w:trPr>
        <w:tc>
          <w:tcPr>
            <w:tcW w:w="728" w:type="dxa"/>
            <w:vAlign w:val="center"/>
          </w:tcPr>
          <w:p w:rsidR="00D53219" w:rsidRPr="00643E95" w:rsidRDefault="00D53219" w:rsidP="00553C6C">
            <w:pPr>
              <w:rPr>
                <w:rFonts w:cstheme="minorHAnsi"/>
                <w:sz w:val="20"/>
                <w:szCs w:val="20"/>
              </w:rPr>
            </w:pPr>
            <w:r w:rsidRPr="00643E95">
              <w:rPr>
                <w:rFonts w:cstheme="minorHAnsi"/>
                <w:sz w:val="20"/>
                <w:szCs w:val="20"/>
              </w:rPr>
              <w:t>U.S.</w:t>
            </w:r>
          </w:p>
        </w:tc>
        <w:tc>
          <w:tcPr>
            <w:tcW w:w="12748" w:type="dxa"/>
            <w:vAlign w:val="center"/>
          </w:tcPr>
          <w:p w:rsidR="00D53219" w:rsidRPr="00643E95" w:rsidRDefault="00D53219" w:rsidP="00553C6C">
            <w:pPr>
              <w:rPr>
                <w:rFonts w:cstheme="minorHAnsi"/>
                <w:sz w:val="20"/>
                <w:szCs w:val="20"/>
              </w:rPr>
            </w:pPr>
            <w:r w:rsidRPr="00643E95">
              <w:rPr>
                <w:rFonts w:cstheme="minorHAnsi"/>
                <w:sz w:val="20"/>
                <w:szCs w:val="20"/>
              </w:rPr>
              <w:t>United States (of America)</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USD</w:t>
            </w:r>
          </w:p>
        </w:tc>
        <w:tc>
          <w:tcPr>
            <w:tcW w:w="12748" w:type="dxa"/>
            <w:vAlign w:val="center"/>
          </w:tcPr>
          <w:p w:rsidR="0027047F" w:rsidRPr="00643E95" w:rsidRDefault="0027047F" w:rsidP="00553C6C">
            <w:pPr>
              <w:rPr>
                <w:rFonts w:cstheme="minorHAnsi"/>
                <w:sz w:val="20"/>
                <w:szCs w:val="20"/>
              </w:rPr>
            </w:pPr>
            <w:r w:rsidRPr="00643E95">
              <w:rPr>
                <w:rFonts w:cstheme="minorHAnsi"/>
                <w:sz w:val="20"/>
                <w:szCs w:val="20"/>
              </w:rPr>
              <w:t>United States Dollar</w:t>
            </w:r>
          </w:p>
        </w:tc>
      </w:tr>
      <w:tr w:rsidR="0027047F" w:rsidRPr="00643E95" w:rsidTr="00FC0BC5">
        <w:trPr>
          <w:trHeight w:val="284"/>
        </w:trPr>
        <w:tc>
          <w:tcPr>
            <w:tcW w:w="728" w:type="dxa"/>
            <w:vAlign w:val="center"/>
          </w:tcPr>
          <w:p w:rsidR="0027047F" w:rsidRPr="00643E95" w:rsidRDefault="0027047F" w:rsidP="00553C6C">
            <w:pPr>
              <w:rPr>
                <w:rFonts w:cstheme="minorHAnsi"/>
                <w:sz w:val="20"/>
                <w:szCs w:val="20"/>
              </w:rPr>
            </w:pPr>
            <w:r w:rsidRPr="00643E95">
              <w:rPr>
                <w:rFonts w:cstheme="minorHAnsi"/>
                <w:sz w:val="20"/>
                <w:szCs w:val="20"/>
              </w:rPr>
              <w:t>XML</w:t>
            </w:r>
          </w:p>
        </w:tc>
        <w:tc>
          <w:tcPr>
            <w:tcW w:w="12748" w:type="dxa"/>
            <w:vAlign w:val="center"/>
          </w:tcPr>
          <w:p w:rsidR="0027047F" w:rsidRPr="00643E95" w:rsidRDefault="0027047F" w:rsidP="00553C6C">
            <w:pPr>
              <w:rPr>
                <w:rFonts w:cstheme="minorHAnsi"/>
                <w:sz w:val="20"/>
                <w:szCs w:val="20"/>
              </w:rPr>
            </w:pPr>
            <w:r w:rsidRPr="00643E95">
              <w:rPr>
                <w:rFonts w:cs="Arial"/>
                <w:sz w:val="20"/>
                <w:szCs w:val="20"/>
                <w:shd w:val="clear" w:color="auto" w:fill="FFFFFF"/>
              </w:rPr>
              <w:t>Extensible Markup Language</w:t>
            </w:r>
          </w:p>
        </w:tc>
      </w:tr>
    </w:tbl>
    <w:p w:rsidR="0027047F" w:rsidRDefault="0027047F" w:rsidP="0027047F">
      <w:pPr>
        <w:sectPr w:rsidR="0027047F" w:rsidSect="002B2AC5">
          <w:footerReference w:type="default" r:id="rId9"/>
          <w:pgSz w:w="16838" w:h="11906" w:orient="landscape" w:code="9"/>
          <w:pgMar w:top="1021" w:right="1021" w:bottom="1021" w:left="1021" w:header="567" w:footer="567" w:gutter="0"/>
          <w:pgNumType w:fmt="lowerRoman"/>
          <w:cols w:space="708"/>
          <w:docGrid w:linePitch="360"/>
        </w:sectPr>
      </w:pPr>
    </w:p>
    <w:p w:rsidR="00251C40" w:rsidRPr="000445AB" w:rsidRDefault="00251C40" w:rsidP="00935A49">
      <w:pPr>
        <w:pStyle w:val="Heading1"/>
        <w:pBdr>
          <w:bottom w:val="single" w:sz="4" w:space="1" w:color="auto"/>
        </w:pBdr>
        <w:spacing w:before="0" w:after="200" w:line="240" w:lineRule="auto"/>
        <w:rPr>
          <w:sz w:val="36"/>
        </w:rPr>
      </w:pPr>
      <w:bookmarkStart w:id="11" w:name="_Toc399168585"/>
      <w:r w:rsidRPr="000445AB">
        <w:rPr>
          <w:sz w:val="36"/>
        </w:rPr>
        <w:lastRenderedPageBreak/>
        <w:t>Introduction</w:t>
      </w:r>
      <w:bookmarkEnd w:id="11"/>
    </w:p>
    <w:p w:rsidR="00EE0E03" w:rsidRDefault="00EE0E03" w:rsidP="00935A49">
      <w:pPr>
        <w:spacing w:after="0" w:line="240" w:lineRule="auto"/>
      </w:pPr>
      <w:r w:rsidRPr="00423FCC">
        <w:t xml:space="preserve">This technical paper sets out the approach </w:t>
      </w:r>
      <w:r w:rsidR="00744257">
        <w:t>used to compile</w:t>
      </w:r>
      <w:r w:rsidRPr="00423FCC">
        <w:t xml:space="preserve"> the 201</w:t>
      </w:r>
      <w:r w:rsidR="00744257">
        <w:t>4</w:t>
      </w:r>
      <w:r w:rsidRPr="00423FCC">
        <w:t xml:space="preserve"> Aid Transparency Index</w:t>
      </w:r>
      <w:r w:rsidR="00744257">
        <w:t xml:space="preserve"> (ATI)</w:t>
      </w:r>
      <w:r w:rsidRPr="00423FCC">
        <w:t>, including the methodology, donor selection criteria,</w:t>
      </w:r>
      <w:r w:rsidR="003E61FC" w:rsidRPr="00423FCC">
        <w:t xml:space="preserve"> indicator scoring and weighting,</w:t>
      </w:r>
      <w:r w:rsidRPr="00423FCC">
        <w:t xml:space="preserve"> </w:t>
      </w:r>
      <w:r w:rsidR="00FF07EE">
        <w:t xml:space="preserve">the </w:t>
      </w:r>
      <w:r w:rsidRPr="00423FCC">
        <w:t xml:space="preserve">data collection process, interpreting and comparing results and limitations. </w:t>
      </w:r>
    </w:p>
    <w:p w:rsidR="00913ED9" w:rsidRPr="00423FCC" w:rsidRDefault="00913ED9" w:rsidP="00935A49">
      <w:pPr>
        <w:spacing w:after="0" w:line="240" w:lineRule="auto"/>
      </w:pPr>
    </w:p>
    <w:p w:rsidR="00C341B3" w:rsidRPr="00394D03" w:rsidRDefault="00744257" w:rsidP="00394D03">
      <w:pPr>
        <w:pStyle w:val="Heading4"/>
        <w:spacing w:before="0" w:line="240" w:lineRule="auto"/>
        <w:rPr>
          <w:rFonts w:ascii="Cambria" w:eastAsia="Calibri" w:hAnsi="Cambria" w:cs="Times New Roman"/>
          <w:i w:val="0"/>
          <w:iCs w:val="0"/>
          <w:color w:val="4F81BD"/>
          <w:sz w:val="28"/>
          <w:szCs w:val="26"/>
        </w:rPr>
      </w:pPr>
      <w:r w:rsidRPr="00394D03">
        <w:rPr>
          <w:rFonts w:ascii="Cambria" w:eastAsia="Calibri" w:hAnsi="Cambria" w:cs="Times New Roman"/>
          <w:i w:val="0"/>
          <w:iCs w:val="0"/>
          <w:color w:val="4F81BD"/>
          <w:sz w:val="28"/>
          <w:szCs w:val="26"/>
        </w:rPr>
        <w:t xml:space="preserve">Maintaining the </w:t>
      </w:r>
      <w:r w:rsidR="00C341B3" w:rsidRPr="00394D03">
        <w:rPr>
          <w:rFonts w:ascii="Cambria" w:eastAsia="Calibri" w:hAnsi="Cambria" w:cs="Times New Roman"/>
          <w:i w:val="0"/>
          <w:iCs w:val="0"/>
          <w:color w:val="4F81BD"/>
          <w:sz w:val="28"/>
          <w:szCs w:val="26"/>
        </w:rPr>
        <w:t xml:space="preserve">methodology </w:t>
      </w:r>
      <w:r w:rsidRPr="00394D03">
        <w:rPr>
          <w:rFonts w:ascii="Cambria" w:eastAsia="Calibri" w:hAnsi="Cambria" w:cs="Times New Roman"/>
          <w:i w:val="0"/>
          <w:iCs w:val="0"/>
          <w:color w:val="4F81BD"/>
          <w:sz w:val="28"/>
          <w:szCs w:val="26"/>
        </w:rPr>
        <w:t>in 2014</w:t>
      </w:r>
      <w:r w:rsidR="00C341B3" w:rsidRPr="00394D03">
        <w:rPr>
          <w:rFonts w:ascii="Cambria" w:eastAsia="Calibri" w:hAnsi="Cambria" w:cs="Times New Roman"/>
          <w:i w:val="0"/>
          <w:iCs w:val="0"/>
          <w:color w:val="4F81BD"/>
          <w:sz w:val="28"/>
          <w:szCs w:val="26"/>
        </w:rPr>
        <w:t xml:space="preserve"> </w:t>
      </w:r>
    </w:p>
    <w:p w:rsidR="00394D03" w:rsidRDefault="00394D03" w:rsidP="00935A49">
      <w:pPr>
        <w:spacing w:after="0" w:line="240" w:lineRule="auto"/>
      </w:pPr>
    </w:p>
    <w:p w:rsidR="00C341B3" w:rsidRDefault="00744257" w:rsidP="00935A49">
      <w:pPr>
        <w:spacing w:after="0" w:line="240" w:lineRule="auto"/>
      </w:pPr>
      <w:r>
        <w:t>A new methodology was used in the 2013 ATI</w:t>
      </w:r>
      <w:r w:rsidR="00C341B3" w:rsidRPr="00423FCC">
        <w:t xml:space="preserve">, recognising changes in the global environment since </w:t>
      </w:r>
      <w:r w:rsidR="00FF07EE">
        <w:t xml:space="preserve">the Fourth High Level Forum </w:t>
      </w:r>
      <w:r w:rsidR="004D7ACF">
        <w:t xml:space="preserve">(HLF-4) </w:t>
      </w:r>
      <w:r w:rsidR="00FF07EE">
        <w:t xml:space="preserve">in </w:t>
      </w:r>
      <w:r w:rsidR="00C341B3" w:rsidRPr="00423FCC">
        <w:t>Busan and the significant progress donor</w:t>
      </w:r>
      <w:r>
        <w:t xml:space="preserve"> organisation</w:t>
      </w:r>
      <w:r w:rsidR="00C341B3" w:rsidRPr="00423FCC">
        <w:t>s ha</w:t>
      </w:r>
      <w:r>
        <w:t>d</w:t>
      </w:r>
      <w:r w:rsidR="00C341B3" w:rsidRPr="00423FCC">
        <w:t xml:space="preserve"> made in increasing their aid transparency, both in terms of commitments and publication.</w:t>
      </w:r>
      <w:r w:rsidR="00CE3F75">
        <w:rPr>
          <w:rStyle w:val="FootnoteReference"/>
        </w:rPr>
        <w:footnoteReference w:id="1"/>
      </w:r>
      <w:r w:rsidR="00345D43">
        <w:t xml:space="preserve"> </w:t>
      </w:r>
      <w:r w:rsidR="00C06E6E">
        <w:t>The same methodology is used in</w:t>
      </w:r>
      <w:r>
        <w:t xml:space="preserve"> 2014, meaning that the Index </w:t>
      </w:r>
      <w:r w:rsidR="00075085">
        <w:t>continues</w:t>
      </w:r>
      <w:r>
        <w:t xml:space="preserve"> to </w:t>
      </w:r>
      <w:r w:rsidR="006E320C">
        <w:t xml:space="preserve">use 39 indicators to </w:t>
      </w:r>
      <w:r>
        <w:t>monitor both the</w:t>
      </w:r>
      <w:r w:rsidR="00C341B3" w:rsidRPr="00423FCC">
        <w:t xml:space="preserve"> availability of aid information</w:t>
      </w:r>
      <w:r>
        <w:t xml:space="preserve"> and </w:t>
      </w:r>
      <w:r w:rsidR="00C341B3" w:rsidRPr="00423FCC">
        <w:t xml:space="preserve">the format </w:t>
      </w:r>
      <w:r>
        <w:t>it is published in</w:t>
      </w:r>
      <w:r w:rsidR="00C341B3" w:rsidRPr="00423FCC">
        <w:t xml:space="preserve">. </w:t>
      </w:r>
    </w:p>
    <w:p w:rsidR="00913ED9" w:rsidRPr="00423FCC" w:rsidRDefault="00913ED9" w:rsidP="00935A49">
      <w:pPr>
        <w:spacing w:after="0" w:line="240" w:lineRule="auto"/>
      </w:pPr>
    </w:p>
    <w:p w:rsidR="006B4B38" w:rsidRDefault="006E320C" w:rsidP="00935A49">
      <w:pPr>
        <w:spacing w:after="0" w:line="240" w:lineRule="auto"/>
      </w:pPr>
      <w:r>
        <w:t xml:space="preserve">The </w:t>
      </w:r>
      <w:r w:rsidR="00040928">
        <w:t>ATI</w:t>
      </w:r>
      <w:r>
        <w:t xml:space="preserve"> is</w:t>
      </w:r>
      <w:r w:rsidR="0027047F">
        <w:t xml:space="preserve"> </w:t>
      </w:r>
      <w:r>
        <w:t>compiled using a combination of automatically and manually collected data</w:t>
      </w:r>
      <w:r w:rsidR="006B4B38">
        <w:t>:</w:t>
      </w:r>
    </w:p>
    <w:p w:rsidR="006B4B38" w:rsidRDefault="006B4B38" w:rsidP="006B4B38">
      <w:pPr>
        <w:pStyle w:val="ListParagraph"/>
        <w:numPr>
          <w:ilvl w:val="0"/>
          <w:numId w:val="23"/>
        </w:numPr>
        <w:spacing w:after="0" w:line="240" w:lineRule="auto"/>
      </w:pPr>
      <w:r>
        <w:t>V</w:t>
      </w:r>
      <w:r w:rsidR="00287CDE">
        <w:t>ia a survey</w:t>
      </w:r>
    </w:p>
    <w:p w:rsidR="006B4B38" w:rsidRDefault="006B4B38" w:rsidP="006B4B38">
      <w:pPr>
        <w:pStyle w:val="ListParagraph"/>
        <w:numPr>
          <w:ilvl w:val="0"/>
          <w:numId w:val="23"/>
        </w:numPr>
        <w:spacing w:after="0" w:line="240" w:lineRule="auto"/>
      </w:pPr>
      <w:r>
        <w:t>A</w:t>
      </w:r>
      <w:r w:rsidR="00287CDE">
        <w:t xml:space="preserve"> review of donor’s implementation schedules</w:t>
      </w:r>
    </w:p>
    <w:p w:rsidR="006B4B38" w:rsidRDefault="006B4B38" w:rsidP="006B4B38">
      <w:pPr>
        <w:pStyle w:val="ListParagraph"/>
        <w:numPr>
          <w:ilvl w:val="0"/>
          <w:numId w:val="23"/>
        </w:numPr>
        <w:spacing w:after="0" w:line="240" w:lineRule="auto"/>
      </w:pPr>
      <w:r>
        <w:t>A</w:t>
      </w:r>
      <w:r w:rsidR="00287CDE">
        <w:t>n automa</w:t>
      </w:r>
      <w:r>
        <w:t xml:space="preserve">ted assessment of </w:t>
      </w:r>
      <w:r w:rsidR="00075085">
        <w:t>data published to the IATI Registry</w:t>
      </w:r>
    </w:p>
    <w:p w:rsidR="006B4B38" w:rsidRDefault="006B4B38" w:rsidP="00935A49">
      <w:pPr>
        <w:spacing w:after="0" w:line="240" w:lineRule="auto"/>
      </w:pPr>
    </w:p>
    <w:p w:rsidR="00287CDE" w:rsidRDefault="00AC401E" w:rsidP="00935A49">
      <w:pPr>
        <w:spacing w:after="0" w:line="240" w:lineRule="auto"/>
      </w:pPr>
      <w:r>
        <w:t>A</w:t>
      </w:r>
      <w:r w:rsidR="00E51E41">
        <w:t xml:space="preserve"> </w:t>
      </w:r>
      <w:r w:rsidR="00E51E41" w:rsidRPr="00423FCC">
        <w:t xml:space="preserve">data collection </w:t>
      </w:r>
      <w:r w:rsidR="00E51E41">
        <w:t>platform</w:t>
      </w:r>
      <w:r w:rsidR="00E51E41" w:rsidRPr="00423FCC">
        <w:t xml:space="preserve">, the </w:t>
      </w:r>
      <w:hyperlink r:id="rId10" w:history="1">
        <w:r w:rsidR="00E51E41" w:rsidRPr="00423FCC">
          <w:rPr>
            <w:rStyle w:val="Hyperlink"/>
            <w:rFonts w:cstheme="minorBidi"/>
          </w:rPr>
          <w:t>Aid Transparency Tracker</w:t>
        </w:r>
      </w:hyperlink>
      <w:r w:rsidR="00E51E41" w:rsidRPr="00423FCC">
        <w:t xml:space="preserve">, </w:t>
      </w:r>
      <w:r>
        <w:t xml:space="preserve">is used </w:t>
      </w:r>
      <w:r w:rsidR="00E51E41" w:rsidRPr="00423FCC">
        <w:t xml:space="preserve">to collect and share the data included in the </w:t>
      </w:r>
      <w:r w:rsidR="006E320C">
        <w:t>ATI</w:t>
      </w:r>
      <w:r w:rsidR="00E51E41" w:rsidRPr="00423FCC">
        <w:t xml:space="preserve">. </w:t>
      </w:r>
      <w:r w:rsidR="00287CDE" w:rsidRPr="00D37D0B">
        <w:t>Section 4</w:t>
      </w:r>
      <w:r w:rsidR="00287CDE">
        <w:t xml:space="preserve"> </w:t>
      </w:r>
      <w:r>
        <w:t>provides more detail on the Tracker and</w:t>
      </w:r>
      <w:r w:rsidR="00287CDE">
        <w:t xml:space="preserve"> </w:t>
      </w:r>
      <w:r w:rsidR="000D5DBB">
        <w:t>t</w:t>
      </w:r>
      <w:r w:rsidR="00287CDE">
        <w:t>he data collection process.</w:t>
      </w:r>
      <w:r w:rsidR="006B4B38">
        <w:t xml:space="preserve"> As in previous years, </w:t>
      </w:r>
      <w:r w:rsidR="006B4B38" w:rsidRPr="0027047F">
        <w:rPr>
          <w:b/>
        </w:rPr>
        <w:t>timeliness is a core criterion – the Index only scores data published in the previous 12 months</w:t>
      </w:r>
      <w:r w:rsidR="0027047F">
        <w:rPr>
          <w:b/>
        </w:rPr>
        <w:t xml:space="preserve"> and that relates to that period</w:t>
      </w:r>
      <w:r w:rsidR="00C06E6E">
        <w:rPr>
          <w:b/>
        </w:rPr>
        <w:t xml:space="preserve"> or after</w:t>
      </w:r>
      <w:r w:rsidR="006B4B38">
        <w:t>.</w:t>
      </w:r>
    </w:p>
    <w:p w:rsidR="00287CDE" w:rsidRDefault="00287CDE" w:rsidP="00935A49">
      <w:pPr>
        <w:spacing w:after="0" w:line="240" w:lineRule="auto"/>
      </w:pPr>
    </w:p>
    <w:p w:rsidR="00AC401E" w:rsidRDefault="00111CE8" w:rsidP="00111CE8">
      <w:pPr>
        <w:spacing w:after="0" w:line="240" w:lineRule="auto"/>
      </w:pPr>
      <w:r>
        <w:t>T</w:t>
      </w:r>
      <w:r w:rsidRPr="002D687A">
        <w:t xml:space="preserve">he incentives in the </w:t>
      </w:r>
      <w:r w:rsidR="006E320C">
        <w:t>ATI</w:t>
      </w:r>
      <w:r w:rsidRPr="002D687A">
        <w:t xml:space="preserve"> are clearly structured: more points are awarded for publis</w:t>
      </w:r>
      <w:r>
        <w:t>hing in more useful formats. As a result, there are clear ways for organisations included in the Index</w:t>
      </w:r>
      <w:r w:rsidRPr="00FB3647">
        <w:t xml:space="preserve"> to improve their aid transparency</w:t>
      </w:r>
      <w:r>
        <w:t xml:space="preserve"> and boost their scores. Put simply, organisations that are not publishing </w:t>
      </w:r>
      <w:r w:rsidR="006B4B38">
        <w:t xml:space="preserve">current information </w:t>
      </w:r>
      <w:r>
        <w:t xml:space="preserve">in open, comparable and machine-readable formats do not </w:t>
      </w:r>
      <w:r w:rsidR="006B4B38">
        <w:t>perform as</w:t>
      </w:r>
      <w:r>
        <w:t xml:space="preserve"> highly</w:t>
      </w:r>
      <w:r w:rsidR="006B4B38">
        <w:t xml:space="preserve"> as those that do</w:t>
      </w:r>
      <w:r>
        <w:t xml:space="preserve">. </w:t>
      </w:r>
    </w:p>
    <w:p w:rsidR="005C4B56" w:rsidRDefault="005C4B56" w:rsidP="005C4B56">
      <w:pPr>
        <w:pStyle w:val="ListBullet"/>
        <w:numPr>
          <w:ilvl w:val="0"/>
          <w:numId w:val="0"/>
        </w:numPr>
        <w:spacing w:after="0" w:line="240" w:lineRule="auto"/>
      </w:pPr>
    </w:p>
    <w:p w:rsidR="005C4B56" w:rsidRDefault="005C4B56" w:rsidP="00111CE8">
      <w:pPr>
        <w:spacing w:after="0" w:line="240" w:lineRule="auto"/>
        <w:sectPr w:rsidR="005C4B56" w:rsidSect="002B2AC5">
          <w:pgSz w:w="16838" w:h="11906" w:orient="landscape"/>
          <w:pgMar w:top="1021" w:right="1021" w:bottom="1021" w:left="1021" w:header="709" w:footer="459" w:gutter="0"/>
          <w:pgNumType w:start="1"/>
          <w:cols w:space="708"/>
          <w:docGrid w:linePitch="360"/>
        </w:sectPr>
      </w:pPr>
    </w:p>
    <w:p w:rsidR="003F2F7D" w:rsidRPr="000445AB" w:rsidRDefault="00F95552" w:rsidP="00F95552">
      <w:pPr>
        <w:pStyle w:val="Heading1"/>
        <w:pBdr>
          <w:bottom w:val="single" w:sz="4" w:space="1" w:color="auto"/>
        </w:pBdr>
        <w:spacing w:before="0" w:line="240" w:lineRule="auto"/>
        <w:ind w:left="360" w:hanging="360"/>
        <w:rPr>
          <w:sz w:val="36"/>
        </w:rPr>
      </w:pPr>
      <w:bookmarkStart w:id="12" w:name="_Toc399168586"/>
      <w:r>
        <w:rPr>
          <w:sz w:val="36"/>
        </w:rPr>
        <w:lastRenderedPageBreak/>
        <w:t xml:space="preserve">Section 1. </w:t>
      </w:r>
      <w:r w:rsidR="00721FDE" w:rsidRPr="000445AB">
        <w:rPr>
          <w:sz w:val="36"/>
        </w:rPr>
        <w:t>Donor selection</w:t>
      </w:r>
      <w:bookmarkEnd w:id="12"/>
    </w:p>
    <w:p w:rsidR="00913ED9" w:rsidRPr="00423FCC" w:rsidRDefault="00913ED9" w:rsidP="00935A49">
      <w:pPr>
        <w:spacing w:after="0" w:line="240" w:lineRule="auto"/>
      </w:pPr>
    </w:p>
    <w:p w:rsidR="00721FDE" w:rsidRPr="007D68FE" w:rsidRDefault="00721FDE" w:rsidP="00935A49">
      <w:pPr>
        <w:pStyle w:val="Heading4"/>
        <w:spacing w:before="0" w:line="240" w:lineRule="auto"/>
        <w:rPr>
          <w:rFonts w:ascii="Cambria" w:eastAsia="Calibri" w:hAnsi="Cambria" w:cs="Times New Roman"/>
          <w:i w:val="0"/>
          <w:iCs w:val="0"/>
          <w:color w:val="4F81BD"/>
          <w:sz w:val="28"/>
          <w:szCs w:val="26"/>
        </w:rPr>
      </w:pPr>
      <w:r w:rsidRPr="007D68FE">
        <w:rPr>
          <w:rFonts w:ascii="Cambria" w:eastAsia="Calibri" w:hAnsi="Cambria" w:cs="Times New Roman"/>
          <w:i w:val="0"/>
          <w:iCs w:val="0"/>
          <w:color w:val="4F81BD"/>
          <w:sz w:val="28"/>
          <w:szCs w:val="26"/>
        </w:rPr>
        <w:t>Criteria for selection</w:t>
      </w:r>
    </w:p>
    <w:p w:rsidR="005C4B56" w:rsidRDefault="005C4B56" w:rsidP="0011454A">
      <w:pPr>
        <w:spacing w:after="0" w:line="240" w:lineRule="auto"/>
      </w:pPr>
    </w:p>
    <w:p w:rsidR="00C06E6E" w:rsidRDefault="00C06E6E" w:rsidP="00C06E6E">
      <w:pPr>
        <w:spacing w:after="0" w:line="240" w:lineRule="auto"/>
        <w:contextualSpacing/>
      </w:pPr>
      <w:r>
        <w:t>Organisations are selected using three criteria, of which they have to meet a minimum of two:</w:t>
      </w:r>
    </w:p>
    <w:p w:rsidR="00C06E6E" w:rsidRPr="00423FCC" w:rsidRDefault="00C06E6E" w:rsidP="00C06E6E">
      <w:pPr>
        <w:pStyle w:val="ListParagraph"/>
        <w:numPr>
          <w:ilvl w:val="0"/>
          <w:numId w:val="1"/>
        </w:numPr>
        <w:spacing w:after="0" w:line="240" w:lineRule="auto"/>
        <w:ind w:left="714" w:hanging="357"/>
        <w:rPr>
          <w:rFonts w:cstheme="minorHAnsi"/>
          <w:color w:val="000000"/>
        </w:rPr>
      </w:pPr>
      <w:r w:rsidRPr="00423FCC">
        <w:rPr>
          <w:rFonts w:cstheme="minorHAnsi"/>
          <w:color w:val="000000"/>
        </w:rPr>
        <w:t xml:space="preserve">They are a large donor (annual spend is more than USD 1bn); </w:t>
      </w:r>
    </w:p>
    <w:p w:rsidR="00C06E6E" w:rsidRPr="00423FCC" w:rsidRDefault="00C06E6E" w:rsidP="00C06E6E">
      <w:pPr>
        <w:pStyle w:val="ListParagraph"/>
        <w:numPr>
          <w:ilvl w:val="0"/>
          <w:numId w:val="1"/>
        </w:numPr>
        <w:spacing w:after="0" w:line="240" w:lineRule="auto"/>
        <w:ind w:left="714" w:hanging="357"/>
        <w:rPr>
          <w:rFonts w:cstheme="minorHAnsi"/>
          <w:color w:val="000000"/>
        </w:rPr>
      </w:pPr>
      <w:r w:rsidRPr="00423FCC">
        <w:rPr>
          <w:rFonts w:cstheme="minorHAnsi"/>
          <w:color w:val="000000"/>
        </w:rPr>
        <w:t xml:space="preserve">They have a significant role and influence as a major aid agency and engagement with the Busan agenda; </w:t>
      </w:r>
    </w:p>
    <w:p w:rsidR="00C06E6E" w:rsidRDefault="00C06E6E" w:rsidP="00C06E6E">
      <w:pPr>
        <w:pStyle w:val="ListParagraph"/>
        <w:numPr>
          <w:ilvl w:val="0"/>
          <w:numId w:val="1"/>
        </w:numPr>
        <w:spacing w:after="0" w:line="240" w:lineRule="auto"/>
        <w:ind w:left="714" w:hanging="357"/>
        <w:rPr>
          <w:rFonts w:cstheme="minorHAnsi"/>
          <w:color w:val="000000"/>
        </w:rPr>
      </w:pPr>
      <w:r w:rsidRPr="00423FCC">
        <w:rPr>
          <w:rFonts w:cstheme="minorHAnsi"/>
          <w:color w:val="000000"/>
        </w:rPr>
        <w:t>They are an institution to which government or organisation-wide transparency commitments apply, for example members of the G</w:t>
      </w:r>
      <w:r>
        <w:rPr>
          <w:rFonts w:cstheme="minorHAnsi"/>
          <w:color w:val="000000"/>
        </w:rPr>
        <w:t>7</w:t>
      </w:r>
      <w:r w:rsidRPr="00423FCC">
        <w:rPr>
          <w:rFonts w:cstheme="minorHAnsi"/>
          <w:color w:val="000000"/>
        </w:rPr>
        <w:t xml:space="preserve"> or </w:t>
      </w:r>
      <w:r>
        <w:rPr>
          <w:rFonts w:cstheme="minorHAnsi"/>
          <w:color w:val="000000"/>
        </w:rPr>
        <w:t xml:space="preserve">the </w:t>
      </w:r>
      <w:r w:rsidRPr="00423FCC">
        <w:rPr>
          <w:rFonts w:cstheme="minorHAnsi"/>
          <w:color w:val="000000"/>
        </w:rPr>
        <w:t>Member States</w:t>
      </w:r>
      <w:r>
        <w:rPr>
          <w:rFonts w:cstheme="minorHAnsi"/>
          <w:color w:val="000000"/>
        </w:rPr>
        <w:t xml:space="preserve"> of the European Union</w:t>
      </w:r>
      <w:r w:rsidRPr="00423FCC">
        <w:rPr>
          <w:rFonts w:cstheme="minorHAnsi"/>
          <w:color w:val="000000"/>
        </w:rPr>
        <w:t xml:space="preserve">. </w:t>
      </w:r>
    </w:p>
    <w:p w:rsidR="00913ED9" w:rsidRDefault="00913ED9" w:rsidP="00935A49">
      <w:pPr>
        <w:spacing w:after="0" w:line="240" w:lineRule="auto"/>
        <w:rPr>
          <w:rFonts w:cstheme="minorHAnsi"/>
          <w:color w:val="000000"/>
        </w:rPr>
      </w:pPr>
    </w:p>
    <w:p w:rsidR="00721FDE" w:rsidRDefault="00C06E6E" w:rsidP="00935A49">
      <w:pPr>
        <w:spacing w:after="0" w:line="240" w:lineRule="auto"/>
        <w:rPr>
          <w:rFonts w:cstheme="minorHAnsi"/>
          <w:color w:val="000000"/>
        </w:rPr>
      </w:pPr>
      <w:r w:rsidRPr="00922EDA">
        <w:t>The 2014 ATI assesses</w:t>
      </w:r>
      <w:r>
        <w:t xml:space="preserve"> 68 organisations, including the 67 assessed in 2013 and one new organisation – the Croatian Ministry of Foreign and European Affairs</w:t>
      </w:r>
      <w:r w:rsidRPr="004612EB">
        <w:t>.</w:t>
      </w:r>
      <w:r>
        <w:rPr>
          <w:rStyle w:val="FootnoteReference"/>
        </w:rPr>
        <w:footnoteReference w:id="2"/>
      </w:r>
      <w:r>
        <w:t xml:space="preserve"> </w:t>
      </w:r>
      <w:r w:rsidR="00721FDE" w:rsidRPr="00423FCC">
        <w:rPr>
          <w:rFonts w:cstheme="minorHAnsi"/>
          <w:color w:val="000000"/>
        </w:rPr>
        <w:t>The 6</w:t>
      </w:r>
      <w:r w:rsidR="006E320C">
        <w:rPr>
          <w:rFonts w:cstheme="minorHAnsi"/>
          <w:color w:val="000000"/>
        </w:rPr>
        <w:t>8</w:t>
      </w:r>
      <w:r w:rsidR="00721FDE" w:rsidRPr="00423FCC">
        <w:rPr>
          <w:rFonts w:cstheme="minorHAnsi"/>
          <w:color w:val="000000"/>
        </w:rPr>
        <w:t xml:space="preserve"> organisations covered includes </w:t>
      </w:r>
      <w:r w:rsidR="00505CEF">
        <w:rPr>
          <w:rFonts w:cstheme="minorHAnsi"/>
          <w:color w:val="000000"/>
        </w:rPr>
        <w:t>5</w:t>
      </w:r>
      <w:r>
        <w:rPr>
          <w:rFonts w:cstheme="minorHAnsi"/>
          <w:color w:val="000000"/>
        </w:rPr>
        <w:t>0</w:t>
      </w:r>
      <w:r w:rsidR="00721FDE" w:rsidRPr="00423FCC">
        <w:rPr>
          <w:rFonts w:cstheme="minorHAnsi"/>
          <w:color w:val="000000"/>
        </w:rPr>
        <w:t xml:space="preserve"> bilateral agencies, 17 multilateral organisatio</w:t>
      </w:r>
      <w:r w:rsidR="00D617F1">
        <w:rPr>
          <w:rFonts w:cstheme="minorHAnsi"/>
          <w:color w:val="000000"/>
        </w:rPr>
        <w:t>ns and one</w:t>
      </w:r>
      <w:r w:rsidR="00721FDE" w:rsidRPr="00423FCC">
        <w:rPr>
          <w:rFonts w:cstheme="minorHAnsi"/>
          <w:color w:val="000000"/>
        </w:rPr>
        <w:t xml:space="preserve"> philanthropic organisation. Recognising that not all the indicators used in the </w:t>
      </w:r>
      <w:r w:rsidR="006E320C">
        <w:rPr>
          <w:rFonts w:cstheme="minorHAnsi"/>
          <w:color w:val="000000"/>
        </w:rPr>
        <w:t>ATI</w:t>
      </w:r>
      <w:r w:rsidR="00721FDE" w:rsidRPr="00423FCC">
        <w:rPr>
          <w:rFonts w:cstheme="minorHAnsi"/>
          <w:color w:val="000000"/>
        </w:rPr>
        <w:t xml:space="preserve"> are a direct fit with every organisation’s particular modus operandi, the scoring guidelines for certain indicators have been amended to accept equivalent documents or information based on the type of organisation under assessment. More details on the </w:t>
      </w:r>
      <w:r w:rsidR="003275DD" w:rsidRPr="00423FCC">
        <w:rPr>
          <w:rFonts w:cstheme="minorHAnsi"/>
          <w:color w:val="000000"/>
        </w:rPr>
        <w:t>scoring guidelines</w:t>
      </w:r>
      <w:r w:rsidR="004D7858" w:rsidRPr="00423FCC">
        <w:rPr>
          <w:rFonts w:cstheme="minorHAnsi"/>
          <w:color w:val="000000"/>
        </w:rPr>
        <w:t xml:space="preserve"> for </w:t>
      </w:r>
      <w:r w:rsidR="008A1CB1">
        <w:rPr>
          <w:rFonts w:cstheme="minorHAnsi"/>
          <w:color w:val="000000"/>
        </w:rPr>
        <w:t>each indicator</w:t>
      </w:r>
      <w:r w:rsidR="004D7858" w:rsidRPr="00423FCC">
        <w:rPr>
          <w:rFonts w:cstheme="minorHAnsi"/>
          <w:color w:val="000000"/>
        </w:rPr>
        <w:t xml:space="preserve"> </w:t>
      </w:r>
      <w:r w:rsidR="00312F5C">
        <w:rPr>
          <w:rFonts w:cstheme="minorHAnsi"/>
          <w:color w:val="000000"/>
        </w:rPr>
        <w:t>can be found in a</w:t>
      </w:r>
      <w:r w:rsidR="00721FDE" w:rsidRPr="00423FCC">
        <w:rPr>
          <w:rFonts w:cstheme="minorHAnsi"/>
          <w:color w:val="000000"/>
        </w:rPr>
        <w:t>nnex 1.</w:t>
      </w:r>
    </w:p>
    <w:p w:rsidR="00913ED9" w:rsidRPr="00423FCC" w:rsidRDefault="00913ED9" w:rsidP="00935A49">
      <w:pPr>
        <w:spacing w:after="0" w:line="240" w:lineRule="auto"/>
        <w:rPr>
          <w:rFonts w:cstheme="minorHAnsi"/>
          <w:color w:val="000000"/>
        </w:rPr>
      </w:pPr>
    </w:p>
    <w:p w:rsidR="00721FDE" w:rsidRDefault="00D617F1" w:rsidP="00935A49">
      <w:pPr>
        <w:spacing w:after="0" w:line="240" w:lineRule="auto"/>
        <w:rPr>
          <w:rFonts w:ascii="Cambria" w:eastAsia="Calibri" w:hAnsi="Cambria" w:cs="Times New Roman"/>
          <w:b/>
          <w:bCs/>
          <w:color w:val="4F81BD"/>
          <w:sz w:val="24"/>
        </w:rPr>
      </w:pPr>
      <w:r w:rsidRPr="0072445E">
        <w:rPr>
          <w:rFonts w:ascii="Cambria" w:eastAsia="Calibri" w:hAnsi="Cambria" w:cs="Times New Roman"/>
          <w:b/>
          <w:bCs/>
          <w:color w:val="4F81BD"/>
          <w:sz w:val="24"/>
        </w:rPr>
        <w:t>Table 1</w:t>
      </w:r>
      <w:r w:rsidR="00721FDE" w:rsidRPr="0072445E">
        <w:rPr>
          <w:rFonts w:ascii="Cambria" w:eastAsia="Calibri" w:hAnsi="Cambria" w:cs="Times New Roman"/>
          <w:b/>
          <w:bCs/>
          <w:color w:val="4F81BD"/>
          <w:sz w:val="24"/>
        </w:rPr>
        <w:t xml:space="preserve">: </w:t>
      </w:r>
      <w:r w:rsidRPr="0072445E">
        <w:rPr>
          <w:rFonts w:ascii="Cambria" w:eastAsia="Calibri" w:hAnsi="Cambria" w:cs="Times New Roman"/>
          <w:b/>
          <w:bCs/>
          <w:color w:val="4F81BD"/>
          <w:sz w:val="24"/>
        </w:rPr>
        <w:t>The</w:t>
      </w:r>
      <w:r w:rsidR="00721FDE" w:rsidRPr="0072445E">
        <w:rPr>
          <w:rFonts w:ascii="Cambria" w:eastAsia="Calibri" w:hAnsi="Cambria" w:cs="Times New Roman"/>
          <w:b/>
          <w:bCs/>
          <w:color w:val="4F81BD"/>
          <w:sz w:val="24"/>
        </w:rPr>
        <w:t xml:space="preserve"> 6</w:t>
      </w:r>
      <w:r w:rsidR="001036CF" w:rsidRPr="0072445E">
        <w:rPr>
          <w:rFonts w:ascii="Cambria" w:eastAsia="Calibri" w:hAnsi="Cambria" w:cs="Times New Roman"/>
          <w:b/>
          <w:bCs/>
          <w:color w:val="4F81BD"/>
          <w:sz w:val="24"/>
        </w:rPr>
        <w:t>8</w:t>
      </w:r>
      <w:r w:rsidR="00721FDE" w:rsidRPr="0072445E">
        <w:rPr>
          <w:rFonts w:ascii="Cambria" w:eastAsia="Calibri" w:hAnsi="Cambria" w:cs="Times New Roman"/>
          <w:b/>
          <w:bCs/>
          <w:color w:val="4F81BD"/>
          <w:sz w:val="24"/>
        </w:rPr>
        <w:t xml:space="preserve"> don</w:t>
      </w:r>
      <w:r w:rsidR="00913ED9" w:rsidRPr="0072445E">
        <w:rPr>
          <w:rFonts w:ascii="Cambria" w:eastAsia="Calibri" w:hAnsi="Cambria" w:cs="Times New Roman"/>
          <w:b/>
          <w:bCs/>
          <w:color w:val="4F81BD"/>
          <w:sz w:val="24"/>
        </w:rPr>
        <w:t>or</w:t>
      </w:r>
      <w:r w:rsidRPr="0072445E">
        <w:rPr>
          <w:rFonts w:ascii="Cambria" w:eastAsia="Calibri" w:hAnsi="Cambria" w:cs="Times New Roman"/>
          <w:b/>
          <w:bCs/>
          <w:color w:val="4F81BD"/>
          <w:sz w:val="24"/>
        </w:rPr>
        <w:t xml:space="preserve"> organisation</w:t>
      </w:r>
      <w:r w:rsidR="00913ED9" w:rsidRPr="0072445E">
        <w:rPr>
          <w:rFonts w:ascii="Cambria" w:eastAsia="Calibri" w:hAnsi="Cambria" w:cs="Times New Roman"/>
          <w:b/>
          <w:bCs/>
          <w:color w:val="4F81BD"/>
          <w:sz w:val="24"/>
        </w:rPr>
        <w:t>s</w:t>
      </w:r>
      <w:r w:rsidRPr="0072445E">
        <w:rPr>
          <w:rFonts w:ascii="Cambria" w:eastAsia="Calibri" w:hAnsi="Cambria" w:cs="Times New Roman"/>
          <w:b/>
          <w:bCs/>
          <w:color w:val="4F81BD"/>
          <w:sz w:val="24"/>
        </w:rPr>
        <w:t xml:space="preserve"> included in 201</w:t>
      </w:r>
      <w:r w:rsidR="001036CF" w:rsidRPr="0072445E">
        <w:rPr>
          <w:rFonts w:ascii="Cambria" w:eastAsia="Calibri" w:hAnsi="Cambria" w:cs="Times New Roman"/>
          <w:b/>
          <w:bCs/>
          <w:color w:val="4F81BD"/>
          <w:sz w:val="24"/>
        </w:rPr>
        <w:t>4</w:t>
      </w:r>
      <w:r w:rsidRPr="0072445E">
        <w:rPr>
          <w:rFonts w:ascii="Cambria" w:eastAsia="Calibri" w:hAnsi="Cambria" w:cs="Times New Roman"/>
          <w:b/>
          <w:bCs/>
          <w:color w:val="4F81BD"/>
          <w:sz w:val="24"/>
        </w:rPr>
        <w:t>,</w:t>
      </w:r>
      <w:r w:rsidR="00913ED9" w:rsidRPr="0072445E">
        <w:rPr>
          <w:rFonts w:ascii="Cambria" w:eastAsia="Calibri" w:hAnsi="Cambria" w:cs="Times New Roman"/>
          <w:b/>
          <w:bCs/>
          <w:color w:val="4F81BD"/>
          <w:sz w:val="24"/>
        </w:rPr>
        <w:t xml:space="preserve"> with </w:t>
      </w:r>
      <w:r w:rsidRPr="0072445E">
        <w:rPr>
          <w:rFonts w:ascii="Cambria" w:eastAsia="Calibri" w:hAnsi="Cambria" w:cs="Times New Roman"/>
          <w:b/>
          <w:bCs/>
          <w:color w:val="4F81BD"/>
          <w:sz w:val="24"/>
        </w:rPr>
        <w:t>201</w:t>
      </w:r>
      <w:r w:rsidR="0096144F">
        <w:rPr>
          <w:rFonts w:ascii="Cambria" w:eastAsia="Calibri" w:hAnsi="Cambria" w:cs="Times New Roman"/>
          <w:b/>
          <w:bCs/>
          <w:color w:val="4F81BD"/>
          <w:sz w:val="24"/>
        </w:rPr>
        <w:t>2</w:t>
      </w:r>
      <w:r w:rsidRPr="0072445E">
        <w:rPr>
          <w:rFonts w:ascii="Cambria" w:eastAsia="Calibri" w:hAnsi="Cambria" w:cs="Times New Roman"/>
          <w:b/>
          <w:bCs/>
          <w:color w:val="4F81BD"/>
          <w:sz w:val="24"/>
        </w:rPr>
        <w:t xml:space="preserve"> spend and largest recipient</w:t>
      </w:r>
    </w:p>
    <w:p w:rsidR="00676A8E" w:rsidRDefault="00676A8E" w:rsidP="00935A49">
      <w:pPr>
        <w:spacing w:after="0" w:line="240" w:lineRule="auto"/>
        <w:rPr>
          <w:rFonts w:ascii="Cambria" w:eastAsia="Calibri" w:hAnsi="Cambria" w:cs="Times New Roman"/>
          <w:b/>
          <w:bCs/>
          <w:color w:val="4F81BD"/>
          <w:sz w:val="24"/>
        </w:rPr>
      </w:pPr>
    </w:p>
    <w:tbl>
      <w:tblPr>
        <w:tblStyle w:val="GridTable4-Accent11"/>
        <w:tblW w:w="14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9"/>
        <w:gridCol w:w="1559"/>
        <w:gridCol w:w="3686"/>
      </w:tblGrid>
      <w:tr w:rsidR="0072445E" w:rsidRPr="0011454A" w:rsidTr="009611A7">
        <w:trPr>
          <w:cnfStyle w:val="100000000000" w:firstRow="1" w:lastRow="0" w:firstColumn="0" w:lastColumn="0" w:oddVBand="0" w:evenVBand="0" w:oddHBand="0" w:evenHBand="0" w:firstRowFirstColumn="0" w:firstRowLastColumn="0" w:lastRowFirstColumn="0" w:lastRowLastColumn="0"/>
          <w:trHeight w:val="441"/>
          <w:tblHeader/>
        </w:trPr>
        <w:tc>
          <w:tcPr>
            <w:cnfStyle w:val="001000000000" w:firstRow="0" w:lastRow="0" w:firstColumn="1" w:lastColumn="0" w:oddVBand="0" w:evenVBand="0" w:oddHBand="0" w:evenHBand="0" w:firstRowFirstColumn="0" w:firstRowLastColumn="0" w:lastRowFirstColumn="0" w:lastRowLastColumn="0"/>
            <w:tcW w:w="8789" w:type="dxa"/>
            <w:tcBorders>
              <w:top w:val="none" w:sz="0" w:space="0" w:color="auto"/>
              <w:left w:val="none" w:sz="0" w:space="0" w:color="auto"/>
              <w:bottom w:val="none" w:sz="0" w:space="0" w:color="auto"/>
              <w:right w:val="none" w:sz="0" w:space="0" w:color="auto"/>
            </w:tcBorders>
            <w:shd w:val="clear" w:color="auto" w:fill="8DB3E2"/>
          </w:tcPr>
          <w:p w:rsidR="0072445E" w:rsidRPr="0011454A" w:rsidRDefault="0072445E" w:rsidP="009611A7">
            <w:pPr>
              <w:rPr>
                <w:rFonts w:cstheme="minorHAnsi"/>
                <w:color w:val="000000"/>
              </w:rPr>
            </w:pPr>
            <w:r w:rsidRPr="0011454A">
              <w:rPr>
                <w:rFonts w:cstheme="minorHAnsi"/>
                <w:color w:val="000000"/>
              </w:rPr>
              <w:t>Donor Name</w:t>
            </w:r>
          </w:p>
        </w:tc>
        <w:tc>
          <w:tcPr>
            <w:tcW w:w="1559" w:type="dxa"/>
            <w:tcBorders>
              <w:top w:val="none" w:sz="0" w:space="0" w:color="auto"/>
              <w:left w:val="none" w:sz="0" w:space="0" w:color="auto"/>
              <w:bottom w:val="none" w:sz="0" w:space="0" w:color="auto"/>
              <w:right w:val="none" w:sz="0" w:space="0" w:color="auto"/>
            </w:tcBorders>
            <w:shd w:val="clear" w:color="auto" w:fill="8DB3E2"/>
          </w:tcPr>
          <w:p w:rsidR="0072445E" w:rsidRPr="0011454A" w:rsidRDefault="0072445E" w:rsidP="009611A7">
            <w:pPr>
              <w:cnfStyle w:val="100000000000" w:firstRow="1"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Spend in 2012</w:t>
            </w:r>
            <w:r w:rsidRPr="0011454A">
              <w:rPr>
                <w:rFonts w:cstheme="minorHAnsi"/>
                <w:color w:val="000000"/>
              </w:rPr>
              <w:t xml:space="preserve"> </w:t>
            </w:r>
          </w:p>
          <w:p w:rsidR="0072445E" w:rsidRPr="0011454A" w:rsidRDefault="0072445E" w:rsidP="009611A7">
            <w:pP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11454A">
              <w:rPr>
                <w:rFonts w:cstheme="minorHAnsi"/>
                <w:color w:val="000000"/>
              </w:rPr>
              <w:t>(USD mn)</w:t>
            </w:r>
            <w:r w:rsidR="0065757F" w:rsidRPr="00423FCC">
              <w:rPr>
                <w:rStyle w:val="FootnoteReference"/>
                <w:color w:val="000000"/>
              </w:rPr>
              <w:footnoteReference w:id="3"/>
            </w:r>
          </w:p>
        </w:tc>
        <w:tc>
          <w:tcPr>
            <w:tcW w:w="3686" w:type="dxa"/>
            <w:tcBorders>
              <w:top w:val="none" w:sz="0" w:space="0" w:color="auto"/>
              <w:left w:val="none" w:sz="0" w:space="0" w:color="auto"/>
              <w:bottom w:val="none" w:sz="0" w:space="0" w:color="auto"/>
              <w:right w:val="none" w:sz="0" w:space="0" w:color="auto"/>
            </w:tcBorders>
            <w:shd w:val="clear" w:color="auto" w:fill="8DB3E2"/>
          </w:tcPr>
          <w:p w:rsidR="0072445E" w:rsidRPr="0011454A" w:rsidRDefault="0072445E" w:rsidP="009611A7">
            <w:pP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11454A">
              <w:rPr>
                <w:rFonts w:cstheme="minorHAnsi"/>
                <w:color w:val="000000"/>
              </w:rPr>
              <w:t>Largest recipient</w:t>
            </w:r>
            <w:r w:rsidRPr="0011454A">
              <w:rPr>
                <w:rStyle w:val="FootnoteReference"/>
                <w:color w:val="000000"/>
              </w:rPr>
              <w:footnoteReference w:id="4"/>
            </w:r>
            <w:r w:rsidRPr="0011454A">
              <w:rPr>
                <w:rFonts w:cstheme="minorHAnsi"/>
                <w:color w:val="000000"/>
              </w:rPr>
              <w:t xml:space="preserve"> </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African Development Bank </w:t>
            </w:r>
          </w:p>
        </w:tc>
        <w:tc>
          <w:tcPr>
            <w:tcW w:w="1559" w:type="dxa"/>
            <w:shd w:val="clear" w:color="auto" w:fill="auto"/>
          </w:tcPr>
          <w:p w:rsidR="0072445E" w:rsidRPr="0011454A" w:rsidRDefault="0065757F"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6058*</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Guinea</w:t>
            </w:r>
          </w:p>
        </w:tc>
      </w:tr>
      <w:tr w:rsidR="0072445E" w:rsidRPr="0011454A" w:rsidTr="009611A7">
        <w:trPr>
          <w:trHeight w:val="235"/>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Asian Development Bank </w:t>
            </w:r>
          </w:p>
        </w:tc>
        <w:tc>
          <w:tcPr>
            <w:tcW w:w="1559" w:type="dxa"/>
            <w:shd w:val="clear" w:color="auto" w:fill="auto"/>
          </w:tcPr>
          <w:p w:rsidR="0072445E" w:rsidRPr="0011454A" w:rsidRDefault="0065757F"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8734*</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Bangladesh</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Pr>
                <w:b w:val="0"/>
              </w:rPr>
              <w:t>Australia, Department of Foreign Affairs and Trade</w:t>
            </w:r>
            <w:r w:rsidRPr="0011454A">
              <w:rPr>
                <w:b w:val="0"/>
              </w:rPr>
              <w:t xml:space="preserve"> </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4089</w:t>
            </w:r>
            <w:r w:rsidR="0065757F">
              <w:t>*</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Indonesia</w:t>
            </w:r>
          </w:p>
        </w:tc>
      </w:tr>
      <w:tr w:rsidR="0072445E" w:rsidRPr="0011454A" w:rsidTr="009611A7">
        <w:trPr>
          <w:trHeight w:val="235"/>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Austrian Development Agency </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t>88</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Uganda</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Belgium, Directorate General for Cooperation and Development </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805</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Democratic Republic of Congo</w:t>
            </w:r>
          </w:p>
        </w:tc>
      </w:tr>
      <w:tr w:rsidR="0072445E" w:rsidRPr="0011454A" w:rsidTr="009611A7">
        <w:trPr>
          <w:trHeight w:val="235"/>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Bill and Melinda Gates Foundation</w:t>
            </w:r>
          </w:p>
        </w:tc>
        <w:tc>
          <w:tcPr>
            <w:tcW w:w="1559" w:type="dxa"/>
            <w:shd w:val="clear" w:color="auto" w:fill="auto"/>
          </w:tcPr>
          <w:p w:rsidR="0072445E" w:rsidRPr="0011454A" w:rsidRDefault="0065757F"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2372</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1454A">
              <w:rPr>
                <w:rFonts w:cstheme="minorHAnsi"/>
                <w:color w:val="000000"/>
              </w:rPr>
              <w:t>Global Health Program</w:t>
            </w:r>
            <w:r w:rsidRPr="0011454A">
              <w:rPr>
                <w:rStyle w:val="FootnoteReference"/>
                <w:color w:val="000000"/>
              </w:rPr>
              <w:footnoteReference w:id="5"/>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Brazilian Cooperation Agency</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500</w:t>
            </w:r>
          </w:p>
        </w:tc>
        <w:tc>
          <w:tcPr>
            <w:tcW w:w="3686" w:type="dxa"/>
            <w:shd w:val="clear" w:color="auto" w:fill="auto"/>
          </w:tcPr>
          <w:p w:rsidR="0072445E" w:rsidRPr="0011454A" w:rsidRDefault="000B6BE4"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Mozambique</w:t>
            </w:r>
          </w:p>
        </w:tc>
      </w:tr>
      <w:tr w:rsidR="0072445E" w:rsidRPr="0011454A" w:rsidTr="009611A7">
        <w:trPr>
          <w:trHeight w:val="235"/>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lastRenderedPageBreak/>
              <w:t>Bulgaria, Ministry of Foreign Affairs</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t>40</w:t>
            </w:r>
          </w:p>
        </w:tc>
        <w:tc>
          <w:tcPr>
            <w:tcW w:w="3686" w:type="dxa"/>
            <w:shd w:val="clear" w:color="auto" w:fill="auto"/>
          </w:tcPr>
          <w:p w:rsidR="0072445E" w:rsidRPr="0011454A" w:rsidRDefault="000B6BE4"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Armenia</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Pr>
                <w:b w:val="0"/>
              </w:rPr>
              <w:t>Canada, Department of Foreign Affairs, Trade and Development</w:t>
            </w:r>
          </w:p>
        </w:tc>
        <w:tc>
          <w:tcPr>
            <w:tcW w:w="1559" w:type="dxa"/>
            <w:shd w:val="clear" w:color="auto" w:fill="auto"/>
          </w:tcPr>
          <w:p w:rsidR="0072445E" w:rsidRPr="0011454A" w:rsidRDefault="0065757F"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3099</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Mozambique</w:t>
            </w:r>
          </w:p>
        </w:tc>
      </w:tr>
      <w:tr w:rsidR="0072445E" w:rsidRPr="0011454A" w:rsidTr="009611A7">
        <w:trPr>
          <w:trHeight w:val="22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China, Ministry of Commerce</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t>2644</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Ghana</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Pr>
                <w:b w:val="0"/>
              </w:rPr>
              <w:t>Croatia, Ministry of Foreign and European Affairs</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pPr>
            <w:r>
              <w:t>21</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Bosnia and Herzegovina</w:t>
            </w:r>
          </w:p>
        </w:tc>
      </w:tr>
      <w:tr w:rsidR="0072445E" w:rsidRPr="0011454A" w:rsidTr="009611A7">
        <w:trPr>
          <w:trHeight w:val="235"/>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CyprusAid</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t>25</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Bosnia and Herzegovina</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Czech Development Agency</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22</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Moldova</w:t>
            </w:r>
          </w:p>
        </w:tc>
      </w:tr>
      <w:tr w:rsidR="0072445E" w:rsidRPr="0011454A" w:rsidTr="009611A7">
        <w:trPr>
          <w:trHeight w:val="235"/>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Denmark, Ministry of Foreign Affairs</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rsidRPr="0011454A">
              <w:t>2</w:t>
            </w:r>
            <w:r w:rsidR="0065757F">
              <w:t>029*</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Tanzania</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European Bank for Reconstruction and Development </w:t>
            </w:r>
          </w:p>
        </w:tc>
        <w:tc>
          <w:tcPr>
            <w:tcW w:w="1559" w:type="dxa"/>
            <w:shd w:val="clear" w:color="auto" w:fill="auto"/>
          </w:tcPr>
          <w:p w:rsidR="0072445E" w:rsidRPr="0011454A" w:rsidRDefault="0065757F"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3336*</w:t>
            </w:r>
          </w:p>
        </w:tc>
        <w:tc>
          <w:tcPr>
            <w:tcW w:w="3686" w:type="dxa"/>
            <w:shd w:val="clear" w:color="auto" w:fill="auto"/>
          </w:tcPr>
          <w:p w:rsidR="0072445E" w:rsidRPr="0011454A" w:rsidRDefault="0065757F"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Turkey</w:t>
            </w:r>
          </w:p>
        </w:tc>
      </w:tr>
      <w:tr w:rsidR="0072445E" w:rsidRPr="0011454A" w:rsidTr="009611A7">
        <w:trPr>
          <w:trHeight w:val="235"/>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European Investment Bank </w:t>
            </w:r>
          </w:p>
        </w:tc>
        <w:tc>
          <w:tcPr>
            <w:tcW w:w="1559" w:type="dxa"/>
            <w:shd w:val="clear" w:color="auto" w:fill="auto"/>
          </w:tcPr>
          <w:p w:rsidR="0072445E" w:rsidRPr="0011454A" w:rsidRDefault="0065757F"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t>6826*</w:t>
            </w:r>
          </w:p>
        </w:tc>
        <w:tc>
          <w:tcPr>
            <w:tcW w:w="3686" w:type="dxa"/>
            <w:shd w:val="clear" w:color="auto" w:fill="auto"/>
          </w:tcPr>
          <w:p w:rsidR="0072445E" w:rsidRPr="0011454A" w:rsidRDefault="000B6BE4"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Turkey</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Estonia, Ministry of Foreign Affairs</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23</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Afghanistan</w:t>
            </w:r>
          </w:p>
        </w:tc>
      </w:tr>
      <w:tr w:rsidR="0072445E" w:rsidRPr="0011454A" w:rsidTr="009611A7">
        <w:trPr>
          <w:trHeight w:val="218"/>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European Commission, Service for Foreign Policy Instruments </w:t>
            </w:r>
          </w:p>
        </w:tc>
        <w:tc>
          <w:tcPr>
            <w:tcW w:w="1559" w:type="dxa"/>
            <w:shd w:val="clear" w:color="auto" w:fill="auto"/>
          </w:tcPr>
          <w:p w:rsidR="0072445E" w:rsidRPr="0011454A" w:rsidRDefault="0065757F"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t>303</w:t>
            </w:r>
          </w:p>
        </w:tc>
        <w:tc>
          <w:tcPr>
            <w:tcW w:w="3686" w:type="dxa"/>
            <w:shd w:val="clear" w:color="auto" w:fill="auto"/>
          </w:tcPr>
          <w:p w:rsidR="0072445E" w:rsidRPr="0011454A" w:rsidRDefault="004B3DFB"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Lebanon</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European </w:t>
            </w:r>
            <w:r w:rsidRPr="0011454A">
              <w:rPr>
                <w:b w:val="0"/>
                <w:lang w:val="en-GB"/>
              </w:rPr>
              <w:t xml:space="preserve">Commission, DG Development and Cooperation – EuropeAid </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12478</w:t>
            </w:r>
          </w:p>
        </w:tc>
        <w:tc>
          <w:tcPr>
            <w:tcW w:w="3686" w:type="dxa"/>
            <w:shd w:val="clear" w:color="auto" w:fill="auto"/>
          </w:tcPr>
          <w:p w:rsidR="0072445E" w:rsidRPr="0011454A" w:rsidRDefault="0096144F"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Afghanistan</w:t>
            </w:r>
          </w:p>
        </w:tc>
      </w:tr>
      <w:tr w:rsidR="0072445E" w:rsidRPr="0011454A" w:rsidTr="009611A7">
        <w:trPr>
          <w:trHeight w:val="235"/>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lang w:val="en-GB"/>
              </w:rPr>
              <w:t xml:space="preserve">European Commission, DG Humanitarian Aid and Civil Protection </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t>1776</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Sudan</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lang w:val="fr-FR"/>
              </w:rPr>
            </w:pPr>
            <w:r w:rsidRPr="0011454A">
              <w:rPr>
                <w:b w:val="0"/>
                <w:lang w:val="fr-FR"/>
              </w:rPr>
              <w:t xml:space="preserve">European Commission, DG Enlargement </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2462</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Serbia</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lang w:val="en-GB"/>
              </w:rPr>
              <w:t>Finland, Ministry</w:t>
            </w:r>
            <w:r w:rsidRPr="0011454A">
              <w:rPr>
                <w:b w:val="0"/>
              </w:rPr>
              <w:t xml:space="preserve"> of Foreign Affairs</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t>731</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Mozambique</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France, Ministry of Economy and Finance </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1921</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Cote d’Ivoire</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France, Ministry of Foreign Affairs </w:t>
            </w:r>
            <w:r w:rsidR="00C97DA4">
              <w:rPr>
                <w:b w:val="0"/>
              </w:rPr>
              <w:t>and International Development</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t>986</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Morocco</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French Development Agency </w:t>
            </w:r>
          </w:p>
        </w:tc>
        <w:tc>
          <w:tcPr>
            <w:tcW w:w="1559" w:type="dxa"/>
            <w:shd w:val="clear" w:color="auto" w:fill="auto"/>
          </w:tcPr>
          <w:p w:rsidR="0072445E" w:rsidRPr="0011454A" w:rsidRDefault="0065757F"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5572*</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Brazil</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4D19B4">
            <w:pPr>
              <w:pStyle w:val="ListBullet"/>
              <w:numPr>
                <w:ilvl w:val="0"/>
                <w:numId w:val="0"/>
              </w:numPr>
              <w:ind w:firstLine="33"/>
              <w:rPr>
                <w:b w:val="0"/>
              </w:rPr>
            </w:pPr>
            <w:r w:rsidRPr="0011454A">
              <w:rPr>
                <w:b w:val="0"/>
              </w:rPr>
              <w:t xml:space="preserve">GAVI </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t>1068</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Pakistan</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Germany, Foreign Office </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1056</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Afghanistan</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Germany, </w:t>
            </w:r>
            <w:r>
              <w:rPr>
                <w:b w:val="0"/>
              </w:rPr>
              <w:t>Ministry for Economic Cooperation and Development (BMZ)</w:t>
            </w:r>
            <w:r w:rsidRPr="0011454A">
              <w:rPr>
                <w:b w:val="0"/>
              </w:rPr>
              <w:t xml:space="preserve">-GIZ </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t>5780</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Kenya</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Germany</w:t>
            </w:r>
            <w:r>
              <w:rPr>
                <w:b w:val="0"/>
              </w:rPr>
              <w:t>,</w:t>
            </w:r>
            <w:r w:rsidRPr="0011454A">
              <w:rPr>
                <w:b w:val="0"/>
              </w:rPr>
              <w:t xml:space="preserve"> </w:t>
            </w:r>
            <w:r>
              <w:rPr>
                <w:b w:val="0"/>
              </w:rPr>
              <w:t>Ministry for Economic Cooperation and Development (BMZ)</w:t>
            </w:r>
            <w:r w:rsidRPr="0011454A">
              <w:rPr>
                <w:b w:val="0"/>
              </w:rPr>
              <w:t>-KfW</w:t>
            </w:r>
          </w:p>
        </w:tc>
        <w:tc>
          <w:tcPr>
            <w:tcW w:w="1559" w:type="dxa"/>
            <w:shd w:val="clear" w:color="auto" w:fill="auto"/>
          </w:tcPr>
          <w:p w:rsidR="0072445E" w:rsidRPr="0011454A" w:rsidRDefault="0065757F"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1319*</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China</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Greece, Hellenic Aid</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t xml:space="preserve"> 107</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Albania</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Hungary, Ministry of Foreign Affairs</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118</w:t>
            </w:r>
          </w:p>
        </w:tc>
        <w:tc>
          <w:tcPr>
            <w:tcW w:w="3686" w:type="dxa"/>
            <w:shd w:val="clear" w:color="auto" w:fill="auto"/>
          </w:tcPr>
          <w:p w:rsidR="0072445E" w:rsidRPr="0011454A" w:rsidRDefault="000B6BE4"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Ukraine</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Inter-American Development Bank </w:t>
            </w:r>
          </w:p>
        </w:tc>
        <w:tc>
          <w:tcPr>
            <w:tcW w:w="1559" w:type="dxa"/>
            <w:shd w:val="clear" w:color="auto" w:fill="auto"/>
          </w:tcPr>
          <w:p w:rsidR="0072445E" w:rsidRPr="0011454A" w:rsidRDefault="0065757F"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t>8115*</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Honduras</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International Monetary Fund </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1506</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Cote d’Ivoire</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Irish Aid</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t>528</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Mozambique</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Italy, Ministry of Foreign Affairs</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253</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Afghanistan</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Japan International Cooperation Agency </w:t>
            </w:r>
          </w:p>
        </w:tc>
        <w:tc>
          <w:tcPr>
            <w:tcW w:w="1559" w:type="dxa"/>
            <w:shd w:val="clear" w:color="auto" w:fill="auto"/>
          </w:tcPr>
          <w:p w:rsidR="0072445E" w:rsidRPr="0011454A" w:rsidRDefault="0065757F"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t>10067</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Vietnam</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Japan, Ministry of Foreign Affairs</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3886</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Afghanistan</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Korean International Cooperation Agency </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t>445</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Mongolia</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Latvia, Ministry of Foreign Affairs</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21</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Afghanistan</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Lithuania, Ministry of Foreign Affairs</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t>52</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Belarus</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lastRenderedPageBreak/>
              <w:t>Luxembourg, Ministry of Foreign Affairs</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279</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Mali</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Malta, Ministry of Foreign Affairs</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eastAsia="Times New Roman"/>
                <w:lang w:bidi="ar-SA"/>
              </w:rPr>
            </w:pPr>
            <w:r w:rsidRPr="0011454A">
              <w:t>1</w:t>
            </w:r>
            <w:r>
              <w:t>9</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Kenya</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Netherlands, Ministry of Foreign Affairs</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eastAsia="Times New Roman"/>
                <w:lang w:bidi="ar-SA"/>
              </w:rPr>
            </w:pPr>
            <w:r>
              <w:t>3964</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Ethiopia</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New Zealand, Ministry of Foreign Affairs and Trade </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346</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Solomon Islands</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Norway, Ministry of Foreign Affairs</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3212</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Afghanistan</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Poland, Ministry of Foreign Affairs</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483</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Belarus</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Portugal, Camões Institute for Cooperation and Language </w:t>
            </w:r>
          </w:p>
        </w:tc>
        <w:tc>
          <w:tcPr>
            <w:tcW w:w="1559" w:type="dxa"/>
            <w:shd w:val="clear" w:color="auto" w:fill="auto"/>
          </w:tcPr>
          <w:p w:rsidR="0072445E" w:rsidRPr="0011454A" w:rsidRDefault="00723A51"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168</w:t>
            </w:r>
          </w:p>
        </w:tc>
        <w:tc>
          <w:tcPr>
            <w:tcW w:w="3686" w:type="dxa"/>
            <w:shd w:val="clear" w:color="auto" w:fill="auto"/>
          </w:tcPr>
          <w:p w:rsidR="0072445E" w:rsidRPr="0011454A" w:rsidRDefault="00723A51"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Cape Verde</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Romania, Ministry of Foreign Affairs</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142</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Moldova</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Slovak Agency for International Development Cooperation </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83</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Kenya</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Slovenia, Ministry of Foreign Affairs</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58</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Montenegro</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7513B6">
            <w:pPr>
              <w:pStyle w:val="ListBullet"/>
              <w:numPr>
                <w:ilvl w:val="0"/>
                <w:numId w:val="0"/>
              </w:numPr>
              <w:ind w:firstLine="33"/>
              <w:rPr>
                <w:b w:val="0"/>
              </w:rPr>
            </w:pPr>
            <w:r w:rsidRPr="0011454A">
              <w:rPr>
                <w:b w:val="0"/>
              </w:rPr>
              <w:t xml:space="preserve">Spain, Ministry of Foreign Affairs </w:t>
            </w:r>
            <w:r w:rsidR="00C97DA4">
              <w:rPr>
                <w:b w:val="0"/>
              </w:rPr>
              <w:t>and International Cooperation</w:t>
            </w:r>
          </w:p>
        </w:tc>
        <w:tc>
          <w:tcPr>
            <w:tcW w:w="1559" w:type="dxa"/>
            <w:shd w:val="clear" w:color="auto" w:fill="auto"/>
          </w:tcPr>
          <w:p w:rsidR="0072445E" w:rsidRPr="0011454A" w:rsidRDefault="0065757F"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618</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Morocco</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Pr>
                <w:b w:val="0"/>
              </w:rPr>
              <w:t>Sweden, Ministry of Foreign Affairs – Swedish Development Agency</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3587</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Mozambique</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Swiss Agency for Development and Cooperation </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1454A">
              <w:rPr>
                <w:rFonts w:cstheme="minorHAnsi"/>
                <w:color w:val="000000"/>
              </w:rPr>
              <w:t>12</w:t>
            </w:r>
            <w:r>
              <w:rPr>
                <w:rFonts w:cstheme="minorHAnsi"/>
                <w:color w:val="000000"/>
              </w:rPr>
              <w:t>83</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Nepal</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The Global Fund to Fight AIDS, Tuberculosis and Malaria</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3359</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Nigeria</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United Kingdom, Department for International Development </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1454A">
              <w:rPr>
                <w:rFonts w:cstheme="minorHAnsi"/>
                <w:color w:val="000000"/>
              </w:rPr>
              <w:t>722</w:t>
            </w:r>
            <w:r>
              <w:rPr>
                <w:rFonts w:cstheme="minorHAnsi"/>
                <w:color w:val="000000"/>
              </w:rPr>
              <w:t>8</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Ethiopia</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United Kingdom, Foreign and Commonwealth Office </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1454A">
              <w:rPr>
                <w:rFonts w:cstheme="minorHAnsi"/>
                <w:color w:val="000000"/>
              </w:rPr>
              <w:t>4</w:t>
            </w:r>
            <w:r>
              <w:rPr>
                <w:rFonts w:cstheme="minorHAnsi"/>
                <w:color w:val="000000"/>
              </w:rPr>
              <w:t>13</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China</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United Kingdom, Ministry of Defence</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8</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Afghanistan</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United Nations Children’s Fund </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1454A">
              <w:rPr>
                <w:rFonts w:cstheme="minorHAnsi"/>
                <w:color w:val="000000"/>
              </w:rPr>
              <w:t>11</w:t>
            </w:r>
            <w:r>
              <w:rPr>
                <w:rFonts w:cstheme="minorHAnsi"/>
                <w:color w:val="000000"/>
              </w:rPr>
              <w:t>55</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Nigeria</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United Nations Development Programme </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487</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Ethiopia</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United Nations Office for the Coordination of Humanitarian Affairs </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919</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South Sudan</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United States Agency for International Development </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1454A">
              <w:rPr>
                <w:rFonts w:cstheme="minorHAnsi"/>
                <w:color w:val="000000"/>
              </w:rPr>
              <w:t>15</w:t>
            </w:r>
            <w:r>
              <w:rPr>
                <w:rFonts w:cstheme="minorHAnsi"/>
                <w:color w:val="000000"/>
              </w:rPr>
              <w:t>572</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Afghanistan</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United States, Department of Defense </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490</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Afghanistan</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United States, Department of State</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4198</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Afghanistan</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United States, Department of the Treasury </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185</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Afghanistan</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United States, Millennium Challenge Corporation </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1355</w:t>
            </w:r>
          </w:p>
        </w:tc>
        <w:tc>
          <w:tcPr>
            <w:tcW w:w="3686" w:type="dxa"/>
            <w:shd w:val="clear" w:color="auto" w:fill="auto"/>
          </w:tcPr>
          <w:p w:rsidR="0072445E" w:rsidRPr="0011454A" w:rsidRDefault="008D76A4"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Burkina Faso</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United States, President’s Emergency Plan for AIDS Relief </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6639</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South Africa</w:t>
            </w:r>
          </w:p>
        </w:tc>
      </w:tr>
      <w:tr w:rsidR="0072445E" w:rsidRPr="0011454A" w:rsidTr="009611A7">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World Bank, International Development Association </w:t>
            </w:r>
          </w:p>
        </w:tc>
        <w:tc>
          <w:tcPr>
            <w:tcW w:w="1559"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12163</w:t>
            </w:r>
          </w:p>
        </w:tc>
        <w:tc>
          <w:tcPr>
            <w:tcW w:w="3686" w:type="dxa"/>
            <w:shd w:val="clear" w:color="auto" w:fill="auto"/>
          </w:tcPr>
          <w:p w:rsidR="0072445E" w:rsidRPr="0011454A" w:rsidRDefault="0072445E" w:rsidP="009611A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Cote d’Ivoire</w:t>
            </w:r>
          </w:p>
        </w:tc>
      </w:tr>
      <w:tr w:rsidR="0072445E" w:rsidRPr="0011454A" w:rsidTr="009611A7">
        <w:trPr>
          <w:trHeight w:val="141"/>
        </w:trPr>
        <w:tc>
          <w:tcPr>
            <w:cnfStyle w:val="001000000000" w:firstRow="0" w:lastRow="0" w:firstColumn="1" w:lastColumn="0" w:oddVBand="0" w:evenVBand="0" w:oddHBand="0" w:evenHBand="0" w:firstRowFirstColumn="0" w:firstRowLastColumn="0" w:lastRowFirstColumn="0" w:lastRowLastColumn="0"/>
            <w:tcW w:w="8789" w:type="dxa"/>
            <w:shd w:val="clear" w:color="auto" w:fill="auto"/>
          </w:tcPr>
          <w:p w:rsidR="0072445E" w:rsidRPr="0011454A" w:rsidRDefault="0072445E" w:rsidP="009611A7">
            <w:pPr>
              <w:pStyle w:val="ListBullet"/>
              <w:numPr>
                <w:ilvl w:val="0"/>
                <w:numId w:val="0"/>
              </w:numPr>
              <w:ind w:firstLine="33"/>
              <w:rPr>
                <w:b w:val="0"/>
              </w:rPr>
            </w:pPr>
            <w:r w:rsidRPr="0011454A">
              <w:rPr>
                <w:b w:val="0"/>
              </w:rPr>
              <w:t xml:space="preserve">World Bank, International Finance Corporation </w:t>
            </w:r>
          </w:p>
        </w:tc>
        <w:tc>
          <w:tcPr>
            <w:tcW w:w="1559"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18000</w:t>
            </w:r>
          </w:p>
        </w:tc>
        <w:tc>
          <w:tcPr>
            <w:tcW w:w="3686" w:type="dxa"/>
            <w:shd w:val="clear" w:color="auto" w:fill="auto"/>
          </w:tcPr>
          <w:p w:rsidR="0072445E" w:rsidRPr="0011454A" w:rsidRDefault="0072445E" w:rsidP="009611A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India</w:t>
            </w:r>
          </w:p>
        </w:tc>
      </w:tr>
    </w:tbl>
    <w:p w:rsidR="001036CF" w:rsidRDefault="001036CF" w:rsidP="00935A49">
      <w:pPr>
        <w:pStyle w:val="Heading4"/>
        <w:spacing w:before="0" w:line="240" w:lineRule="auto"/>
        <w:rPr>
          <w:rFonts w:ascii="Cambria" w:eastAsia="Calibri" w:hAnsi="Cambria" w:cs="Times New Roman"/>
          <w:i w:val="0"/>
          <w:iCs w:val="0"/>
          <w:color w:val="4F81BD"/>
          <w:sz w:val="28"/>
          <w:szCs w:val="26"/>
        </w:rPr>
      </w:pPr>
    </w:p>
    <w:p w:rsidR="009F49BC" w:rsidRDefault="009F49BC">
      <w:pPr>
        <w:rPr>
          <w:rFonts w:ascii="Cambria" w:eastAsiaTheme="majorEastAsia" w:hAnsi="Cambria" w:cstheme="majorBidi"/>
          <w:b/>
          <w:bCs/>
          <w:iCs/>
          <w:color w:val="4F81BD" w:themeColor="accent1"/>
        </w:rPr>
      </w:pPr>
      <w:r>
        <w:rPr>
          <w:rFonts w:eastAsiaTheme="majorEastAsia" w:cstheme="majorBidi"/>
          <w:b/>
          <w:bCs/>
          <w:iCs/>
          <w:color w:val="4F81BD" w:themeColor="accent1"/>
        </w:rPr>
        <w:br w:type="page"/>
      </w:r>
    </w:p>
    <w:p w:rsidR="00721FDE" w:rsidRPr="001036CF" w:rsidRDefault="00721FDE" w:rsidP="00C428DA">
      <w:pPr>
        <w:pStyle w:val="ColorfulList-Accent11"/>
        <w:spacing w:after="0"/>
        <w:ind w:left="0"/>
        <w:contextualSpacing w:val="0"/>
        <w:rPr>
          <w:rFonts w:eastAsia="Calibri"/>
          <w:b/>
          <w:bCs/>
          <w:color w:val="4F81BD"/>
          <w:sz w:val="28"/>
          <w:szCs w:val="26"/>
          <w:lang w:bidi="en-US"/>
        </w:rPr>
      </w:pPr>
      <w:r w:rsidRPr="005C4B56">
        <w:rPr>
          <w:rFonts w:eastAsiaTheme="majorEastAsia" w:cstheme="majorBidi"/>
          <w:b/>
          <w:bCs/>
          <w:iCs/>
          <w:color w:val="4F81BD" w:themeColor="accent1"/>
          <w:sz w:val="22"/>
          <w:szCs w:val="22"/>
          <w:lang w:bidi="en-US"/>
        </w:rPr>
        <w:lastRenderedPageBreak/>
        <w:t xml:space="preserve">Selection of multiple agencies from </w:t>
      </w:r>
      <w:r w:rsidR="007D68FE" w:rsidRPr="005C4B56">
        <w:rPr>
          <w:rFonts w:eastAsiaTheme="majorEastAsia" w:cstheme="majorBidi"/>
          <w:b/>
          <w:bCs/>
          <w:iCs/>
          <w:color w:val="4F81BD" w:themeColor="accent1"/>
          <w:sz w:val="22"/>
          <w:szCs w:val="22"/>
          <w:lang w:bidi="en-US"/>
        </w:rPr>
        <w:t>the same donor country or group</w:t>
      </w:r>
    </w:p>
    <w:p w:rsidR="002B2AC5" w:rsidRDefault="00721FDE" w:rsidP="00935A49">
      <w:pPr>
        <w:spacing w:after="0" w:line="240" w:lineRule="auto"/>
        <w:rPr>
          <w:rFonts w:cstheme="minorHAnsi"/>
          <w:color w:val="000000"/>
        </w:rPr>
      </w:pPr>
      <w:r w:rsidRPr="00423FCC">
        <w:rPr>
          <w:rFonts w:cstheme="minorHAnsi"/>
          <w:color w:val="000000"/>
        </w:rPr>
        <w:t xml:space="preserve">As in previous years, the </w:t>
      </w:r>
      <w:r w:rsidR="001036CF">
        <w:rPr>
          <w:rFonts w:cstheme="minorHAnsi"/>
          <w:color w:val="000000"/>
        </w:rPr>
        <w:t>ATI</w:t>
      </w:r>
      <w:r w:rsidRPr="00423FCC">
        <w:rPr>
          <w:rFonts w:cstheme="minorHAnsi"/>
          <w:color w:val="000000"/>
        </w:rPr>
        <w:t xml:space="preserve"> assesses more than one agency for some large donors (</w:t>
      </w:r>
      <w:r w:rsidR="00D53219">
        <w:rPr>
          <w:rFonts w:cstheme="minorHAnsi"/>
          <w:color w:val="000000"/>
        </w:rPr>
        <w:t xml:space="preserve">EC, </w:t>
      </w:r>
      <w:r w:rsidRPr="00423FCC">
        <w:rPr>
          <w:rFonts w:cstheme="minorHAnsi"/>
          <w:color w:val="000000"/>
        </w:rPr>
        <w:t>France</w:t>
      </w:r>
      <w:r w:rsidR="00D53219">
        <w:rPr>
          <w:rFonts w:cstheme="minorHAnsi"/>
          <w:color w:val="000000"/>
        </w:rPr>
        <w:t>,</w:t>
      </w:r>
      <w:r w:rsidRPr="00423FCC">
        <w:rPr>
          <w:rFonts w:cstheme="minorHAnsi"/>
          <w:color w:val="000000"/>
        </w:rPr>
        <w:t xml:space="preserve"> Germany, Japan, </w:t>
      </w:r>
      <w:r w:rsidR="00D53219">
        <w:rPr>
          <w:rFonts w:cstheme="minorHAnsi"/>
          <w:color w:val="000000"/>
        </w:rPr>
        <w:t>UK, UN</w:t>
      </w:r>
      <w:r w:rsidRPr="00423FCC">
        <w:rPr>
          <w:rFonts w:cstheme="minorHAnsi"/>
          <w:color w:val="000000"/>
        </w:rPr>
        <w:t xml:space="preserve">, U.S. and the World Bank) with multiple ministries or organisations responsible for significant proportions of </w:t>
      </w:r>
      <w:r w:rsidR="00202E1A">
        <w:rPr>
          <w:rFonts w:cstheme="minorHAnsi"/>
          <w:color w:val="000000"/>
        </w:rPr>
        <w:t>Official Development Assistance (</w:t>
      </w:r>
      <w:r w:rsidRPr="00423FCC">
        <w:rPr>
          <w:rFonts w:cstheme="minorHAnsi"/>
          <w:color w:val="000000"/>
        </w:rPr>
        <w:t>ODA</w:t>
      </w:r>
      <w:r w:rsidR="00202E1A">
        <w:rPr>
          <w:rFonts w:cstheme="minorHAnsi"/>
          <w:color w:val="000000"/>
        </w:rPr>
        <w:t>)</w:t>
      </w:r>
      <w:r w:rsidRPr="00423FCC">
        <w:rPr>
          <w:rFonts w:cstheme="minorHAnsi"/>
          <w:color w:val="000000"/>
        </w:rPr>
        <w:t xml:space="preserve">. We </w:t>
      </w:r>
      <w:r w:rsidR="001036CF">
        <w:rPr>
          <w:rFonts w:cstheme="minorHAnsi"/>
          <w:color w:val="000000"/>
        </w:rPr>
        <w:t xml:space="preserve">have </w:t>
      </w:r>
      <w:r w:rsidRPr="00423FCC">
        <w:rPr>
          <w:rFonts w:cstheme="minorHAnsi"/>
          <w:color w:val="000000"/>
        </w:rPr>
        <w:t>opted to maintain the disaggregation of agencies for several reasons. First, no two agencies in th</w:t>
      </w:r>
      <w:r w:rsidR="001036CF">
        <w:rPr>
          <w:rFonts w:cstheme="minorHAnsi"/>
          <w:color w:val="000000"/>
        </w:rPr>
        <w:t>e ATI</w:t>
      </w:r>
      <w:r w:rsidRPr="00423FCC">
        <w:rPr>
          <w:rFonts w:cstheme="minorHAnsi"/>
          <w:color w:val="000000"/>
        </w:rPr>
        <w:t xml:space="preserve"> score the same. There is often wide variation in the amount of information made available by different agencies in a single country</w:t>
      </w:r>
      <w:r w:rsidR="00D53219">
        <w:rPr>
          <w:rFonts w:cstheme="minorHAnsi"/>
          <w:color w:val="000000"/>
        </w:rPr>
        <w:t xml:space="preserve"> or multilateral organisation</w:t>
      </w:r>
      <w:r w:rsidRPr="00423FCC">
        <w:rPr>
          <w:rFonts w:cstheme="minorHAnsi"/>
          <w:color w:val="000000"/>
        </w:rPr>
        <w:t xml:space="preserve">. Second, agencies often retain a large amount of autonomy in deciding how much information they make available and have different publication approaches, and should therefore be held accountable </w:t>
      </w:r>
      <w:r w:rsidR="00880ABE">
        <w:rPr>
          <w:rFonts w:cstheme="minorHAnsi"/>
          <w:color w:val="000000"/>
        </w:rPr>
        <w:t>for them</w:t>
      </w:r>
      <w:r w:rsidRPr="00423FCC">
        <w:rPr>
          <w:rFonts w:cstheme="minorHAnsi"/>
          <w:color w:val="000000"/>
        </w:rPr>
        <w:t>. Third, it would be unfair for high</w:t>
      </w:r>
      <w:r w:rsidR="00880ABE">
        <w:rPr>
          <w:rFonts w:cstheme="minorHAnsi"/>
          <w:color w:val="000000"/>
        </w:rPr>
        <w:t xml:space="preserve"> </w:t>
      </w:r>
      <w:r w:rsidRPr="00423FCC">
        <w:rPr>
          <w:rFonts w:cstheme="minorHAnsi"/>
          <w:color w:val="000000"/>
        </w:rPr>
        <w:t xml:space="preserve">performing agencies </w:t>
      </w:r>
      <w:r w:rsidR="00880ABE">
        <w:rPr>
          <w:rFonts w:cstheme="minorHAnsi"/>
          <w:color w:val="000000"/>
        </w:rPr>
        <w:t xml:space="preserve">within a country or organisation </w:t>
      </w:r>
      <w:r w:rsidRPr="00423FCC">
        <w:rPr>
          <w:rFonts w:cstheme="minorHAnsi"/>
          <w:color w:val="000000"/>
        </w:rPr>
        <w:t>to be pulled down by lower</w:t>
      </w:r>
      <w:r w:rsidR="00880ABE">
        <w:rPr>
          <w:rFonts w:cstheme="minorHAnsi"/>
          <w:color w:val="000000"/>
        </w:rPr>
        <w:t xml:space="preserve"> </w:t>
      </w:r>
      <w:r w:rsidRPr="00423FCC">
        <w:rPr>
          <w:rFonts w:cstheme="minorHAnsi"/>
          <w:color w:val="000000"/>
        </w:rPr>
        <w:t>performin</w:t>
      </w:r>
      <w:r w:rsidR="00880ABE">
        <w:rPr>
          <w:rFonts w:cstheme="minorHAnsi"/>
          <w:color w:val="000000"/>
        </w:rPr>
        <w:t xml:space="preserve">g agencies, and similarly lower </w:t>
      </w:r>
      <w:r w:rsidRPr="00423FCC">
        <w:rPr>
          <w:rFonts w:cstheme="minorHAnsi"/>
          <w:color w:val="000000"/>
        </w:rPr>
        <w:t>performing agencies should not have their poor performance masked in an average</w:t>
      </w:r>
      <w:r w:rsidR="00880ABE">
        <w:rPr>
          <w:rFonts w:cstheme="minorHAnsi"/>
          <w:color w:val="000000"/>
        </w:rPr>
        <w:t xml:space="preserve"> score</w:t>
      </w:r>
      <w:r w:rsidRPr="00423FCC">
        <w:rPr>
          <w:rFonts w:cstheme="minorHAnsi"/>
          <w:color w:val="000000"/>
        </w:rPr>
        <w:t xml:space="preserve">. </w:t>
      </w:r>
    </w:p>
    <w:p w:rsidR="002B2AC5" w:rsidRDefault="002B2AC5" w:rsidP="00935A49">
      <w:pPr>
        <w:spacing w:after="0" w:line="240" w:lineRule="auto"/>
        <w:rPr>
          <w:rFonts w:cstheme="minorHAnsi"/>
          <w:color w:val="000000"/>
        </w:rPr>
      </w:pPr>
    </w:p>
    <w:p w:rsidR="00721FDE" w:rsidRDefault="00721FDE" w:rsidP="00935A49">
      <w:pPr>
        <w:spacing w:after="0" w:line="240" w:lineRule="auto"/>
        <w:rPr>
          <w:rFonts w:cstheme="minorHAnsi"/>
          <w:color w:val="000000"/>
        </w:rPr>
      </w:pPr>
      <w:r w:rsidRPr="00423FCC">
        <w:rPr>
          <w:rFonts w:cstheme="minorHAnsi"/>
          <w:color w:val="000000"/>
        </w:rPr>
        <w:t xml:space="preserve">Finally, it </w:t>
      </w:r>
      <w:r w:rsidR="001036CF">
        <w:rPr>
          <w:rFonts w:cstheme="minorHAnsi"/>
          <w:color w:val="000000"/>
        </w:rPr>
        <w:t>i</w:t>
      </w:r>
      <w:r w:rsidRPr="00423FCC">
        <w:rPr>
          <w:rFonts w:cstheme="minorHAnsi"/>
          <w:color w:val="000000"/>
        </w:rPr>
        <w:t xml:space="preserve">s unclear how we </w:t>
      </w:r>
      <w:r w:rsidR="001036CF">
        <w:rPr>
          <w:rFonts w:cstheme="minorHAnsi"/>
          <w:color w:val="000000"/>
        </w:rPr>
        <w:t>would</w:t>
      </w:r>
      <w:r w:rsidRPr="00423FCC">
        <w:rPr>
          <w:rFonts w:cstheme="minorHAnsi"/>
          <w:color w:val="000000"/>
        </w:rPr>
        <w:t xml:space="preserve"> aggregate agencies int</w:t>
      </w:r>
      <w:r w:rsidR="00880ABE">
        <w:rPr>
          <w:rFonts w:cstheme="minorHAnsi"/>
          <w:color w:val="000000"/>
        </w:rPr>
        <w:t xml:space="preserve">o a single </w:t>
      </w:r>
      <w:r w:rsidRPr="00423FCC">
        <w:rPr>
          <w:rFonts w:cstheme="minorHAnsi"/>
          <w:color w:val="000000"/>
        </w:rPr>
        <w:t xml:space="preserve">country </w:t>
      </w:r>
      <w:r w:rsidR="00880ABE">
        <w:rPr>
          <w:rFonts w:cstheme="minorHAnsi"/>
          <w:color w:val="000000"/>
        </w:rPr>
        <w:t xml:space="preserve">or organisation </w:t>
      </w:r>
      <w:r w:rsidRPr="00423FCC">
        <w:rPr>
          <w:rFonts w:cstheme="minorHAnsi"/>
          <w:color w:val="000000"/>
        </w:rPr>
        <w:t>score in a way that reflect</w:t>
      </w:r>
      <w:r w:rsidR="001036CF">
        <w:rPr>
          <w:rFonts w:cstheme="minorHAnsi"/>
          <w:color w:val="000000"/>
        </w:rPr>
        <w:t>s</w:t>
      </w:r>
      <w:r w:rsidRPr="00423FCC">
        <w:rPr>
          <w:rFonts w:cstheme="minorHAnsi"/>
          <w:color w:val="000000"/>
        </w:rPr>
        <w:t xml:space="preserve"> wide variations in performance. For example, if all UK agencies’ levels of transparency were averaged to provide a single score</w:t>
      </w:r>
      <w:r w:rsidR="001036CF">
        <w:rPr>
          <w:rFonts w:cstheme="minorHAnsi"/>
          <w:color w:val="000000"/>
        </w:rPr>
        <w:t xml:space="preserve"> in 2013</w:t>
      </w:r>
      <w:r w:rsidRPr="00423FCC">
        <w:rPr>
          <w:rFonts w:cstheme="minorHAnsi"/>
          <w:color w:val="000000"/>
        </w:rPr>
        <w:t xml:space="preserve">, it would </w:t>
      </w:r>
      <w:r w:rsidR="001036CF">
        <w:rPr>
          <w:rFonts w:cstheme="minorHAnsi"/>
          <w:color w:val="000000"/>
        </w:rPr>
        <w:t>have been</w:t>
      </w:r>
      <w:r w:rsidRPr="00423FCC">
        <w:rPr>
          <w:rFonts w:cstheme="minorHAnsi"/>
          <w:color w:val="000000"/>
        </w:rPr>
        <w:t xml:space="preserve"> 43.4, placing the UK in the fair </w:t>
      </w:r>
      <w:r w:rsidR="00880ABE">
        <w:rPr>
          <w:rFonts w:cstheme="minorHAnsi"/>
          <w:color w:val="000000"/>
        </w:rPr>
        <w:t>category</w:t>
      </w:r>
      <w:r w:rsidRPr="00423FCC">
        <w:rPr>
          <w:rFonts w:cstheme="minorHAnsi"/>
          <w:color w:val="000000"/>
        </w:rPr>
        <w:t xml:space="preserve"> (its median score would have been 34.7, placing it in the poor category) despite the high score of 83.5 for DFID, which accounts for 90% of UK ODA. Ranked </w:t>
      </w:r>
      <w:r w:rsidR="00880ABE">
        <w:rPr>
          <w:rFonts w:cstheme="minorHAnsi"/>
          <w:color w:val="000000"/>
        </w:rPr>
        <w:t>separately</w:t>
      </w:r>
      <w:r w:rsidRPr="00423FCC">
        <w:rPr>
          <w:rFonts w:cstheme="minorHAnsi"/>
          <w:color w:val="000000"/>
        </w:rPr>
        <w:t xml:space="preserve">, it is possible to see the variation </w:t>
      </w:r>
      <w:r w:rsidR="00880ABE">
        <w:rPr>
          <w:rFonts w:cstheme="minorHAnsi"/>
          <w:color w:val="000000"/>
        </w:rPr>
        <w:t>in the different agencies’ p</w:t>
      </w:r>
      <w:r w:rsidRPr="00423FCC">
        <w:rPr>
          <w:rFonts w:cstheme="minorHAnsi"/>
          <w:color w:val="000000"/>
        </w:rPr>
        <w:t xml:space="preserve">erformance and which common indicators they collectively perform well or poorly on. Moreover, it would </w:t>
      </w:r>
      <w:r w:rsidR="001036CF">
        <w:rPr>
          <w:rFonts w:cstheme="minorHAnsi"/>
          <w:color w:val="000000"/>
        </w:rPr>
        <w:t>be</w:t>
      </w:r>
      <w:r w:rsidRPr="00423FCC">
        <w:rPr>
          <w:rFonts w:cstheme="minorHAnsi"/>
          <w:color w:val="000000"/>
        </w:rPr>
        <w:t xml:space="preserve"> necessary to take into account the proportion of a country’s aid delivered by each separate agency in order to create an aggregate country ranking that fairly reflected that country’s level of </w:t>
      </w:r>
      <w:r w:rsidR="00296E56">
        <w:rPr>
          <w:rFonts w:cstheme="minorHAnsi"/>
          <w:color w:val="000000"/>
        </w:rPr>
        <w:t xml:space="preserve">aid </w:t>
      </w:r>
      <w:r w:rsidRPr="00423FCC">
        <w:rPr>
          <w:rFonts w:cstheme="minorHAnsi"/>
          <w:color w:val="000000"/>
        </w:rPr>
        <w:t>transparency. This information is not always available.</w:t>
      </w:r>
    </w:p>
    <w:p w:rsidR="00913ED9" w:rsidRDefault="00913ED9" w:rsidP="00935A49">
      <w:pPr>
        <w:spacing w:after="0" w:line="240" w:lineRule="auto"/>
        <w:rPr>
          <w:rFonts w:cstheme="minorHAnsi"/>
          <w:color w:val="000000"/>
        </w:rPr>
      </w:pPr>
    </w:p>
    <w:p w:rsidR="005F019B" w:rsidRDefault="005F019B" w:rsidP="005F019B">
      <w:pPr>
        <w:spacing w:after="0" w:line="240" w:lineRule="auto"/>
        <w:rPr>
          <w:rFonts w:cstheme="minorHAnsi"/>
          <w:color w:val="000000"/>
        </w:rPr>
      </w:pPr>
      <w:r>
        <w:rPr>
          <w:rFonts w:ascii="Calibri" w:eastAsia="Calibri" w:hAnsi="Calibri" w:cs="Calibri"/>
          <w:color w:val="000000"/>
        </w:rPr>
        <w:t>Similarly, where a m</w:t>
      </w:r>
      <w:r w:rsidRPr="00F51F8E">
        <w:rPr>
          <w:rFonts w:ascii="Calibri" w:eastAsia="Calibri" w:hAnsi="Calibri" w:cs="Calibri"/>
          <w:color w:val="000000"/>
        </w:rPr>
        <w:t>inistry or equivalent parent organisation, distinct from an implementing agency, is responsible for funding, strategy or policy-making for the implementing agency, we look at information from both organisations. The resulting assessment often bears the name of both agencies</w:t>
      </w:r>
      <w:r>
        <w:rPr>
          <w:rFonts w:ascii="Calibri" w:eastAsia="Calibri" w:hAnsi="Calibri" w:cs="Calibri"/>
          <w:color w:val="000000"/>
        </w:rPr>
        <w:t xml:space="preserve"> assessed</w:t>
      </w:r>
      <w:r w:rsidRPr="00F51F8E">
        <w:rPr>
          <w:rFonts w:ascii="Calibri" w:eastAsia="Calibri" w:hAnsi="Calibri" w:cs="Calibri"/>
          <w:color w:val="000000"/>
        </w:rPr>
        <w:t xml:space="preserve">. For example, </w:t>
      </w:r>
      <w:r>
        <w:rPr>
          <w:rFonts w:ascii="Calibri" w:eastAsia="Calibri" w:hAnsi="Calibri" w:cs="Calibri"/>
          <w:color w:val="000000"/>
        </w:rPr>
        <w:t xml:space="preserve">the </w:t>
      </w:r>
      <w:r w:rsidR="001D4D23">
        <w:rPr>
          <w:rFonts w:ascii="Calibri" w:eastAsia="Calibri" w:hAnsi="Calibri" w:cs="Calibri"/>
          <w:color w:val="000000"/>
        </w:rPr>
        <w:t xml:space="preserve">German </w:t>
      </w:r>
      <w:r>
        <w:rPr>
          <w:rFonts w:ascii="Calibri" w:eastAsia="Calibri" w:hAnsi="Calibri" w:cs="Calibri"/>
          <w:color w:val="000000"/>
        </w:rPr>
        <w:t>Ministry of Economic Cooperation and Development</w:t>
      </w:r>
      <w:r w:rsidR="001D4D23">
        <w:rPr>
          <w:rFonts w:ascii="Calibri" w:eastAsia="Calibri" w:hAnsi="Calibri" w:cs="Calibri"/>
          <w:color w:val="000000"/>
        </w:rPr>
        <w:t xml:space="preserve"> (BMZ)</w:t>
      </w:r>
      <w:r>
        <w:rPr>
          <w:rFonts w:ascii="Calibri" w:eastAsia="Calibri" w:hAnsi="Calibri" w:cs="Calibri"/>
          <w:color w:val="000000"/>
        </w:rPr>
        <w:t xml:space="preserve"> is jointly assessed with its two major implementing agencies, GIZ and KfW. The resulting assessments are labelled BMZ-GIZ and BMZ-KfW respectively. </w:t>
      </w:r>
      <w:r>
        <w:t>In other cases where a ministry undertakes direct implementation, we separately assess them. For example, for Japan we include separate assessments for the Japan International Cooperation Agency and the Ministry of Foreign Affairs.</w:t>
      </w:r>
    </w:p>
    <w:p w:rsidR="005F019B" w:rsidRPr="00423FCC" w:rsidRDefault="005F019B" w:rsidP="00935A49">
      <w:pPr>
        <w:spacing w:after="0" w:line="240" w:lineRule="auto"/>
        <w:rPr>
          <w:rFonts w:cstheme="minorHAnsi"/>
          <w:color w:val="000000"/>
        </w:rPr>
      </w:pPr>
    </w:p>
    <w:p w:rsidR="00721FDE" w:rsidRPr="00C428DA" w:rsidRDefault="00721FDE" w:rsidP="00C428DA">
      <w:pPr>
        <w:pStyle w:val="ColorfulList-Accent11"/>
        <w:spacing w:after="0"/>
        <w:ind w:left="0"/>
        <w:contextualSpacing w:val="0"/>
        <w:rPr>
          <w:rFonts w:eastAsiaTheme="majorEastAsia" w:cstheme="majorBidi"/>
          <w:b/>
          <w:bCs/>
          <w:iCs/>
          <w:color w:val="4F81BD" w:themeColor="accent1"/>
          <w:sz w:val="22"/>
          <w:szCs w:val="22"/>
          <w:lang w:bidi="en-US"/>
        </w:rPr>
      </w:pPr>
      <w:r w:rsidRPr="00C428DA">
        <w:rPr>
          <w:rFonts w:eastAsiaTheme="majorEastAsia" w:cstheme="majorBidi"/>
          <w:b/>
          <w:bCs/>
          <w:iCs/>
          <w:color w:val="4F81BD" w:themeColor="accent1"/>
          <w:sz w:val="22"/>
          <w:szCs w:val="22"/>
          <w:lang w:bidi="en-US"/>
        </w:rPr>
        <w:t>Donors not included in the 201</w:t>
      </w:r>
      <w:r w:rsidR="001036CF">
        <w:rPr>
          <w:rFonts w:eastAsiaTheme="majorEastAsia" w:cstheme="majorBidi"/>
          <w:b/>
          <w:bCs/>
          <w:iCs/>
          <w:color w:val="4F81BD" w:themeColor="accent1"/>
          <w:sz w:val="22"/>
          <w:szCs w:val="22"/>
          <w:lang w:bidi="en-US"/>
        </w:rPr>
        <w:t>4 ATI</w:t>
      </w:r>
    </w:p>
    <w:p w:rsidR="009F6792" w:rsidRPr="00423FCC" w:rsidRDefault="00721FDE" w:rsidP="00935A49">
      <w:pPr>
        <w:spacing w:after="0" w:line="240" w:lineRule="auto"/>
        <w:rPr>
          <w:rFonts w:cstheme="minorHAnsi"/>
          <w:color w:val="000000"/>
        </w:rPr>
      </w:pPr>
      <w:r w:rsidRPr="00423FCC">
        <w:rPr>
          <w:rFonts w:cstheme="minorHAnsi"/>
          <w:color w:val="000000"/>
        </w:rPr>
        <w:t>There are some donor</w:t>
      </w:r>
      <w:r w:rsidR="00296E56">
        <w:rPr>
          <w:rFonts w:cstheme="minorHAnsi"/>
          <w:color w:val="000000"/>
        </w:rPr>
        <w:t xml:space="preserve"> organisation</w:t>
      </w:r>
      <w:r w:rsidRPr="00423FCC">
        <w:rPr>
          <w:rFonts w:cstheme="minorHAnsi"/>
          <w:color w:val="000000"/>
        </w:rPr>
        <w:t xml:space="preserve">s that </w:t>
      </w:r>
      <w:r w:rsidR="005221A5">
        <w:rPr>
          <w:rFonts w:cstheme="minorHAnsi"/>
          <w:color w:val="000000"/>
        </w:rPr>
        <w:t>spend</w:t>
      </w:r>
      <w:r w:rsidRPr="00423FCC">
        <w:rPr>
          <w:rFonts w:cstheme="minorHAnsi"/>
          <w:color w:val="000000"/>
        </w:rPr>
        <w:t xml:space="preserve"> more than USD 1bn per annum that have not been included</w:t>
      </w:r>
      <w:r w:rsidR="001036CF">
        <w:rPr>
          <w:rFonts w:cstheme="minorHAnsi"/>
          <w:color w:val="000000"/>
        </w:rPr>
        <w:t xml:space="preserve"> in the ATI</w:t>
      </w:r>
      <w:r w:rsidRPr="00423FCC">
        <w:rPr>
          <w:rFonts w:cstheme="minorHAnsi"/>
          <w:color w:val="000000"/>
        </w:rPr>
        <w:t xml:space="preserve">, for example Saudi Arabia and Turkey. The Index’s coverage of </w:t>
      </w:r>
      <w:r w:rsidR="009F49BC">
        <w:rPr>
          <w:rFonts w:cstheme="minorHAnsi"/>
          <w:color w:val="000000"/>
        </w:rPr>
        <w:t>development finance institutions (</w:t>
      </w:r>
      <w:r w:rsidR="00296E56">
        <w:rPr>
          <w:rFonts w:cstheme="minorHAnsi"/>
          <w:color w:val="000000"/>
        </w:rPr>
        <w:t>DFIs</w:t>
      </w:r>
      <w:r w:rsidR="009F49BC">
        <w:rPr>
          <w:rFonts w:cstheme="minorHAnsi"/>
          <w:color w:val="000000"/>
        </w:rPr>
        <w:t>)</w:t>
      </w:r>
      <w:r w:rsidR="00296E56">
        <w:rPr>
          <w:rFonts w:cstheme="minorHAnsi"/>
          <w:color w:val="000000"/>
        </w:rPr>
        <w:t xml:space="preserve"> and </w:t>
      </w:r>
      <w:r w:rsidRPr="00423FCC">
        <w:rPr>
          <w:rFonts w:cstheme="minorHAnsi"/>
          <w:color w:val="000000"/>
        </w:rPr>
        <w:t>providers of south-south cooperation is also limited</w:t>
      </w:r>
      <w:r w:rsidR="00296E56">
        <w:rPr>
          <w:rFonts w:cstheme="minorHAnsi"/>
          <w:color w:val="000000"/>
        </w:rPr>
        <w:t xml:space="preserve">. </w:t>
      </w:r>
      <w:r w:rsidRPr="00423FCC">
        <w:rPr>
          <w:rFonts w:cstheme="minorHAnsi"/>
          <w:color w:val="000000"/>
        </w:rPr>
        <w:t xml:space="preserve">Ideally we would like to rank all large or influential </w:t>
      </w:r>
      <w:r w:rsidR="00296E56">
        <w:rPr>
          <w:rFonts w:cstheme="minorHAnsi"/>
          <w:color w:val="000000"/>
        </w:rPr>
        <w:t>aid providers</w:t>
      </w:r>
      <w:r w:rsidRPr="00423FCC">
        <w:rPr>
          <w:rFonts w:cstheme="minorHAnsi"/>
          <w:color w:val="000000"/>
        </w:rPr>
        <w:t xml:space="preserve"> but this is not possible at the present time due to resource and capacity constraints. The Aid Transparency Tracker, the online platform used to collect the </w:t>
      </w:r>
      <w:r w:rsidR="001036CF">
        <w:rPr>
          <w:rFonts w:cstheme="minorHAnsi"/>
          <w:color w:val="000000"/>
        </w:rPr>
        <w:t>ATI</w:t>
      </w:r>
      <w:r w:rsidRPr="00423FCC">
        <w:rPr>
          <w:rFonts w:cstheme="minorHAnsi"/>
          <w:color w:val="000000"/>
        </w:rPr>
        <w:t xml:space="preserve"> data, has been designed so that others can use it to collect and analyse data on different organisations.</w:t>
      </w:r>
      <w:r w:rsidR="008F36F4" w:rsidRPr="00423FCC">
        <w:rPr>
          <w:rFonts w:cstheme="minorHAnsi"/>
          <w:color w:val="000000"/>
        </w:rPr>
        <w:t xml:space="preserve"> Please </w:t>
      </w:r>
      <w:r w:rsidR="008F36F4" w:rsidRPr="00423FCC">
        <w:rPr>
          <w:rFonts w:cstheme="minorHAnsi"/>
        </w:rPr>
        <w:t>get in touch</w:t>
      </w:r>
      <w:r w:rsidR="008F36F4" w:rsidRPr="00423FCC">
        <w:rPr>
          <w:rFonts w:cstheme="minorHAnsi"/>
          <w:color w:val="000000"/>
        </w:rPr>
        <w:t xml:space="preserve"> if you are interested in doing this: </w:t>
      </w:r>
      <w:hyperlink r:id="rId11" w:history="1">
        <w:r w:rsidR="00202E1A" w:rsidRPr="0074066E">
          <w:rPr>
            <w:rStyle w:val="Hyperlink"/>
            <w:rFonts w:cstheme="minorHAnsi"/>
          </w:rPr>
          <w:t>2014tracker@publishwhatyoufund.org</w:t>
        </w:r>
      </w:hyperlink>
    </w:p>
    <w:p w:rsidR="000445AB" w:rsidRDefault="000445AB" w:rsidP="00652983">
      <w:pPr>
        <w:pStyle w:val="Heading1"/>
        <w:pBdr>
          <w:bottom w:val="single" w:sz="4" w:space="1" w:color="auto"/>
        </w:pBdr>
        <w:spacing w:before="0" w:line="240" w:lineRule="auto"/>
        <w:rPr>
          <w:sz w:val="36"/>
        </w:rPr>
        <w:sectPr w:rsidR="000445AB" w:rsidSect="002B2AC5">
          <w:pgSz w:w="16838" w:h="11906" w:orient="landscape"/>
          <w:pgMar w:top="1021" w:right="1021" w:bottom="1021" w:left="1021" w:header="709" w:footer="459" w:gutter="0"/>
          <w:cols w:space="708"/>
          <w:docGrid w:linePitch="360"/>
        </w:sectPr>
      </w:pPr>
    </w:p>
    <w:p w:rsidR="000B21F7" w:rsidRPr="000445AB" w:rsidRDefault="00F95552" w:rsidP="00F95552">
      <w:pPr>
        <w:pStyle w:val="Heading1"/>
        <w:pBdr>
          <w:bottom w:val="single" w:sz="4" w:space="1" w:color="auto"/>
        </w:pBdr>
        <w:spacing w:before="0" w:line="240" w:lineRule="auto"/>
        <w:rPr>
          <w:sz w:val="36"/>
        </w:rPr>
      </w:pPr>
      <w:bookmarkStart w:id="13" w:name="_Toc399168587"/>
      <w:r>
        <w:rPr>
          <w:sz w:val="36"/>
        </w:rPr>
        <w:lastRenderedPageBreak/>
        <w:t xml:space="preserve">Section 2. </w:t>
      </w:r>
      <w:r w:rsidR="00251C40" w:rsidRPr="000445AB">
        <w:rPr>
          <w:sz w:val="36"/>
        </w:rPr>
        <w:t>Indicators</w:t>
      </w:r>
      <w:r w:rsidR="003E7B87" w:rsidRPr="000445AB">
        <w:rPr>
          <w:sz w:val="36"/>
        </w:rPr>
        <w:t>, grouping and</w:t>
      </w:r>
      <w:r w:rsidR="00055794" w:rsidRPr="000445AB">
        <w:rPr>
          <w:sz w:val="36"/>
        </w:rPr>
        <w:t xml:space="preserve"> scoring</w:t>
      </w:r>
      <w:bookmarkEnd w:id="13"/>
      <w:r w:rsidR="00055794" w:rsidRPr="000445AB">
        <w:rPr>
          <w:sz w:val="36"/>
        </w:rPr>
        <w:t xml:space="preserve"> </w:t>
      </w:r>
    </w:p>
    <w:p w:rsidR="00D51563" w:rsidRPr="00423FCC" w:rsidRDefault="00D51563" w:rsidP="00935A49">
      <w:pPr>
        <w:spacing w:after="0" w:line="240" w:lineRule="auto"/>
        <w:contextualSpacing/>
      </w:pPr>
    </w:p>
    <w:p w:rsidR="0017234E" w:rsidRPr="007D68FE" w:rsidRDefault="0017234E" w:rsidP="0017234E">
      <w:pPr>
        <w:spacing w:after="0" w:line="240" w:lineRule="auto"/>
        <w:contextualSpacing/>
        <w:rPr>
          <w:rFonts w:ascii="Cambria" w:eastAsia="Calibri" w:hAnsi="Cambria" w:cs="Times New Roman"/>
          <w:b/>
          <w:bCs/>
          <w:color w:val="4F81BD"/>
          <w:sz w:val="28"/>
          <w:szCs w:val="26"/>
        </w:rPr>
      </w:pPr>
      <w:r w:rsidRPr="007D68FE">
        <w:rPr>
          <w:rFonts w:ascii="Cambria" w:eastAsia="Calibri" w:hAnsi="Cambria" w:cs="Times New Roman"/>
          <w:b/>
          <w:bCs/>
          <w:color w:val="4F81BD"/>
          <w:sz w:val="28"/>
          <w:szCs w:val="26"/>
        </w:rPr>
        <w:t>General scoring approach</w:t>
      </w:r>
    </w:p>
    <w:p w:rsidR="005C4B56" w:rsidRDefault="005C4B56" w:rsidP="00935A49">
      <w:pPr>
        <w:spacing w:after="0" w:line="240" w:lineRule="auto"/>
        <w:contextualSpacing/>
      </w:pPr>
    </w:p>
    <w:p w:rsidR="00D51563" w:rsidRDefault="000B0169" w:rsidP="00935A49">
      <w:pPr>
        <w:spacing w:after="0" w:line="240" w:lineRule="auto"/>
        <w:contextualSpacing/>
      </w:pPr>
      <w:r w:rsidRPr="00423FCC">
        <w:t xml:space="preserve">The </w:t>
      </w:r>
      <w:r>
        <w:t>ATI</w:t>
      </w:r>
      <w:r w:rsidRPr="00423FCC">
        <w:t xml:space="preserve"> uses 39 indicators to monitor aid transparency.</w:t>
      </w:r>
      <w:r>
        <w:t xml:space="preserve"> </w:t>
      </w:r>
      <w:r w:rsidR="00D51563" w:rsidRPr="00423FCC">
        <w:t>The</w:t>
      </w:r>
      <w:r>
        <w:t xml:space="preserve"> indicators</w:t>
      </w:r>
      <w:r w:rsidR="00D51563" w:rsidRPr="00423FCC">
        <w:t xml:space="preserve"> </w:t>
      </w:r>
      <w:r w:rsidR="00202E1A">
        <w:t>have been</w:t>
      </w:r>
      <w:r w:rsidR="00D51563" w:rsidRPr="00423FCC">
        <w:t xml:space="preserve"> selected using the information types agreed in the </w:t>
      </w:r>
      <w:r w:rsidR="00202E1A">
        <w:t>International Aid Transparency Initiative (</w:t>
      </w:r>
      <w:r w:rsidR="00D51563" w:rsidRPr="00423FCC">
        <w:t>IATI</w:t>
      </w:r>
      <w:r w:rsidR="00202E1A">
        <w:t>)</w:t>
      </w:r>
      <w:r w:rsidR="00D51563" w:rsidRPr="00423FCC">
        <w:t xml:space="preserve"> standard. The</w:t>
      </w:r>
      <w:r w:rsidR="00553C6C">
        <w:t xml:space="preserve"> indicators</w:t>
      </w:r>
      <w:r w:rsidR="00D51563" w:rsidRPr="00423FCC">
        <w:t xml:space="preserve"> represent the most commonly available information items where commitments to disclosure already exist. In addition, organisations’ </w:t>
      </w:r>
      <w:r w:rsidR="0017234E">
        <w:t xml:space="preserve">overall </w:t>
      </w:r>
      <w:r w:rsidR="00D51563" w:rsidRPr="00423FCC">
        <w:t xml:space="preserve">commitment to aid transparency is measured by </w:t>
      </w:r>
      <w:r w:rsidR="001550DD" w:rsidRPr="00423FCC">
        <w:t xml:space="preserve">the existence of </w:t>
      </w:r>
      <w:r w:rsidR="00202E1A">
        <w:t>Freedom of Information (</w:t>
      </w:r>
      <w:r w:rsidR="00491ED6">
        <w:t>FOI</w:t>
      </w:r>
      <w:r w:rsidR="00202E1A">
        <w:t>)</w:t>
      </w:r>
      <w:r w:rsidR="00553C6C">
        <w:t xml:space="preserve"> </w:t>
      </w:r>
      <w:r w:rsidR="001550DD" w:rsidRPr="00423FCC">
        <w:t xml:space="preserve">legislation or disclosure policies, plans for IATI publication and the organisation’s efforts to promote access, use and re-use of its information. </w:t>
      </w:r>
    </w:p>
    <w:p w:rsidR="00913ED9" w:rsidRPr="00423FCC" w:rsidRDefault="00D81462" w:rsidP="00935A49">
      <w:pPr>
        <w:spacing w:after="0" w:line="240" w:lineRule="auto"/>
        <w:contextualSpacing/>
      </w:pPr>
      <w:r>
        <w:rPr>
          <w:rFonts w:eastAsiaTheme="majorEastAsia" w:cstheme="majorBidi"/>
          <w:b/>
          <w:bCs/>
          <w:iCs/>
          <w:noProof/>
          <w:color w:val="4F81BD" w:themeColor="accent1"/>
          <w:lang w:eastAsia="en-GB" w:bidi="ar-SA"/>
        </w:rPr>
        <mc:AlternateContent>
          <mc:Choice Requires="wps">
            <w:drawing>
              <wp:anchor distT="0" distB="0" distL="114300" distR="114300" simplePos="0" relativeHeight="251658240" behindDoc="0" locked="0" layoutInCell="1" allowOverlap="1">
                <wp:simplePos x="0" y="0"/>
                <wp:positionH relativeFrom="column">
                  <wp:posOffset>5742940</wp:posOffset>
                </wp:positionH>
                <wp:positionV relativeFrom="paragraph">
                  <wp:posOffset>118110</wp:posOffset>
                </wp:positionV>
                <wp:extent cx="3648075" cy="4143375"/>
                <wp:effectExtent l="0" t="0" r="28575" b="28575"/>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4143375"/>
                        </a:xfrm>
                        <a:prstGeom prst="rect">
                          <a:avLst/>
                        </a:prstGeom>
                        <a:solidFill>
                          <a:srgbClr val="FFFFFF"/>
                        </a:solidFill>
                        <a:ln w="9525">
                          <a:solidFill>
                            <a:srgbClr val="000000"/>
                          </a:solidFill>
                          <a:miter lim="800000"/>
                          <a:headEnd/>
                          <a:tailEnd/>
                        </a:ln>
                      </wps:spPr>
                      <wps:txbx>
                        <w:txbxContent>
                          <w:p w:rsidR="009F49BC" w:rsidRPr="003C5995" w:rsidRDefault="009F49BC" w:rsidP="00D542D9">
                            <w:pPr>
                              <w:spacing w:after="0" w:line="240" w:lineRule="auto"/>
                              <w:rPr>
                                <w:rFonts w:cstheme="minorHAnsi"/>
                                <w:b/>
                                <w:sz w:val="20"/>
                                <w:szCs w:val="20"/>
                              </w:rPr>
                            </w:pPr>
                            <w:r>
                              <w:rPr>
                                <w:rFonts w:cstheme="minorHAnsi"/>
                                <w:b/>
                                <w:sz w:val="20"/>
                                <w:szCs w:val="20"/>
                              </w:rPr>
                              <w:t>Box 1</w:t>
                            </w:r>
                            <w:r w:rsidRPr="003C5995">
                              <w:rPr>
                                <w:rFonts w:cstheme="minorHAnsi"/>
                                <w:b/>
                                <w:sz w:val="20"/>
                                <w:szCs w:val="20"/>
                              </w:rPr>
                              <w:t>. What is machine-readable data</w:t>
                            </w:r>
                            <w:r>
                              <w:rPr>
                                <w:rFonts w:cstheme="minorHAnsi"/>
                                <w:b/>
                                <w:sz w:val="20"/>
                                <w:szCs w:val="20"/>
                              </w:rPr>
                              <w:t xml:space="preserve"> and why is it more valuable</w:t>
                            </w:r>
                            <w:r w:rsidRPr="003C5995">
                              <w:rPr>
                                <w:rFonts w:cstheme="minorHAnsi"/>
                                <w:b/>
                                <w:sz w:val="20"/>
                                <w:szCs w:val="20"/>
                              </w:rPr>
                              <w:t>?</w:t>
                            </w:r>
                          </w:p>
                          <w:p w:rsidR="009F49BC" w:rsidRPr="003C5995" w:rsidRDefault="009F49BC" w:rsidP="00D542D9">
                            <w:pPr>
                              <w:spacing w:after="0" w:line="240" w:lineRule="auto"/>
                              <w:rPr>
                                <w:rFonts w:cstheme="minorHAnsi"/>
                                <w:sz w:val="20"/>
                                <w:szCs w:val="20"/>
                              </w:rPr>
                            </w:pPr>
                          </w:p>
                          <w:p w:rsidR="009F49BC" w:rsidRPr="003C5995" w:rsidRDefault="009F49BC" w:rsidP="00D542D9">
                            <w:pPr>
                              <w:spacing w:after="0" w:line="240" w:lineRule="auto"/>
                              <w:rPr>
                                <w:rFonts w:cstheme="minorHAnsi"/>
                                <w:sz w:val="20"/>
                                <w:szCs w:val="20"/>
                              </w:rPr>
                            </w:pPr>
                            <w:r w:rsidRPr="00CA0271">
                              <w:rPr>
                                <w:sz w:val="20"/>
                                <w:szCs w:val="20"/>
                              </w:rPr>
                              <w:t>Information published in machine-readable formats is presented</w:t>
                            </w:r>
                            <w:r w:rsidRPr="00CA0271">
                              <w:rPr>
                                <w:rFonts w:cs="Arial"/>
                                <w:color w:val="000000"/>
                                <w:sz w:val="20"/>
                                <w:szCs w:val="20"/>
                                <w:shd w:val="clear" w:color="auto" w:fill="FFFFFF"/>
                              </w:rPr>
                              <w:t xml:space="preserve"> in a </w:t>
                            </w:r>
                            <w:r>
                              <w:rPr>
                                <w:rFonts w:cs="Arial"/>
                                <w:color w:val="000000"/>
                                <w:sz w:val="20"/>
                                <w:szCs w:val="20"/>
                                <w:shd w:val="clear" w:color="auto" w:fill="FFFFFF"/>
                              </w:rPr>
                              <w:t>structured way</w:t>
                            </w:r>
                            <w:r w:rsidRPr="00CA0271">
                              <w:rPr>
                                <w:rFonts w:cs="Arial"/>
                                <w:color w:val="000000"/>
                                <w:sz w:val="20"/>
                                <w:szCs w:val="20"/>
                                <w:shd w:val="clear" w:color="auto" w:fill="FFFFFF"/>
                              </w:rPr>
                              <w:t xml:space="preserve"> (not </w:t>
                            </w:r>
                            <w:r>
                              <w:rPr>
                                <w:rFonts w:cs="Arial"/>
                                <w:color w:val="000000"/>
                                <w:sz w:val="20"/>
                                <w:szCs w:val="20"/>
                                <w:shd w:val="clear" w:color="auto" w:fill="FFFFFF"/>
                              </w:rPr>
                              <w:t xml:space="preserve">free </w:t>
                            </w:r>
                            <w:r w:rsidRPr="00CA0271">
                              <w:rPr>
                                <w:rFonts w:cs="Arial"/>
                                <w:color w:val="000000"/>
                                <w:sz w:val="20"/>
                                <w:szCs w:val="20"/>
                                <w:shd w:val="clear" w:color="auto" w:fill="FFFFFF"/>
                              </w:rPr>
                              <w:t>text) that can be read automatically by a computer. Formats such as XML or spreadsheets (</w:t>
                            </w:r>
                            <w:r>
                              <w:rPr>
                                <w:rFonts w:cs="Arial"/>
                                <w:color w:val="000000"/>
                                <w:sz w:val="20"/>
                                <w:szCs w:val="20"/>
                                <w:shd w:val="clear" w:color="auto" w:fill="FFFFFF"/>
                              </w:rPr>
                              <w:t xml:space="preserve">Excel, </w:t>
                            </w:r>
                            <w:r w:rsidRPr="00CA0271">
                              <w:rPr>
                                <w:rFonts w:cs="Arial"/>
                                <w:color w:val="000000"/>
                                <w:sz w:val="20"/>
                                <w:szCs w:val="20"/>
                                <w:shd w:val="clear" w:color="auto" w:fill="FFFFFF"/>
                              </w:rPr>
                              <w:t>CSV) are machine-readable formats. Traditional word process</w:t>
                            </w:r>
                            <w:r>
                              <w:rPr>
                                <w:rFonts w:cs="Arial"/>
                                <w:color w:val="000000"/>
                                <w:sz w:val="20"/>
                                <w:szCs w:val="20"/>
                                <w:shd w:val="clear" w:color="auto" w:fill="FFFFFF"/>
                              </w:rPr>
                              <w:t>ed</w:t>
                            </w:r>
                            <w:r w:rsidRPr="00CA0271">
                              <w:rPr>
                                <w:rFonts w:cs="Arial"/>
                                <w:color w:val="000000"/>
                                <w:sz w:val="20"/>
                                <w:szCs w:val="20"/>
                                <w:shd w:val="clear" w:color="auto" w:fill="FFFFFF"/>
                              </w:rPr>
                              <w:t xml:space="preserve"> documents, HTML and PDF files are easily read by humans but are difficult for machines to interpret.</w:t>
                            </w:r>
                          </w:p>
                          <w:p w:rsidR="009F49BC" w:rsidRDefault="009F49BC" w:rsidP="00D542D9">
                            <w:pPr>
                              <w:spacing w:after="0" w:line="240" w:lineRule="auto"/>
                              <w:rPr>
                                <w:rFonts w:cstheme="minorHAnsi"/>
                                <w:color w:val="000000"/>
                                <w:sz w:val="20"/>
                                <w:szCs w:val="20"/>
                              </w:rPr>
                            </w:pPr>
                          </w:p>
                          <w:p w:rsidR="009F49BC" w:rsidRDefault="009F49BC" w:rsidP="00D542D9">
                            <w:pPr>
                              <w:spacing w:after="0" w:line="240" w:lineRule="auto"/>
                              <w:rPr>
                                <w:sz w:val="20"/>
                                <w:szCs w:val="20"/>
                              </w:rPr>
                            </w:pPr>
                            <w:r w:rsidRPr="003C5995">
                              <w:rPr>
                                <w:rFonts w:cstheme="minorHAnsi"/>
                                <w:color w:val="000000"/>
                                <w:sz w:val="20"/>
                                <w:szCs w:val="20"/>
                              </w:rPr>
                              <w:t>There is a substantial difference between structured, machine-readable</w:t>
                            </w:r>
                            <w:r>
                              <w:rPr>
                                <w:rFonts w:cstheme="minorHAnsi"/>
                                <w:color w:val="000000"/>
                                <w:sz w:val="20"/>
                                <w:szCs w:val="20"/>
                              </w:rPr>
                              <w:t xml:space="preserve"> </w:t>
                            </w:r>
                            <w:r w:rsidRPr="003C5995">
                              <w:rPr>
                                <w:rFonts w:cstheme="minorHAnsi"/>
                                <w:color w:val="000000"/>
                                <w:sz w:val="20"/>
                                <w:szCs w:val="20"/>
                              </w:rPr>
                              <w:t xml:space="preserve">data where you can access and compare any number of worldwide projects across a number of fields as opposed to searching dozens of </w:t>
                            </w:r>
                            <w:r>
                              <w:rPr>
                                <w:rFonts w:cstheme="minorHAnsi"/>
                                <w:color w:val="000000"/>
                                <w:sz w:val="20"/>
                                <w:szCs w:val="20"/>
                              </w:rPr>
                              <w:t>websites</w:t>
                            </w:r>
                            <w:r w:rsidRPr="003C5995">
                              <w:rPr>
                                <w:rFonts w:cstheme="minorHAnsi"/>
                                <w:color w:val="000000"/>
                                <w:sz w:val="20"/>
                                <w:szCs w:val="20"/>
                              </w:rPr>
                              <w:t xml:space="preserve"> or looking for information published in different PDF files.</w:t>
                            </w:r>
                            <w:r>
                              <w:rPr>
                                <w:rFonts w:cstheme="minorHAnsi"/>
                                <w:color w:val="000000"/>
                                <w:sz w:val="20"/>
                                <w:szCs w:val="20"/>
                              </w:rPr>
                              <w:t xml:space="preserve"> </w:t>
                            </w:r>
                            <w:r w:rsidRPr="003C5995">
                              <w:rPr>
                                <w:rFonts w:cstheme="minorHAnsi"/>
                                <w:color w:val="000000"/>
                                <w:sz w:val="20"/>
                                <w:szCs w:val="20"/>
                              </w:rPr>
                              <w:t xml:space="preserve">This difference has been quantified </w:t>
                            </w:r>
                            <w:r>
                              <w:rPr>
                                <w:rFonts w:cstheme="minorHAnsi"/>
                                <w:color w:val="000000"/>
                                <w:sz w:val="20"/>
                                <w:szCs w:val="20"/>
                              </w:rPr>
                              <w:t xml:space="preserve">in the ATI </w:t>
                            </w:r>
                            <w:r w:rsidRPr="003C5995">
                              <w:rPr>
                                <w:rFonts w:cstheme="minorHAnsi"/>
                                <w:color w:val="000000"/>
                                <w:sz w:val="20"/>
                                <w:szCs w:val="20"/>
                              </w:rPr>
                              <w:t>by allowing organisa</w:t>
                            </w:r>
                            <w:r>
                              <w:rPr>
                                <w:rFonts w:cstheme="minorHAnsi"/>
                                <w:color w:val="000000"/>
                                <w:sz w:val="20"/>
                                <w:szCs w:val="20"/>
                              </w:rPr>
                              <w:t>tions to score more highly on 22</w:t>
                            </w:r>
                            <w:r w:rsidRPr="003C5995">
                              <w:rPr>
                                <w:rFonts w:cstheme="minorHAnsi"/>
                                <w:color w:val="000000"/>
                                <w:sz w:val="20"/>
                                <w:szCs w:val="20"/>
                              </w:rPr>
                              <w:t xml:space="preserve"> indicators depending on the format of publication. </w:t>
                            </w:r>
                            <w:r w:rsidRPr="003C5995">
                              <w:rPr>
                                <w:sz w:val="20"/>
                                <w:szCs w:val="20"/>
                              </w:rPr>
                              <w:t xml:space="preserve">For example, </w:t>
                            </w:r>
                            <w:r w:rsidRPr="003C5995">
                              <w:rPr>
                                <w:rFonts w:cstheme="minorHAnsi"/>
                                <w:color w:val="000000"/>
                                <w:sz w:val="20"/>
                                <w:szCs w:val="20"/>
                              </w:rPr>
                              <w:t>data published in PDF</w:t>
                            </w:r>
                            <w:r>
                              <w:rPr>
                                <w:rFonts w:cstheme="minorHAnsi"/>
                                <w:color w:val="000000"/>
                                <w:sz w:val="20"/>
                                <w:szCs w:val="20"/>
                              </w:rPr>
                              <w:t>s</w:t>
                            </w:r>
                            <w:r w:rsidRPr="003C5995">
                              <w:rPr>
                                <w:rFonts w:cstheme="minorHAnsi"/>
                                <w:color w:val="000000"/>
                                <w:sz w:val="20"/>
                                <w:szCs w:val="20"/>
                              </w:rPr>
                              <w:t xml:space="preserve"> scores lower than data published in </w:t>
                            </w:r>
                            <w:r>
                              <w:rPr>
                                <w:rFonts w:cstheme="minorHAnsi"/>
                                <w:color w:val="000000"/>
                                <w:sz w:val="20"/>
                                <w:szCs w:val="20"/>
                              </w:rPr>
                              <w:t>CSV, Excel or XML files.</w:t>
                            </w:r>
                            <w:r w:rsidRPr="003C5995">
                              <w:rPr>
                                <w:sz w:val="20"/>
                                <w:szCs w:val="20"/>
                              </w:rPr>
                              <w:t xml:space="preserve"> </w:t>
                            </w:r>
                          </w:p>
                          <w:p w:rsidR="009F49BC" w:rsidRDefault="009F49BC" w:rsidP="00D542D9">
                            <w:pPr>
                              <w:spacing w:after="0" w:line="240" w:lineRule="auto"/>
                              <w:rPr>
                                <w:sz w:val="20"/>
                                <w:szCs w:val="20"/>
                              </w:rPr>
                            </w:pPr>
                          </w:p>
                          <w:p w:rsidR="009F49BC" w:rsidRPr="00111464" w:rsidRDefault="009F49BC" w:rsidP="005221A5">
                            <w:pPr>
                              <w:spacing w:after="0" w:line="240" w:lineRule="auto"/>
                              <w:rPr>
                                <w:rFonts w:cstheme="minorHAnsi"/>
                                <w:color w:val="000000"/>
                                <w:sz w:val="20"/>
                                <w:szCs w:val="20"/>
                              </w:rPr>
                            </w:pPr>
                            <w:r>
                              <w:rPr>
                                <w:sz w:val="20"/>
                                <w:szCs w:val="20"/>
                              </w:rPr>
                              <w:t>In the case of documents</w:t>
                            </w:r>
                            <w:r w:rsidRPr="00AB4206">
                              <w:rPr>
                                <w:sz w:val="20"/>
                                <w:szCs w:val="20"/>
                              </w:rPr>
                              <w:t xml:space="preserve">, the scoring approach recognises </w:t>
                            </w:r>
                            <w:r>
                              <w:rPr>
                                <w:sz w:val="20"/>
                                <w:szCs w:val="20"/>
                              </w:rPr>
                              <w:t>the importance of accessibility</w:t>
                            </w:r>
                            <w:r w:rsidRPr="00AB4206">
                              <w:rPr>
                                <w:sz w:val="20"/>
                                <w:szCs w:val="20"/>
                              </w:rPr>
                              <w:t xml:space="preserve"> – an annual report published in PDF is much the same as an annual report published on a webpage. However, the inclusion of links to that PDF in an organisation’s IATI data is more valuable</w:t>
                            </w:r>
                            <w:r>
                              <w:rPr>
                                <w:sz w:val="20"/>
                                <w:szCs w:val="20"/>
                              </w:rPr>
                              <w:t>,</w:t>
                            </w:r>
                            <w:r w:rsidRPr="00AB4206">
                              <w:rPr>
                                <w:sz w:val="20"/>
                                <w:szCs w:val="20"/>
                              </w:rPr>
                              <w:t xml:space="preserve"> especially at the activity level</w:t>
                            </w:r>
                            <w:r>
                              <w:rPr>
                                <w:sz w:val="20"/>
                                <w:szCs w:val="20"/>
                              </w:rPr>
                              <w:t>,</w:t>
                            </w:r>
                            <w:r w:rsidRPr="00AB4206">
                              <w:rPr>
                                <w:sz w:val="20"/>
                                <w:szCs w:val="20"/>
                              </w:rPr>
                              <w:t xml:space="preserve"> as it makes them easier to locate and identify</w:t>
                            </w:r>
                            <w:r>
                              <w:rPr>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52.2pt;margin-top:9.3pt;width:287.25pt;height:3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">
                <v:textbox>
                  <w:txbxContent>
                    <w:p w:rsidR="009F49BC" w:rsidRPr="003C5995" w:rsidRDefault="009F49BC" w:rsidP="00D542D9">
                      <w:pPr>
                        <w:spacing w:after="0" w:line="240" w:lineRule="auto"/>
                        <w:rPr>
                          <w:rFonts w:cstheme="minorHAnsi"/>
                          <w:b/>
                          <w:sz w:val="20"/>
                          <w:szCs w:val="20"/>
                        </w:rPr>
                      </w:pPr>
                      <w:r>
                        <w:rPr>
                          <w:rFonts w:cstheme="minorHAnsi"/>
                          <w:b/>
                          <w:sz w:val="20"/>
                          <w:szCs w:val="20"/>
                        </w:rPr>
                        <w:t>Box 1</w:t>
                      </w:r>
                      <w:r w:rsidRPr="003C5995">
                        <w:rPr>
                          <w:rFonts w:cstheme="minorHAnsi"/>
                          <w:b/>
                          <w:sz w:val="20"/>
                          <w:szCs w:val="20"/>
                        </w:rPr>
                        <w:t>. What is machine-readable data</w:t>
                      </w:r>
                      <w:r>
                        <w:rPr>
                          <w:rFonts w:cstheme="minorHAnsi"/>
                          <w:b/>
                          <w:sz w:val="20"/>
                          <w:szCs w:val="20"/>
                        </w:rPr>
                        <w:t xml:space="preserve"> and why is it more valuable</w:t>
                      </w:r>
                      <w:r w:rsidRPr="003C5995">
                        <w:rPr>
                          <w:rFonts w:cstheme="minorHAnsi"/>
                          <w:b/>
                          <w:sz w:val="20"/>
                          <w:szCs w:val="20"/>
                        </w:rPr>
                        <w:t>?</w:t>
                      </w:r>
                    </w:p>
                    <w:p w:rsidR="009F49BC" w:rsidRPr="003C5995" w:rsidRDefault="009F49BC" w:rsidP="00D542D9">
                      <w:pPr>
                        <w:spacing w:after="0" w:line="240" w:lineRule="auto"/>
                        <w:rPr>
                          <w:rFonts w:cstheme="minorHAnsi"/>
                          <w:sz w:val="20"/>
                          <w:szCs w:val="20"/>
                        </w:rPr>
                      </w:pPr>
                    </w:p>
                    <w:p w:rsidR="009F49BC" w:rsidRPr="003C5995" w:rsidRDefault="009F49BC" w:rsidP="00D542D9">
                      <w:pPr>
                        <w:spacing w:after="0" w:line="240" w:lineRule="auto"/>
                        <w:rPr>
                          <w:rFonts w:cstheme="minorHAnsi"/>
                          <w:sz w:val="20"/>
                          <w:szCs w:val="20"/>
                        </w:rPr>
                      </w:pPr>
                      <w:r w:rsidRPr="00CA0271">
                        <w:rPr>
                          <w:sz w:val="20"/>
                          <w:szCs w:val="20"/>
                        </w:rPr>
                        <w:t>Information published in machine-readable formats is presented</w:t>
                      </w:r>
                      <w:r w:rsidRPr="00CA0271">
                        <w:rPr>
                          <w:rFonts w:cs="Arial"/>
                          <w:color w:val="000000"/>
                          <w:sz w:val="20"/>
                          <w:szCs w:val="20"/>
                          <w:shd w:val="clear" w:color="auto" w:fill="FFFFFF"/>
                        </w:rPr>
                        <w:t xml:space="preserve"> in a </w:t>
                      </w:r>
                      <w:r>
                        <w:rPr>
                          <w:rFonts w:cs="Arial"/>
                          <w:color w:val="000000"/>
                          <w:sz w:val="20"/>
                          <w:szCs w:val="20"/>
                          <w:shd w:val="clear" w:color="auto" w:fill="FFFFFF"/>
                        </w:rPr>
                        <w:t>structured way</w:t>
                      </w:r>
                      <w:r w:rsidRPr="00CA0271">
                        <w:rPr>
                          <w:rFonts w:cs="Arial"/>
                          <w:color w:val="000000"/>
                          <w:sz w:val="20"/>
                          <w:szCs w:val="20"/>
                          <w:shd w:val="clear" w:color="auto" w:fill="FFFFFF"/>
                        </w:rPr>
                        <w:t xml:space="preserve"> (not </w:t>
                      </w:r>
                      <w:r>
                        <w:rPr>
                          <w:rFonts w:cs="Arial"/>
                          <w:color w:val="000000"/>
                          <w:sz w:val="20"/>
                          <w:szCs w:val="20"/>
                          <w:shd w:val="clear" w:color="auto" w:fill="FFFFFF"/>
                        </w:rPr>
                        <w:t xml:space="preserve">free </w:t>
                      </w:r>
                      <w:r w:rsidRPr="00CA0271">
                        <w:rPr>
                          <w:rFonts w:cs="Arial"/>
                          <w:color w:val="000000"/>
                          <w:sz w:val="20"/>
                          <w:szCs w:val="20"/>
                          <w:shd w:val="clear" w:color="auto" w:fill="FFFFFF"/>
                        </w:rPr>
                        <w:t>text) that can be read automatically by a computer. Formats such as XML or spreadsheets (</w:t>
                      </w:r>
                      <w:r>
                        <w:rPr>
                          <w:rFonts w:cs="Arial"/>
                          <w:color w:val="000000"/>
                          <w:sz w:val="20"/>
                          <w:szCs w:val="20"/>
                          <w:shd w:val="clear" w:color="auto" w:fill="FFFFFF"/>
                        </w:rPr>
                        <w:t xml:space="preserve">Excel, </w:t>
                      </w:r>
                      <w:r w:rsidRPr="00CA0271">
                        <w:rPr>
                          <w:rFonts w:cs="Arial"/>
                          <w:color w:val="000000"/>
                          <w:sz w:val="20"/>
                          <w:szCs w:val="20"/>
                          <w:shd w:val="clear" w:color="auto" w:fill="FFFFFF"/>
                        </w:rPr>
                        <w:t>CSV) are machine-readable formats. Traditional word process</w:t>
                      </w:r>
                      <w:r>
                        <w:rPr>
                          <w:rFonts w:cs="Arial"/>
                          <w:color w:val="000000"/>
                          <w:sz w:val="20"/>
                          <w:szCs w:val="20"/>
                          <w:shd w:val="clear" w:color="auto" w:fill="FFFFFF"/>
                        </w:rPr>
                        <w:t>ed</w:t>
                      </w:r>
                      <w:r w:rsidRPr="00CA0271">
                        <w:rPr>
                          <w:rFonts w:cs="Arial"/>
                          <w:color w:val="000000"/>
                          <w:sz w:val="20"/>
                          <w:szCs w:val="20"/>
                          <w:shd w:val="clear" w:color="auto" w:fill="FFFFFF"/>
                        </w:rPr>
                        <w:t xml:space="preserve"> documents, HTML and PDF files are easily read by humans but are difficult for machines to interpret.</w:t>
                      </w:r>
                    </w:p>
                    <w:p w:rsidR="009F49BC" w:rsidRDefault="009F49BC" w:rsidP="00D542D9">
                      <w:pPr>
                        <w:spacing w:after="0" w:line="240" w:lineRule="auto"/>
                        <w:rPr>
                          <w:rFonts w:cstheme="minorHAnsi"/>
                          <w:color w:val="000000"/>
                          <w:sz w:val="20"/>
                          <w:szCs w:val="20"/>
                        </w:rPr>
                      </w:pPr>
                    </w:p>
                    <w:p w:rsidR="009F49BC" w:rsidRDefault="009F49BC" w:rsidP="00D542D9">
                      <w:pPr>
                        <w:spacing w:after="0" w:line="240" w:lineRule="auto"/>
                        <w:rPr>
                          <w:sz w:val="20"/>
                          <w:szCs w:val="20"/>
                        </w:rPr>
                      </w:pPr>
                      <w:r w:rsidRPr="003C5995">
                        <w:rPr>
                          <w:rFonts w:cstheme="minorHAnsi"/>
                          <w:color w:val="000000"/>
                          <w:sz w:val="20"/>
                          <w:szCs w:val="20"/>
                        </w:rPr>
                        <w:t>There is a substantial difference between structured, machine-readable</w:t>
                      </w:r>
                      <w:r>
                        <w:rPr>
                          <w:rFonts w:cstheme="minorHAnsi"/>
                          <w:color w:val="000000"/>
                          <w:sz w:val="20"/>
                          <w:szCs w:val="20"/>
                        </w:rPr>
                        <w:t xml:space="preserve"> </w:t>
                      </w:r>
                      <w:r w:rsidRPr="003C5995">
                        <w:rPr>
                          <w:rFonts w:cstheme="minorHAnsi"/>
                          <w:color w:val="000000"/>
                          <w:sz w:val="20"/>
                          <w:szCs w:val="20"/>
                        </w:rPr>
                        <w:t xml:space="preserve">data where you can access and compare any number of worldwide projects across a number of fields as opposed to searching dozens of </w:t>
                      </w:r>
                      <w:r>
                        <w:rPr>
                          <w:rFonts w:cstheme="minorHAnsi"/>
                          <w:color w:val="000000"/>
                          <w:sz w:val="20"/>
                          <w:szCs w:val="20"/>
                        </w:rPr>
                        <w:t>websites</w:t>
                      </w:r>
                      <w:r w:rsidRPr="003C5995">
                        <w:rPr>
                          <w:rFonts w:cstheme="minorHAnsi"/>
                          <w:color w:val="000000"/>
                          <w:sz w:val="20"/>
                          <w:szCs w:val="20"/>
                        </w:rPr>
                        <w:t xml:space="preserve"> or looking for information published in different PDF files.</w:t>
                      </w:r>
                      <w:r>
                        <w:rPr>
                          <w:rFonts w:cstheme="minorHAnsi"/>
                          <w:color w:val="000000"/>
                          <w:sz w:val="20"/>
                          <w:szCs w:val="20"/>
                        </w:rPr>
                        <w:t xml:space="preserve"> </w:t>
                      </w:r>
                      <w:r w:rsidRPr="003C5995">
                        <w:rPr>
                          <w:rFonts w:cstheme="minorHAnsi"/>
                          <w:color w:val="000000"/>
                          <w:sz w:val="20"/>
                          <w:szCs w:val="20"/>
                        </w:rPr>
                        <w:t xml:space="preserve">This difference has been quantified </w:t>
                      </w:r>
                      <w:r>
                        <w:rPr>
                          <w:rFonts w:cstheme="minorHAnsi"/>
                          <w:color w:val="000000"/>
                          <w:sz w:val="20"/>
                          <w:szCs w:val="20"/>
                        </w:rPr>
                        <w:t xml:space="preserve">in the ATI </w:t>
                      </w:r>
                      <w:r w:rsidRPr="003C5995">
                        <w:rPr>
                          <w:rFonts w:cstheme="minorHAnsi"/>
                          <w:color w:val="000000"/>
                          <w:sz w:val="20"/>
                          <w:szCs w:val="20"/>
                        </w:rPr>
                        <w:t>by allowing organisa</w:t>
                      </w:r>
                      <w:r>
                        <w:rPr>
                          <w:rFonts w:cstheme="minorHAnsi"/>
                          <w:color w:val="000000"/>
                          <w:sz w:val="20"/>
                          <w:szCs w:val="20"/>
                        </w:rPr>
                        <w:t>tions to score more highly on 22</w:t>
                      </w:r>
                      <w:r w:rsidRPr="003C5995">
                        <w:rPr>
                          <w:rFonts w:cstheme="minorHAnsi"/>
                          <w:color w:val="000000"/>
                          <w:sz w:val="20"/>
                          <w:szCs w:val="20"/>
                        </w:rPr>
                        <w:t xml:space="preserve"> indicators depending on the format of publication. </w:t>
                      </w:r>
                      <w:r w:rsidRPr="003C5995">
                        <w:rPr>
                          <w:sz w:val="20"/>
                          <w:szCs w:val="20"/>
                        </w:rPr>
                        <w:t xml:space="preserve">For example, </w:t>
                      </w:r>
                      <w:r w:rsidRPr="003C5995">
                        <w:rPr>
                          <w:rFonts w:cstheme="minorHAnsi"/>
                          <w:color w:val="000000"/>
                          <w:sz w:val="20"/>
                          <w:szCs w:val="20"/>
                        </w:rPr>
                        <w:t>data published in PDF</w:t>
                      </w:r>
                      <w:r>
                        <w:rPr>
                          <w:rFonts w:cstheme="minorHAnsi"/>
                          <w:color w:val="000000"/>
                          <w:sz w:val="20"/>
                          <w:szCs w:val="20"/>
                        </w:rPr>
                        <w:t>s</w:t>
                      </w:r>
                      <w:r w:rsidRPr="003C5995">
                        <w:rPr>
                          <w:rFonts w:cstheme="minorHAnsi"/>
                          <w:color w:val="000000"/>
                          <w:sz w:val="20"/>
                          <w:szCs w:val="20"/>
                        </w:rPr>
                        <w:t xml:space="preserve"> scores lower than data published in </w:t>
                      </w:r>
                      <w:r>
                        <w:rPr>
                          <w:rFonts w:cstheme="minorHAnsi"/>
                          <w:color w:val="000000"/>
                          <w:sz w:val="20"/>
                          <w:szCs w:val="20"/>
                        </w:rPr>
                        <w:t>CSV, Excel or XML files.</w:t>
                      </w:r>
                      <w:r w:rsidRPr="003C5995">
                        <w:rPr>
                          <w:sz w:val="20"/>
                          <w:szCs w:val="20"/>
                        </w:rPr>
                        <w:t xml:space="preserve"> </w:t>
                      </w:r>
                    </w:p>
                    <w:p w:rsidR="009F49BC" w:rsidRDefault="009F49BC" w:rsidP="00D542D9">
                      <w:pPr>
                        <w:spacing w:after="0" w:line="240" w:lineRule="auto"/>
                        <w:rPr>
                          <w:sz w:val="20"/>
                          <w:szCs w:val="20"/>
                        </w:rPr>
                      </w:pPr>
                    </w:p>
                    <w:p w:rsidR="009F49BC" w:rsidRPr="00111464" w:rsidRDefault="009F49BC" w:rsidP="005221A5">
                      <w:pPr>
                        <w:spacing w:after="0" w:line="240" w:lineRule="auto"/>
                        <w:rPr>
                          <w:rFonts w:cstheme="minorHAnsi"/>
                          <w:color w:val="000000"/>
                          <w:sz w:val="20"/>
                          <w:szCs w:val="20"/>
                        </w:rPr>
                      </w:pPr>
                      <w:r>
                        <w:rPr>
                          <w:sz w:val="20"/>
                          <w:szCs w:val="20"/>
                        </w:rPr>
                        <w:t>In the case of documents</w:t>
                      </w:r>
                      <w:r w:rsidRPr="00AB4206">
                        <w:rPr>
                          <w:sz w:val="20"/>
                          <w:szCs w:val="20"/>
                        </w:rPr>
                        <w:t xml:space="preserve">, the scoring approach recognises </w:t>
                      </w:r>
                      <w:r>
                        <w:rPr>
                          <w:sz w:val="20"/>
                          <w:szCs w:val="20"/>
                        </w:rPr>
                        <w:t>the importance of accessibility</w:t>
                      </w:r>
                      <w:r w:rsidRPr="00AB4206">
                        <w:rPr>
                          <w:sz w:val="20"/>
                          <w:szCs w:val="20"/>
                        </w:rPr>
                        <w:t xml:space="preserve"> – an annual report published in PDF is much the same as an annual report published on a webpage. However, the inclusion of links to that PDF in an organisation’s IATI data is more valuable</w:t>
                      </w:r>
                      <w:r>
                        <w:rPr>
                          <w:sz w:val="20"/>
                          <w:szCs w:val="20"/>
                        </w:rPr>
                        <w:t>,</w:t>
                      </w:r>
                      <w:r w:rsidRPr="00AB4206">
                        <w:rPr>
                          <w:sz w:val="20"/>
                          <w:szCs w:val="20"/>
                        </w:rPr>
                        <w:t xml:space="preserve"> especially at the activity level</w:t>
                      </w:r>
                      <w:r>
                        <w:rPr>
                          <w:sz w:val="20"/>
                          <w:szCs w:val="20"/>
                        </w:rPr>
                        <w:t>,</w:t>
                      </w:r>
                      <w:r w:rsidRPr="00AB4206">
                        <w:rPr>
                          <w:sz w:val="20"/>
                          <w:szCs w:val="20"/>
                        </w:rPr>
                        <w:t xml:space="preserve"> as it makes them easier to locate and identify</w:t>
                      </w:r>
                      <w:r>
                        <w:rPr>
                          <w:sz w:val="20"/>
                          <w:szCs w:val="20"/>
                        </w:rPr>
                        <w:t>.</w:t>
                      </w:r>
                    </w:p>
                  </w:txbxContent>
                </v:textbox>
                <w10:wrap type="square"/>
              </v:shape>
            </w:pict>
          </mc:Fallback>
        </mc:AlternateContent>
      </w:r>
    </w:p>
    <w:p w:rsidR="000B0169" w:rsidRPr="00C428DA" w:rsidRDefault="000B0169" w:rsidP="000B0169">
      <w:pPr>
        <w:pStyle w:val="ColorfulList-Accent11"/>
        <w:spacing w:after="0"/>
        <w:ind w:left="0"/>
        <w:contextualSpacing w:val="0"/>
        <w:rPr>
          <w:rFonts w:eastAsiaTheme="majorEastAsia" w:cstheme="majorBidi"/>
          <w:b/>
          <w:bCs/>
          <w:iCs/>
          <w:color w:val="4F81BD" w:themeColor="accent1"/>
          <w:sz w:val="22"/>
          <w:szCs w:val="22"/>
          <w:lang w:bidi="en-US"/>
        </w:rPr>
      </w:pPr>
      <w:r w:rsidRPr="00C428DA">
        <w:rPr>
          <w:rFonts w:eastAsiaTheme="majorEastAsia" w:cstheme="majorBidi"/>
          <w:b/>
          <w:bCs/>
          <w:iCs/>
          <w:color w:val="4F81BD" w:themeColor="accent1"/>
          <w:sz w:val="22"/>
          <w:szCs w:val="22"/>
          <w:lang w:bidi="en-US"/>
        </w:rPr>
        <w:t>Groups and sub-groups</w:t>
      </w:r>
    </w:p>
    <w:p w:rsidR="00202E1A" w:rsidRDefault="000B0169" w:rsidP="00202E1A">
      <w:pPr>
        <w:spacing w:after="0" w:line="240" w:lineRule="auto"/>
        <w:rPr>
          <w:rFonts w:ascii="Calibri" w:eastAsia="Times New Roman" w:hAnsi="Calibri" w:cs="Times New Roman"/>
        </w:rPr>
      </w:pPr>
      <w:r>
        <w:t xml:space="preserve">The 39 indicators are </w:t>
      </w:r>
      <w:r w:rsidR="00202E1A">
        <w:t>grouped into weighted categories</w:t>
      </w:r>
      <w:r w:rsidRPr="00423FCC">
        <w:t xml:space="preserve"> that measure </w:t>
      </w:r>
      <w:r w:rsidRPr="00423FCC">
        <w:rPr>
          <w:b/>
        </w:rPr>
        <w:t>commitment to aid transparency</w:t>
      </w:r>
      <w:r w:rsidRPr="00423FCC">
        <w:t xml:space="preserve"> and those that measure </w:t>
      </w:r>
      <w:r w:rsidRPr="00423FCC">
        <w:rPr>
          <w:b/>
        </w:rPr>
        <w:t xml:space="preserve">publication of aid </w:t>
      </w:r>
      <w:r w:rsidR="005221A5">
        <w:rPr>
          <w:b/>
        </w:rPr>
        <w:t>information</w:t>
      </w:r>
      <w:r w:rsidR="005221A5">
        <w:t xml:space="preserve"> </w:t>
      </w:r>
      <w:r w:rsidR="00202E1A">
        <w:t xml:space="preserve">at both </w:t>
      </w:r>
      <w:r w:rsidR="00202E1A" w:rsidRPr="000B0169">
        <w:t>organisation and activity level</w:t>
      </w:r>
      <w:r w:rsidR="00202E1A" w:rsidRPr="00202E1A">
        <w:rPr>
          <w:b/>
        </w:rPr>
        <w:t>.</w:t>
      </w:r>
      <w:r w:rsidR="00202E1A" w:rsidRPr="00202E1A">
        <w:rPr>
          <w:rFonts w:ascii="Calibri" w:eastAsia="Times New Roman" w:hAnsi="Calibri" w:cs="Times New Roman"/>
        </w:rPr>
        <w:t xml:space="preserve"> Within the publication category, the organisation-level indicators account for 25% of the overall weight, while the activity-level indicators account for 65%</w:t>
      </w:r>
      <w:r w:rsidR="004145B2">
        <w:rPr>
          <w:rFonts w:ascii="Calibri" w:eastAsia="Times New Roman" w:hAnsi="Calibri" w:cs="Times New Roman"/>
        </w:rPr>
        <w:t xml:space="preserve"> (see chart 1 below)</w:t>
      </w:r>
      <w:r w:rsidR="00202E1A" w:rsidRPr="00202E1A">
        <w:rPr>
          <w:rFonts w:ascii="Calibri" w:eastAsia="Times New Roman" w:hAnsi="Calibri" w:cs="Times New Roman"/>
        </w:rPr>
        <w:t xml:space="preserve">. The two publication groups are further divided in subgroups, based largely upon the subgroups used in the </w:t>
      </w:r>
      <w:r w:rsidR="005221A5">
        <w:rPr>
          <w:rFonts w:ascii="Calibri" w:eastAsia="Times New Roman" w:hAnsi="Calibri" w:cs="Times New Roman"/>
        </w:rPr>
        <w:t xml:space="preserve">Busan </w:t>
      </w:r>
      <w:r w:rsidR="00202E1A" w:rsidRPr="000B0169">
        <w:rPr>
          <w:rFonts w:cs="Times New Roman"/>
        </w:rPr>
        <w:t>Common Standard implementation s</w:t>
      </w:r>
      <w:r w:rsidR="00202E1A" w:rsidRPr="000B0169">
        <w:rPr>
          <w:rFonts w:ascii="Calibri" w:eastAsia="Times New Roman" w:hAnsi="Calibri" w:cs="Times New Roman"/>
        </w:rPr>
        <w:t>chedules template</w:t>
      </w:r>
      <w:r w:rsidR="00202E1A">
        <w:t>.</w:t>
      </w:r>
      <w:r>
        <w:rPr>
          <w:rStyle w:val="FootnoteReference"/>
        </w:rPr>
        <w:footnoteReference w:id="6"/>
      </w:r>
      <w:r w:rsidR="00202E1A">
        <w:t xml:space="preserve"> </w:t>
      </w:r>
      <w:r w:rsidR="00202E1A" w:rsidRPr="00202E1A">
        <w:rPr>
          <w:rFonts w:ascii="Calibri" w:eastAsia="Times New Roman" w:hAnsi="Calibri" w:cs="Times New Roman"/>
        </w:rPr>
        <w:t>The subgroups are equally weighted</w:t>
      </w:r>
      <w:r w:rsidR="00F14CAE">
        <w:rPr>
          <w:rFonts w:ascii="Calibri" w:eastAsia="Times New Roman" w:hAnsi="Calibri" w:cs="Times New Roman"/>
        </w:rPr>
        <w:t xml:space="preserve">, as are the indicators within each </w:t>
      </w:r>
      <w:r w:rsidR="004D19B4">
        <w:rPr>
          <w:rFonts w:ascii="Calibri" w:eastAsia="Times New Roman" w:hAnsi="Calibri" w:cs="Times New Roman"/>
        </w:rPr>
        <w:t>sub-</w:t>
      </w:r>
      <w:r w:rsidR="00F14CAE">
        <w:rPr>
          <w:rFonts w:ascii="Calibri" w:eastAsia="Times New Roman" w:hAnsi="Calibri" w:cs="Times New Roman"/>
        </w:rPr>
        <w:t>group</w:t>
      </w:r>
      <w:r w:rsidR="00202E1A" w:rsidRPr="00202E1A">
        <w:rPr>
          <w:rFonts w:ascii="Calibri" w:eastAsia="Times New Roman" w:hAnsi="Calibri" w:cs="Times New Roman"/>
        </w:rPr>
        <w:t>.</w:t>
      </w:r>
    </w:p>
    <w:p w:rsidR="000B0169" w:rsidRDefault="000B0169" w:rsidP="00202E1A">
      <w:pPr>
        <w:spacing w:after="0" w:line="240" w:lineRule="auto"/>
        <w:rPr>
          <w:rFonts w:ascii="Calibri" w:eastAsia="Times New Roman" w:hAnsi="Calibri" w:cs="Times New Roman"/>
        </w:rPr>
      </w:pPr>
    </w:p>
    <w:p w:rsidR="004145B2" w:rsidRPr="00913ED9" w:rsidRDefault="004145B2" w:rsidP="004145B2">
      <w:pPr>
        <w:spacing w:after="0" w:line="240" w:lineRule="auto"/>
        <w:rPr>
          <w:rFonts w:ascii="Cambria" w:eastAsia="Calibri" w:hAnsi="Cambria" w:cs="Times New Roman"/>
          <w:b/>
          <w:bCs/>
          <w:color w:val="4F81BD"/>
          <w:sz w:val="24"/>
        </w:rPr>
      </w:pPr>
      <w:r>
        <w:rPr>
          <w:rFonts w:ascii="Cambria" w:eastAsia="Calibri" w:hAnsi="Cambria" w:cs="Times New Roman"/>
          <w:b/>
          <w:bCs/>
          <w:color w:val="4F81BD"/>
          <w:sz w:val="24"/>
        </w:rPr>
        <w:t>Chart 1</w:t>
      </w:r>
      <w:r w:rsidRPr="00913ED9">
        <w:rPr>
          <w:rFonts w:ascii="Cambria" w:eastAsia="Calibri" w:hAnsi="Cambria" w:cs="Times New Roman"/>
          <w:b/>
          <w:bCs/>
          <w:color w:val="4F81BD"/>
          <w:sz w:val="24"/>
        </w:rPr>
        <w:t xml:space="preserve">. </w:t>
      </w:r>
      <w:r>
        <w:rPr>
          <w:rFonts w:ascii="Cambria" w:eastAsia="Calibri" w:hAnsi="Cambria" w:cs="Times New Roman"/>
          <w:b/>
          <w:bCs/>
          <w:color w:val="4F81BD"/>
          <w:sz w:val="24"/>
        </w:rPr>
        <w:t>Grouping of the 39 indicators</w:t>
      </w:r>
    </w:p>
    <w:p w:rsidR="000B0169" w:rsidRDefault="000B0169" w:rsidP="00202E1A">
      <w:pPr>
        <w:spacing w:after="0" w:line="240" w:lineRule="auto"/>
      </w:pPr>
      <w:r w:rsidRPr="000B0169">
        <w:rPr>
          <w:rFonts w:ascii="Calibri" w:eastAsia="Times New Roman" w:hAnsi="Calibri" w:cs="Times New Roman"/>
          <w:noProof/>
          <w:lang w:eastAsia="en-GB" w:bidi="ar-SA"/>
        </w:rPr>
        <w:drawing>
          <wp:inline distT="0" distB="0" distL="0" distR="0">
            <wp:extent cx="5467350" cy="2076450"/>
            <wp:effectExtent l="0" t="0" r="0" b="0"/>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84B39" w:rsidRDefault="00584B39" w:rsidP="0017234E">
      <w:pPr>
        <w:pStyle w:val="ColorfulList-Accent11"/>
        <w:spacing w:after="0"/>
        <w:ind w:left="0"/>
        <w:contextualSpacing w:val="0"/>
        <w:rPr>
          <w:rFonts w:eastAsiaTheme="majorEastAsia" w:cstheme="majorBidi"/>
          <w:b/>
          <w:bCs/>
          <w:iCs/>
          <w:color w:val="4F81BD" w:themeColor="accent1"/>
          <w:sz w:val="22"/>
          <w:szCs w:val="22"/>
          <w:lang w:bidi="en-US"/>
        </w:rPr>
      </w:pPr>
    </w:p>
    <w:p w:rsidR="009F49BC" w:rsidRDefault="009F49BC" w:rsidP="00935A49">
      <w:pPr>
        <w:pStyle w:val="ListBullet"/>
        <w:numPr>
          <w:ilvl w:val="0"/>
          <w:numId w:val="0"/>
        </w:numPr>
        <w:spacing w:after="0" w:line="240" w:lineRule="auto"/>
      </w:pPr>
    </w:p>
    <w:p w:rsidR="003C7C49" w:rsidRDefault="003C7C49" w:rsidP="00935A49">
      <w:pPr>
        <w:pStyle w:val="ListBullet"/>
        <w:numPr>
          <w:ilvl w:val="0"/>
          <w:numId w:val="0"/>
        </w:numPr>
        <w:spacing w:after="0" w:line="240" w:lineRule="auto"/>
      </w:pPr>
      <w:r w:rsidRPr="00423FCC">
        <w:lastRenderedPageBreak/>
        <w:t xml:space="preserve">A graduated scoring methodology </w:t>
      </w:r>
      <w:r w:rsidR="004145B2">
        <w:t>is</w:t>
      </w:r>
      <w:r w:rsidRPr="00423FCC">
        <w:t xml:space="preserve"> used for some of the publication indicators. </w:t>
      </w:r>
      <w:r w:rsidR="005221A5">
        <w:t>For 22 indicators, the scoring takes into account the format that the data is provided in, depending on the accessibility and comparability of the information and how consistently it is published (</w:t>
      </w:r>
      <w:r w:rsidR="005221A5" w:rsidRPr="009103A5">
        <w:t xml:space="preserve">see </w:t>
      </w:r>
      <w:r w:rsidR="005221A5" w:rsidRPr="005221A5">
        <w:t xml:space="preserve">chart 2 below). For example, information published in PDFs scores lower than information published in machine-readable formats. </w:t>
      </w:r>
      <w:r w:rsidR="005221A5" w:rsidRPr="005221A5">
        <w:rPr>
          <w:rFonts w:ascii="Calibri" w:eastAsia="Times New Roman" w:hAnsi="Calibri" w:cs="Times New Roman"/>
        </w:rPr>
        <w:t>Information published to the</w:t>
      </w:r>
      <w:r w:rsidR="005221A5">
        <w:rPr>
          <w:rFonts w:ascii="Calibri" w:eastAsia="Times New Roman" w:hAnsi="Calibri" w:cs="Times New Roman"/>
        </w:rPr>
        <w:t xml:space="preserve"> IATI Standard, the most comparable format, can score up to 100 for each indicator, depending on the coverage of information and frequency of publication.</w:t>
      </w:r>
    </w:p>
    <w:p w:rsidR="004145B2" w:rsidRPr="00423FCC" w:rsidRDefault="004145B2" w:rsidP="00935A49">
      <w:pPr>
        <w:pStyle w:val="ListBullet"/>
        <w:numPr>
          <w:ilvl w:val="0"/>
          <w:numId w:val="0"/>
        </w:numPr>
        <w:spacing w:after="0" w:line="240" w:lineRule="auto"/>
      </w:pPr>
    </w:p>
    <w:p w:rsidR="00E416A4" w:rsidRPr="00913ED9" w:rsidRDefault="004145B2" w:rsidP="00935A49">
      <w:pPr>
        <w:spacing w:after="0" w:line="240" w:lineRule="auto"/>
        <w:contextualSpacing/>
        <w:rPr>
          <w:rFonts w:ascii="Cambria" w:eastAsia="Calibri" w:hAnsi="Cambria" w:cs="Times New Roman"/>
          <w:b/>
          <w:bCs/>
          <w:color w:val="4F81BD"/>
          <w:sz w:val="24"/>
        </w:rPr>
      </w:pPr>
      <w:r>
        <w:rPr>
          <w:rFonts w:ascii="Cambria" w:eastAsia="Calibri" w:hAnsi="Cambria" w:cs="Times New Roman"/>
          <w:b/>
          <w:bCs/>
          <w:color w:val="4F81BD"/>
          <w:sz w:val="24"/>
        </w:rPr>
        <w:t>Chart 2</w:t>
      </w:r>
      <w:r w:rsidR="00E416A4" w:rsidRPr="00913ED9">
        <w:rPr>
          <w:rFonts w:ascii="Cambria" w:eastAsia="Calibri" w:hAnsi="Cambria" w:cs="Times New Roman"/>
          <w:b/>
          <w:bCs/>
          <w:color w:val="4F81BD"/>
          <w:sz w:val="24"/>
        </w:rPr>
        <w:t>. Scoring format of data for 2</w:t>
      </w:r>
      <w:r w:rsidR="00A83FB6">
        <w:rPr>
          <w:rFonts w:ascii="Cambria" w:eastAsia="Calibri" w:hAnsi="Cambria" w:cs="Times New Roman"/>
          <w:b/>
          <w:bCs/>
          <w:color w:val="4F81BD"/>
          <w:sz w:val="24"/>
        </w:rPr>
        <w:t>2</w:t>
      </w:r>
      <w:r w:rsidR="00E416A4" w:rsidRPr="00913ED9">
        <w:rPr>
          <w:rFonts w:ascii="Cambria" w:eastAsia="Calibri" w:hAnsi="Cambria" w:cs="Times New Roman"/>
          <w:b/>
          <w:bCs/>
          <w:color w:val="4F81BD"/>
          <w:sz w:val="24"/>
        </w:rPr>
        <w:t xml:space="preserve"> indicators</w:t>
      </w:r>
    </w:p>
    <w:p w:rsidR="00E416A4" w:rsidRPr="00423FCC" w:rsidRDefault="00E416A4" w:rsidP="00935A49">
      <w:pPr>
        <w:spacing w:after="0" w:line="240" w:lineRule="auto"/>
        <w:rPr>
          <w:rFonts w:eastAsia="Calibri" w:cs="Times New Roman"/>
          <w:b/>
          <w:bCs/>
          <w:color w:val="4F81BD"/>
        </w:rPr>
      </w:pPr>
      <w:r w:rsidRPr="00423FCC">
        <w:rPr>
          <w:noProof/>
          <w:lang w:eastAsia="en-GB" w:bidi="ar-SA"/>
        </w:rPr>
        <w:drawing>
          <wp:inline distT="0" distB="0" distL="0" distR="0">
            <wp:extent cx="5357446" cy="1910862"/>
            <wp:effectExtent l="0" t="0" r="0"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B2AC5" w:rsidRDefault="002B2AC5" w:rsidP="00935A49">
      <w:pPr>
        <w:spacing w:after="0" w:line="240" w:lineRule="auto"/>
      </w:pPr>
    </w:p>
    <w:p w:rsidR="005B453C" w:rsidRDefault="009D4137" w:rsidP="00935A49">
      <w:pPr>
        <w:spacing w:after="0" w:line="240" w:lineRule="auto"/>
        <w:rPr>
          <w:b/>
        </w:rPr>
      </w:pPr>
      <w:r w:rsidRPr="00423FCC">
        <w:t>T</w:t>
      </w:r>
      <w:r w:rsidR="00115768">
        <w:t>able 2</w:t>
      </w:r>
      <w:r w:rsidRPr="00423FCC">
        <w:t xml:space="preserve"> below provides a summary of the 39 indicators, including the sub-groups and the scoring approach for each indicator</w:t>
      </w:r>
      <w:r w:rsidR="00EB2722">
        <w:t>.</w:t>
      </w:r>
      <w:r w:rsidRPr="00423FCC">
        <w:rPr>
          <w:b/>
        </w:rPr>
        <w:t xml:space="preserve"> </w:t>
      </w:r>
    </w:p>
    <w:p w:rsidR="00913ED9" w:rsidRPr="00423FCC" w:rsidRDefault="00913ED9" w:rsidP="00935A49">
      <w:pPr>
        <w:spacing w:after="0" w:line="240" w:lineRule="auto"/>
        <w:rPr>
          <w:b/>
        </w:rPr>
      </w:pPr>
    </w:p>
    <w:p w:rsidR="006F499F" w:rsidRDefault="0032676E" w:rsidP="00935A49">
      <w:pPr>
        <w:spacing w:after="0" w:line="240" w:lineRule="auto"/>
        <w:rPr>
          <w:rFonts w:ascii="Cambria" w:eastAsia="Calibri" w:hAnsi="Cambria" w:cs="Times New Roman"/>
          <w:b/>
          <w:bCs/>
          <w:color w:val="4F81BD"/>
          <w:sz w:val="24"/>
        </w:rPr>
      </w:pPr>
      <w:r w:rsidRPr="00913ED9">
        <w:rPr>
          <w:rFonts w:ascii="Cambria" w:eastAsia="Calibri" w:hAnsi="Cambria" w:cs="Times New Roman"/>
          <w:b/>
          <w:bCs/>
          <w:color w:val="4F81BD"/>
          <w:sz w:val="24"/>
        </w:rPr>
        <w:t xml:space="preserve">Table </w:t>
      </w:r>
      <w:r w:rsidR="00EB2722">
        <w:rPr>
          <w:rFonts w:ascii="Cambria" w:eastAsia="Calibri" w:hAnsi="Cambria" w:cs="Times New Roman"/>
          <w:b/>
          <w:bCs/>
          <w:color w:val="4F81BD"/>
          <w:sz w:val="24"/>
        </w:rPr>
        <w:t>2</w:t>
      </w:r>
      <w:r w:rsidRPr="00913ED9">
        <w:rPr>
          <w:rFonts w:ascii="Cambria" w:eastAsia="Calibri" w:hAnsi="Cambria" w:cs="Times New Roman"/>
          <w:b/>
          <w:bCs/>
          <w:color w:val="4F81BD"/>
          <w:sz w:val="24"/>
        </w:rPr>
        <w:t xml:space="preserve">: </w:t>
      </w:r>
      <w:r w:rsidR="006F499F" w:rsidRPr="00913ED9">
        <w:rPr>
          <w:rFonts w:ascii="Cambria" w:eastAsia="Calibri" w:hAnsi="Cambria" w:cs="Times New Roman"/>
          <w:b/>
          <w:bCs/>
          <w:color w:val="4F81BD"/>
          <w:sz w:val="24"/>
        </w:rPr>
        <w:t>Indicators, grouping and scoring approach</w:t>
      </w:r>
    </w:p>
    <w:p w:rsidR="00913ED9" w:rsidRDefault="00913ED9" w:rsidP="00935A49">
      <w:pPr>
        <w:spacing w:after="0" w:line="240" w:lineRule="auto"/>
        <w:rPr>
          <w:rFonts w:ascii="Cambria" w:eastAsia="Calibri" w:hAnsi="Cambria" w:cs="Times New Roman"/>
          <w:b/>
          <w:bCs/>
          <w:color w:val="4F81BD"/>
          <w:sz w:val="24"/>
        </w:rPr>
      </w:pPr>
    </w:p>
    <w:tbl>
      <w:tblPr>
        <w:tblW w:w="130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418"/>
        <w:gridCol w:w="3402"/>
        <w:gridCol w:w="6520"/>
      </w:tblGrid>
      <w:tr w:rsidR="0017234E" w:rsidRPr="00423FCC" w:rsidTr="0017234E">
        <w:trPr>
          <w:trHeight w:val="225"/>
        </w:trPr>
        <w:tc>
          <w:tcPr>
            <w:tcW w:w="1701" w:type="dxa"/>
            <w:tcBorders>
              <w:bottom w:val="single" w:sz="4" w:space="0" w:color="auto"/>
            </w:tcBorders>
            <w:shd w:val="clear" w:color="auto" w:fill="auto"/>
            <w:hideMark/>
          </w:tcPr>
          <w:p w:rsidR="0017234E" w:rsidRPr="00423FCC" w:rsidRDefault="0017234E" w:rsidP="00584B39">
            <w:pPr>
              <w:spacing w:after="0" w:line="240" w:lineRule="auto"/>
              <w:contextualSpacing/>
              <w:jc w:val="center"/>
              <w:rPr>
                <w:rFonts w:eastAsia="Calibri" w:cs="Times New Roman"/>
                <w:b/>
                <w:bCs/>
                <w:sz w:val="20"/>
                <w:szCs w:val="20"/>
              </w:rPr>
            </w:pPr>
            <w:r w:rsidRPr="00423FCC">
              <w:rPr>
                <w:rFonts w:eastAsia="Calibri" w:cs="Times New Roman"/>
                <w:b/>
                <w:bCs/>
                <w:sz w:val="20"/>
                <w:szCs w:val="20"/>
              </w:rPr>
              <w:t>Category</w:t>
            </w:r>
          </w:p>
        </w:tc>
        <w:tc>
          <w:tcPr>
            <w:tcW w:w="1418" w:type="dxa"/>
            <w:tcBorders>
              <w:bottom w:val="single" w:sz="4" w:space="0" w:color="auto"/>
            </w:tcBorders>
            <w:shd w:val="clear" w:color="auto" w:fill="auto"/>
          </w:tcPr>
          <w:p w:rsidR="0017234E" w:rsidRPr="00423FCC" w:rsidRDefault="0017234E" w:rsidP="00584B39">
            <w:pPr>
              <w:spacing w:after="0" w:line="240" w:lineRule="auto"/>
              <w:contextualSpacing/>
              <w:jc w:val="center"/>
              <w:rPr>
                <w:rFonts w:eastAsia="Calibri" w:cs="Times New Roman"/>
                <w:b/>
                <w:bCs/>
                <w:sz w:val="20"/>
                <w:szCs w:val="20"/>
              </w:rPr>
            </w:pPr>
            <w:r w:rsidRPr="00423FCC">
              <w:rPr>
                <w:rFonts w:eastAsia="Calibri" w:cs="Times New Roman"/>
                <w:b/>
                <w:bCs/>
                <w:sz w:val="20"/>
                <w:szCs w:val="20"/>
              </w:rPr>
              <w:t>Sub</w:t>
            </w:r>
            <w:r>
              <w:rPr>
                <w:rFonts w:eastAsia="Calibri" w:cs="Times New Roman"/>
                <w:b/>
                <w:bCs/>
                <w:sz w:val="20"/>
                <w:szCs w:val="20"/>
              </w:rPr>
              <w:t>-</w:t>
            </w:r>
            <w:r w:rsidRPr="00423FCC">
              <w:rPr>
                <w:rFonts w:eastAsia="Calibri" w:cs="Times New Roman"/>
                <w:b/>
                <w:bCs/>
                <w:sz w:val="20"/>
                <w:szCs w:val="20"/>
              </w:rPr>
              <w:t>group</w:t>
            </w:r>
          </w:p>
        </w:tc>
        <w:tc>
          <w:tcPr>
            <w:tcW w:w="3402" w:type="dxa"/>
            <w:tcBorders>
              <w:bottom w:val="single" w:sz="4" w:space="0" w:color="auto"/>
            </w:tcBorders>
            <w:shd w:val="clear" w:color="auto" w:fill="auto"/>
            <w:noWrap/>
            <w:hideMark/>
          </w:tcPr>
          <w:p w:rsidR="0017234E" w:rsidRPr="00423FCC" w:rsidRDefault="0017234E" w:rsidP="00584B39">
            <w:pPr>
              <w:spacing w:after="0" w:line="240" w:lineRule="auto"/>
              <w:contextualSpacing/>
              <w:jc w:val="center"/>
              <w:rPr>
                <w:rFonts w:eastAsia="Calibri" w:cs="Times New Roman"/>
                <w:b/>
                <w:bCs/>
                <w:sz w:val="20"/>
                <w:szCs w:val="20"/>
              </w:rPr>
            </w:pPr>
            <w:r w:rsidRPr="00423FCC">
              <w:rPr>
                <w:rFonts w:eastAsia="Calibri" w:cs="Times New Roman"/>
                <w:b/>
                <w:bCs/>
                <w:sz w:val="20"/>
                <w:szCs w:val="20"/>
              </w:rPr>
              <w:t>Indicator</w:t>
            </w:r>
          </w:p>
        </w:tc>
        <w:tc>
          <w:tcPr>
            <w:tcW w:w="6520" w:type="dxa"/>
            <w:tcBorders>
              <w:bottom w:val="single" w:sz="4" w:space="0" w:color="auto"/>
            </w:tcBorders>
          </w:tcPr>
          <w:p w:rsidR="0017234E" w:rsidRPr="00423FCC" w:rsidRDefault="0017234E" w:rsidP="00584B39">
            <w:pPr>
              <w:spacing w:after="0" w:line="240" w:lineRule="auto"/>
              <w:contextualSpacing/>
              <w:jc w:val="center"/>
              <w:rPr>
                <w:b/>
                <w:bCs/>
                <w:sz w:val="20"/>
                <w:szCs w:val="20"/>
              </w:rPr>
            </w:pPr>
            <w:r w:rsidRPr="00423FCC">
              <w:rPr>
                <w:b/>
                <w:bCs/>
                <w:sz w:val="20"/>
                <w:szCs w:val="20"/>
              </w:rPr>
              <w:t>Scoring Approach</w:t>
            </w:r>
          </w:p>
        </w:tc>
      </w:tr>
      <w:tr w:rsidR="0017234E" w:rsidRPr="00423FCC" w:rsidTr="0017234E">
        <w:trPr>
          <w:trHeight w:val="225"/>
        </w:trPr>
        <w:tc>
          <w:tcPr>
            <w:tcW w:w="1701" w:type="dxa"/>
            <w:vMerge w:val="restart"/>
            <w:shd w:val="clear" w:color="auto" w:fill="8DB3E2"/>
            <w:noWrap/>
          </w:tcPr>
          <w:p w:rsidR="0017234E" w:rsidRPr="00423FCC" w:rsidRDefault="0017234E" w:rsidP="00584B39">
            <w:pPr>
              <w:spacing w:after="0" w:line="240" w:lineRule="auto"/>
              <w:contextualSpacing/>
              <w:rPr>
                <w:rFonts w:eastAsia="Calibri" w:cs="Times New Roman"/>
                <w:sz w:val="20"/>
                <w:szCs w:val="20"/>
              </w:rPr>
            </w:pPr>
            <w:r w:rsidRPr="00423FCC">
              <w:rPr>
                <w:rFonts w:eastAsia="Calibri" w:cs="Times New Roman"/>
                <w:sz w:val="20"/>
                <w:szCs w:val="20"/>
              </w:rPr>
              <w:t>Commitment to aid transparency</w:t>
            </w:r>
          </w:p>
        </w:tc>
        <w:tc>
          <w:tcPr>
            <w:tcW w:w="1418" w:type="dxa"/>
            <w:vMerge w:val="restart"/>
            <w:shd w:val="clear" w:color="auto" w:fill="8DB3E2"/>
          </w:tcPr>
          <w:p w:rsidR="0017234E" w:rsidRPr="00423FCC" w:rsidRDefault="0017234E" w:rsidP="00584B39">
            <w:pPr>
              <w:spacing w:after="0" w:line="240" w:lineRule="auto"/>
              <w:contextualSpacing/>
              <w:rPr>
                <w:rFonts w:eastAsia="Calibri" w:cs="Times New Roman"/>
                <w:sz w:val="20"/>
                <w:szCs w:val="20"/>
              </w:rPr>
            </w:pPr>
            <w:r w:rsidRPr="00423FCC">
              <w:rPr>
                <w:rFonts w:eastAsia="Calibri" w:cs="Times New Roman"/>
                <w:sz w:val="20"/>
                <w:szCs w:val="20"/>
              </w:rPr>
              <w:t>Commitment</w:t>
            </w:r>
          </w:p>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8DB3E2"/>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Quality of FOI legislation</w:t>
            </w:r>
          </w:p>
        </w:tc>
        <w:tc>
          <w:tcPr>
            <w:tcW w:w="6520" w:type="dxa"/>
            <w:shd w:val="clear" w:color="auto" w:fill="8DB3E2"/>
          </w:tcPr>
          <w:p w:rsidR="0017234E" w:rsidRPr="00423FCC" w:rsidRDefault="0017234E" w:rsidP="00394D03">
            <w:pPr>
              <w:spacing w:after="0" w:line="240" w:lineRule="auto"/>
              <w:rPr>
                <w:sz w:val="20"/>
                <w:szCs w:val="20"/>
              </w:rPr>
            </w:pPr>
            <w:r w:rsidRPr="00423FCC">
              <w:rPr>
                <w:sz w:val="20"/>
                <w:szCs w:val="20"/>
              </w:rPr>
              <w:t xml:space="preserve">Graduated based on the score given in </w:t>
            </w:r>
            <w:r>
              <w:rPr>
                <w:sz w:val="20"/>
                <w:szCs w:val="20"/>
              </w:rPr>
              <w:t>Right To Information (</w:t>
            </w:r>
            <w:r w:rsidRPr="00423FCC">
              <w:rPr>
                <w:sz w:val="20"/>
                <w:szCs w:val="20"/>
              </w:rPr>
              <w:t>RTI</w:t>
            </w:r>
            <w:r>
              <w:rPr>
                <w:sz w:val="20"/>
                <w:szCs w:val="20"/>
              </w:rPr>
              <w:t>)</w:t>
            </w:r>
            <w:r w:rsidRPr="00423FCC">
              <w:rPr>
                <w:sz w:val="20"/>
                <w:szCs w:val="20"/>
              </w:rPr>
              <w:t xml:space="preserve"> Rating.</w:t>
            </w:r>
            <w:r>
              <w:rPr>
                <w:sz w:val="20"/>
                <w:szCs w:val="20"/>
              </w:rPr>
              <w:t xml:space="preserve"> </w:t>
            </w:r>
            <w:r w:rsidRPr="00423FCC">
              <w:rPr>
                <w:sz w:val="20"/>
                <w:szCs w:val="20"/>
              </w:rPr>
              <w:t>The complete approach to assessing and scoring FOIA and disclosure polic</w:t>
            </w:r>
            <w:r>
              <w:rPr>
                <w:sz w:val="20"/>
                <w:szCs w:val="20"/>
              </w:rPr>
              <w:t>ies</w:t>
            </w:r>
            <w:r w:rsidRPr="00423FCC">
              <w:rPr>
                <w:sz w:val="20"/>
                <w:szCs w:val="20"/>
              </w:rPr>
              <w:t xml:space="preserve"> </w:t>
            </w:r>
            <w:r>
              <w:rPr>
                <w:sz w:val="20"/>
                <w:szCs w:val="20"/>
              </w:rPr>
              <w:t xml:space="preserve">is outlined in </w:t>
            </w:r>
            <w:r w:rsidRPr="001363B1">
              <w:rPr>
                <w:sz w:val="20"/>
                <w:szCs w:val="20"/>
              </w:rPr>
              <w:t xml:space="preserve">box 2 </w:t>
            </w:r>
            <w:r w:rsidRPr="004514D7">
              <w:rPr>
                <w:sz w:val="20"/>
                <w:szCs w:val="20"/>
              </w:rPr>
              <w:t>on p.</w:t>
            </w:r>
            <w:r w:rsidR="00394D03" w:rsidRPr="004514D7">
              <w:rPr>
                <w:sz w:val="20"/>
                <w:szCs w:val="20"/>
              </w:rPr>
              <w:t>19</w:t>
            </w:r>
            <w:r w:rsidRPr="004514D7">
              <w:rPr>
                <w:sz w:val="20"/>
                <w:szCs w:val="20"/>
              </w:rPr>
              <w:t>.</w:t>
            </w:r>
          </w:p>
        </w:tc>
      </w:tr>
      <w:tr w:rsidR="0017234E" w:rsidRPr="00423FCC" w:rsidTr="0017234E">
        <w:trPr>
          <w:trHeight w:val="225"/>
        </w:trPr>
        <w:tc>
          <w:tcPr>
            <w:tcW w:w="1701" w:type="dxa"/>
            <w:vMerge/>
            <w:shd w:val="clear" w:color="auto" w:fill="8DB3E2"/>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8DB3E2"/>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8DB3E2"/>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Implementation schedules</w:t>
            </w:r>
          </w:p>
        </w:tc>
        <w:tc>
          <w:tcPr>
            <w:tcW w:w="6520" w:type="dxa"/>
            <w:shd w:val="clear" w:color="auto" w:fill="8DB3E2"/>
          </w:tcPr>
          <w:p w:rsidR="0017234E" w:rsidRPr="00423FCC" w:rsidRDefault="0017234E" w:rsidP="00584B39">
            <w:pPr>
              <w:spacing w:after="0" w:line="240" w:lineRule="auto"/>
              <w:rPr>
                <w:sz w:val="20"/>
                <w:szCs w:val="20"/>
              </w:rPr>
            </w:pPr>
            <w:r w:rsidRPr="00423FCC">
              <w:rPr>
                <w:sz w:val="20"/>
                <w:szCs w:val="20"/>
              </w:rPr>
              <w:t>Graduated based on the total score received out of 100 based on analysis of Busan common standard/IATI implementation schedules.</w:t>
            </w:r>
          </w:p>
        </w:tc>
      </w:tr>
      <w:tr w:rsidR="0017234E" w:rsidRPr="00423FCC" w:rsidTr="0017234E">
        <w:trPr>
          <w:trHeight w:val="225"/>
        </w:trPr>
        <w:tc>
          <w:tcPr>
            <w:tcW w:w="1701" w:type="dxa"/>
            <w:vMerge/>
            <w:tcBorders>
              <w:bottom w:val="single" w:sz="4" w:space="0" w:color="auto"/>
            </w:tcBorders>
            <w:shd w:val="clear" w:color="auto" w:fill="8DB3E2"/>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tcBorders>
              <w:bottom w:val="single" w:sz="4" w:space="0" w:color="auto"/>
            </w:tcBorders>
            <w:shd w:val="clear" w:color="auto" w:fill="8DB3E2"/>
          </w:tcPr>
          <w:p w:rsidR="0017234E" w:rsidRPr="00423FCC" w:rsidRDefault="0017234E" w:rsidP="00584B39">
            <w:pPr>
              <w:spacing w:after="0" w:line="240" w:lineRule="auto"/>
              <w:contextualSpacing/>
              <w:rPr>
                <w:rFonts w:eastAsia="Calibri" w:cs="Times New Roman"/>
                <w:sz w:val="20"/>
                <w:szCs w:val="20"/>
              </w:rPr>
            </w:pPr>
          </w:p>
        </w:tc>
        <w:tc>
          <w:tcPr>
            <w:tcW w:w="3402" w:type="dxa"/>
            <w:tcBorders>
              <w:bottom w:val="single" w:sz="4" w:space="0" w:color="auto"/>
            </w:tcBorders>
            <w:shd w:val="clear" w:color="auto" w:fill="8DB3E2"/>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Accessibility</w:t>
            </w:r>
            <w:r w:rsidR="005221A5">
              <w:rPr>
                <w:sz w:val="20"/>
                <w:szCs w:val="20"/>
              </w:rPr>
              <w:t xml:space="preserve"> (database/data portal)</w:t>
            </w:r>
          </w:p>
        </w:tc>
        <w:tc>
          <w:tcPr>
            <w:tcW w:w="6520" w:type="dxa"/>
            <w:tcBorders>
              <w:bottom w:val="single" w:sz="4" w:space="0" w:color="auto"/>
            </w:tcBorders>
            <w:shd w:val="clear" w:color="auto" w:fill="8DB3E2"/>
          </w:tcPr>
          <w:p w:rsidR="0017234E" w:rsidRPr="00423FCC" w:rsidRDefault="0017234E" w:rsidP="00584B39">
            <w:pPr>
              <w:tabs>
                <w:tab w:val="left" w:pos="3577"/>
              </w:tabs>
              <w:spacing w:after="0" w:line="240" w:lineRule="auto"/>
              <w:ind w:right="34"/>
              <w:rPr>
                <w:sz w:val="20"/>
                <w:szCs w:val="20"/>
              </w:rPr>
            </w:pPr>
            <w:r w:rsidRPr="00423FCC">
              <w:rPr>
                <w:sz w:val="20"/>
                <w:szCs w:val="20"/>
              </w:rPr>
              <w:t xml:space="preserve">Graduated </w:t>
            </w:r>
            <w:r>
              <w:rPr>
                <w:sz w:val="20"/>
                <w:szCs w:val="20"/>
              </w:rPr>
              <w:t>b</w:t>
            </w:r>
            <w:r w:rsidRPr="00423FCC">
              <w:rPr>
                <w:sz w:val="20"/>
                <w:szCs w:val="20"/>
              </w:rPr>
              <w:t xml:space="preserve">ased on three criteria: allows free bulk export of data; provides disaggregated, detailed data on activities; and data is released under an open licence. </w:t>
            </w:r>
          </w:p>
        </w:tc>
      </w:tr>
      <w:tr w:rsidR="0017234E" w:rsidRPr="00423FCC" w:rsidTr="0017234E">
        <w:trPr>
          <w:trHeight w:val="225"/>
        </w:trPr>
        <w:tc>
          <w:tcPr>
            <w:tcW w:w="1701" w:type="dxa"/>
            <w:vMerge w:val="restart"/>
            <w:shd w:val="clear" w:color="auto" w:fill="C6D9F1"/>
            <w:noWrap/>
          </w:tcPr>
          <w:p w:rsidR="0017234E" w:rsidRPr="00423FCC" w:rsidRDefault="0017234E" w:rsidP="00584B39">
            <w:pPr>
              <w:spacing w:after="0" w:line="240" w:lineRule="auto"/>
              <w:contextualSpacing/>
              <w:rPr>
                <w:rFonts w:eastAsia="Calibri" w:cs="Times New Roman"/>
                <w:sz w:val="20"/>
                <w:szCs w:val="20"/>
              </w:rPr>
            </w:pPr>
            <w:r w:rsidRPr="00423FCC">
              <w:rPr>
                <w:sz w:val="20"/>
                <w:szCs w:val="20"/>
              </w:rPr>
              <w:t>Publication –</w:t>
            </w:r>
            <w:r w:rsidRPr="00423FCC">
              <w:rPr>
                <w:rFonts w:eastAsia="Calibri" w:cs="Times New Roman"/>
                <w:sz w:val="20"/>
                <w:szCs w:val="20"/>
              </w:rPr>
              <w:t xml:space="preserve"> Organisation level</w:t>
            </w:r>
          </w:p>
        </w:tc>
        <w:tc>
          <w:tcPr>
            <w:tcW w:w="1418" w:type="dxa"/>
            <w:vMerge w:val="restart"/>
            <w:shd w:val="clear" w:color="auto" w:fill="C6D9F1"/>
          </w:tcPr>
          <w:p w:rsidR="0017234E" w:rsidRPr="00423FCC" w:rsidRDefault="0017234E" w:rsidP="00584B39">
            <w:pPr>
              <w:spacing w:after="0" w:line="240" w:lineRule="auto"/>
              <w:contextualSpacing/>
              <w:rPr>
                <w:rFonts w:eastAsia="Calibri" w:cs="Times New Roman"/>
                <w:sz w:val="20"/>
                <w:szCs w:val="20"/>
              </w:rPr>
            </w:pPr>
            <w:r w:rsidRPr="00423FCC">
              <w:rPr>
                <w:rFonts w:eastAsia="Calibri" w:cs="Times New Roman"/>
                <w:sz w:val="20"/>
                <w:szCs w:val="20"/>
              </w:rPr>
              <w:t>Planning</w:t>
            </w:r>
          </w:p>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C6D9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Strategy</w:t>
            </w:r>
          </w:p>
        </w:tc>
        <w:tc>
          <w:tcPr>
            <w:tcW w:w="6520" w:type="dxa"/>
            <w:shd w:val="clear" w:color="auto" w:fill="C6D9F1"/>
          </w:tcPr>
          <w:p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rsidTr="0017234E">
        <w:trPr>
          <w:trHeight w:val="225"/>
        </w:trPr>
        <w:tc>
          <w:tcPr>
            <w:tcW w:w="1701" w:type="dxa"/>
            <w:vMerge/>
            <w:shd w:val="clear" w:color="auto" w:fill="C6D9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C6D9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C6D9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Annual report</w:t>
            </w:r>
          </w:p>
        </w:tc>
        <w:tc>
          <w:tcPr>
            <w:tcW w:w="6520" w:type="dxa"/>
            <w:shd w:val="clear" w:color="auto" w:fill="C6D9F1"/>
          </w:tcPr>
          <w:p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rsidTr="0017234E">
        <w:trPr>
          <w:trHeight w:val="225"/>
        </w:trPr>
        <w:tc>
          <w:tcPr>
            <w:tcW w:w="1701" w:type="dxa"/>
            <w:vMerge/>
            <w:shd w:val="clear" w:color="auto" w:fill="C6D9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C6D9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C6D9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Allocation policy</w:t>
            </w:r>
          </w:p>
        </w:tc>
        <w:tc>
          <w:tcPr>
            <w:tcW w:w="6520" w:type="dxa"/>
            <w:shd w:val="clear" w:color="auto" w:fill="C6D9F1"/>
          </w:tcPr>
          <w:p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rsidTr="0017234E">
        <w:trPr>
          <w:trHeight w:val="225"/>
        </w:trPr>
        <w:tc>
          <w:tcPr>
            <w:tcW w:w="1701" w:type="dxa"/>
            <w:vMerge/>
            <w:shd w:val="clear" w:color="auto" w:fill="C6D9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C6D9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C6D9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Procurement policy</w:t>
            </w:r>
          </w:p>
        </w:tc>
        <w:tc>
          <w:tcPr>
            <w:tcW w:w="6520" w:type="dxa"/>
            <w:shd w:val="clear" w:color="auto" w:fill="C6D9F1"/>
          </w:tcPr>
          <w:p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rsidTr="0017234E">
        <w:trPr>
          <w:trHeight w:val="225"/>
        </w:trPr>
        <w:tc>
          <w:tcPr>
            <w:tcW w:w="1701" w:type="dxa"/>
            <w:vMerge/>
            <w:shd w:val="clear" w:color="auto" w:fill="C6D9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C6D9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C6D9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Strategy (country</w:t>
            </w:r>
            <w:r w:rsidR="008822C0">
              <w:rPr>
                <w:sz w:val="20"/>
                <w:szCs w:val="20"/>
              </w:rPr>
              <w:t>/sector</w:t>
            </w:r>
            <w:r w:rsidRPr="00423FCC">
              <w:rPr>
                <w:sz w:val="20"/>
                <w:szCs w:val="20"/>
              </w:rPr>
              <w:t>)</w:t>
            </w:r>
          </w:p>
        </w:tc>
        <w:tc>
          <w:tcPr>
            <w:tcW w:w="6520" w:type="dxa"/>
            <w:shd w:val="clear" w:color="auto" w:fill="C6D9F1"/>
          </w:tcPr>
          <w:p w:rsidR="0017234E" w:rsidRPr="00423FCC" w:rsidRDefault="0017234E" w:rsidP="008C7AF5">
            <w:pPr>
              <w:spacing w:after="0" w:line="240" w:lineRule="auto"/>
              <w:rPr>
                <w:sz w:val="20"/>
                <w:szCs w:val="20"/>
              </w:rPr>
            </w:pPr>
            <w:r w:rsidRPr="00423FCC">
              <w:rPr>
                <w:sz w:val="20"/>
                <w:szCs w:val="20"/>
              </w:rPr>
              <w:t>Graduated based on accessibility</w:t>
            </w:r>
            <w:r w:rsidR="008C7AF5">
              <w:rPr>
                <w:sz w:val="20"/>
                <w:szCs w:val="20"/>
              </w:rPr>
              <w:t xml:space="preserve"> (and the proportion of countries for which strategies are provided for IATI publishers)</w:t>
            </w:r>
          </w:p>
        </w:tc>
      </w:tr>
      <w:tr w:rsidR="0017234E" w:rsidRPr="00423FCC" w:rsidTr="0017234E">
        <w:trPr>
          <w:trHeight w:val="225"/>
        </w:trPr>
        <w:tc>
          <w:tcPr>
            <w:tcW w:w="1701" w:type="dxa"/>
            <w:vMerge/>
            <w:shd w:val="clear" w:color="auto" w:fill="C6D9F1"/>
            <w:noWrap/>
          </w:tcPr>
          <w:p w:rsidR="0017234E" w:rsidRPr="00423FCC" w:rsidRDefault="0017234E" w:rsidP="00584B39">
            <w:pPr>
              <w:spacing w:after="0" w:line="240" w:lineRule="auto"/>
              <w:contextualSpacing/>
              <w:rPr>
                <w:rFonts w:eastAsia="Calibri" w:cs="Times New Roman"/>
                <w:sz w:val="20"/>
                <w:szCs w:val="20"/>
              </w:rPr>
            </w:pPr>
          </w:p>
        </w:tc>
        <w:tc>
          <w:tcPr>
            <w:tcW w:w="1418" w:type="dxa"/>
            <w:vMerge w:val="restart"/>
            <w:shd w:val="clear" w:color="auto" w:fill="C6D9F1"/>
          </w:tcPr>
          <w:p w:rsidR="0017234E" w:rsidRPr="00423FCC" w:rsidRDefault="0017234E" w:rsidP="00584B39">
            <w:pPr>
              <w:spacing w:after="0" w:line="240" w:lineRule="auto"/>
              <w:contextualSpacing/>
              <w:rPr>
                <w:rFonts w:eastAsia="Calibri" w:cs="Times New Roman"/>
                <w:sz w:val="20"/>
                <w:szCs w:val="20"/>
              </w:rPr>
            </w:pPr>
            <w:r w:rsidRPr="00423FCC">
              <w:rPr>
                <w:rFonts w:eastAsia="Calibri" w:cs="Times New Roman"/>
                <w:sz w:val="20"/>
                <w:szCs w:val="20"/>
              </w:rPr>
              <w:t>Financial</w:t>
            </w:r>
          </w:p>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C6D9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Total organisation budget</w:t>
            </w:r>
          </w:p>
        </w:tc>
        <w:tc>
          <w:tcPr>
            <w:tcW w:w="6520" w:type="dxa"/>
            <w:shd w:val="clear" w:color="auto" w:fill="C6D9F1"/>
          </w:tcPr>
          <w:p w:rsidR="0017234E" w:rsidRPr="00423FCC" w:rsidRDefault="0017234E" w:rsidP="00584B39">
            <w:pPr>
              <w:spacing w:after="0" w:line="240" w:lineRule="auto"/>
              <w:rPr>
                <w:sz w:val="20"/>
                <w:szCs w:val="20"/>
              </w:rPr>
            </w:pPr>
            <w:r w:rsidRPr="00423FCC">
              <w:rPr>
                <w:sz w:val="20"/>
                <w:szCs w:val="20"/>
              </w:rPr>
              <w:t>Graduated based on format and number of years for which data is provided</w:t>
            </w:r>
          </w:p>
        </w:tc>
      </w:tr>
      <w:tr w:rsidR="0017234E" w:rsidRPr="00423FCC" w:rsidTr="0017234E">
        <w:trPr>
          <w:trHeight w:val="225"/>
        </w:trPr>
        <w:tc>
          <w:tcPr>
            <w:tcW w:w="1701" w:type="dxa"/>
            <w:vMerge/>
            <w:shd w:val="clear" w:color="auto" w:fill="C6D9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C6D9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C6D9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Disaggregated budget</w:t>
            </w:r>
          </w:p>
        </w:tc>
        <w:tc>
          <w:tcPr>
            <w:tcW w:w="6520" w:type="dxa"/>
            <w:shd w:val="clear" w:color="auto" w:fill="C6D9F1"/>
          </w:tcPr>
          <w:p w:rsidR="0017234E" w:rsidRPr="00423FCC" w:rsidRDefault="0017234E" w:rsidP="00584B39">
            <w:pPr>
              <w:spacing w:after="0" w:line="240" w:lineRule="auto"/>
              <w:rPr>
                <w:sz w:val="20"/>
                <w:szCs w:val="20"/>
              </w:rPr>
            </w:pPr>
            <w:r w:rsidRPr="00423FCC">
              <w:rPr>
                <w:sz w:val="20"/>
                <w:szCs w:val="20"/>
              </w:rPr>
              <w:t>Graduated based on format and number of years for which data is provided</w:t>
            </w:r>
          </w:p>
        </w:tc>
      </w:tr>
      <w:tr w:rsidR="0017234E" w:rsidRPr="00423FCC" w:rsidTr="0017234E">
        <w:trPr>
          <w:trHeight w:val="225"/>
        </w:trPr>
        <w:tc>
          <w:tcPr>
            <w:tcW w:w="1701" w:type="dxa"/>
            <w:vMerge/>
            <w:tcBorders>
              <w:bottom w:val="single" w:sz="4" w:space="0" w:color="auto"/>
            </w:tcBorders>
            <w:shd w:val="clear" w:color="auto" w:fill="C6D9F1"/>
            <w:noWrap/>
          </w:tcPr>
          <w:p w:rsidR="0017234E" w:rsidRPr="00423FCC" w:rsidRDefault="0017234E" w:rsidP="00584B39">
            <w:pPr>
              <w:spacing w:after="0" w:line="240" w:lineRule="auto"/>
              <w:contextualSpacing/>
              <w:rPr>
                <w:rFonts w:eastAsia="Calibri" w:cs="Times New Roman"/>
                <w:sz w:val="20"/>
                <w:szCs w:val="20"/>
              </w:rPr>
            </w:pPr>
          </w:p>
        </w:tc>
        <w:tc>
          <w:tcPr>
            <w:tcW w:w="1418" w:type="dxa"/>
            <w:vMerge/>
            <w:tcBorders>
              <w:bottom w:val="single" w:sz="4" w:space="0" w:color="auto"/>
            </w:tcBorders>
            <w:shd w:val="clear" w:color="auto" w:fill="C6D9F1"/>
          </w:tcPr>
          <w:p w:rsidR="0017234E" w:rsidRPr="00423FCC" w:rsidRDefault="0017234E" w:rsidP="00584B39">
            <w:pPr>
              <w:spacing w:after="0" w:line="240" w:lineRule="auto"/>
              <w:contextualSpacing/>
              <w:rPr>
                <w:rFonts w:eastAsia="Calibri" w:cs="Times New Roman"/>
                <w:sz w:val="20"/>
                <w:szCs w:val="20"/>
              </w:rPr>
            </w:pPr>
          </w:p>
        </w:tc>
        <w:tc>
          <w:tcPr>
            <w:tcW w:w="3402" w:type="dxa"/>
            <w:tcBorders>
              <w:bottom w:val="single" w:sz="4" w:space="0" w:color="auto"/>
            </w:tcBorders>
            <w:shd w:val="clear" w:color="auto" w:fill="C6D9F1"/>
            <w:noWrap/>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Audit</w:t>
            </w:r>
          </w:p>
        </w:tc>
        <w:tc>
          <w:tcPr>
            <w:tcW w:w="6520" w:type="dxa"/>
            <w:tcBorders>
              <w:bottom w:val="single" w:sz="4" w:space="0" w:color="auto"/>
            </w:tcBorders>
            <w:shd w:val="clear" w:color="auto" w:fill="C6D9F1"/>
          </w:tcPr>
          <w:p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rsidTr="0017234E">
        <w:trPr>
          <w:trHeight w:val="225"/>
        </w:trPr>
        <w:tc>
          <w:tcPr>
            <w:tcW w:w="1701" w:type="dxa"/>
            <w:vMerge w:val="restart"/>
            <w:shd w:val="clear" w:color="auto" w:fill="DBE5F1"/>
            <w:noWrap/>
          </w:tcPr>
          <w:p w:rsidR="0017234E" w:rsidRPr="00423FCC" w:rsidRDefault="0017234E" w:rsidP="00584B39">
            <w:pPr>
              <w:spacing w:after="0" w:line="240" w:lineRule="auto"/>
              <w:contextualSpacing/>
              <w:rPr>
                <w:rFonts w:eastAsia="Calibri" w:cs="Times New Roman"/>
                <w:sz w:val="20"/>
                <w:szCs w:val="20"/>
              </w:rPr>
            </w:pPr>
            <w:r w:rsidRPr="00423FCC">
              <w:rPr>
                <w:rFonts w:eastAsia="Calibri" w:cs="Times New Roman"/>
                <w:sz w:val="20"/>
                <w:szCs w:val="20"/>
              </w:rPr>
              <w:t xml:space="preserve">Publication – Activity level </w:t>
            </w:r>
          </w:p>
        </w:tc>
        <w:tc>
          <w:tcPr>
            <w:tcW w:w="1418" w:type="dxa"/>
            <w:vMerge w:val="restart"/>
            <w:shd w:val="clear" w:color="auto" w:fill="DBE5F1"/>
          </w:tcPr>
          <w:p w:rsidR="0017234E" w:rsidRPr="00423FCC" w:rsidRDefault="0017234E" w:rsidP="00584B39">
            <w:pPr>
              <w:spacing w:after="0" w:line="240" w:lineRule="auto"/>
              <w:contextualSpacing/>
              <w:rPr>
                <w:rFonts w:eastAsia="Calibri" w:cs="Times New Roman"/>
                <w:sz w:val="20"/>
                <w:szCs w:val="20"/>
              </w:rPr>
            </w:pPr>
            <w:r w:rsidRPr="00423FCC">
              <w:rPr>
                <w:sz w:val="20"/>
                <w:szCs w:val="20"/>
              </w:rPr>
              <w:t>Basic activity i</w:t>
            </w:r>
            <w:r w:rsidRPr="00423FCC">
              <w:rPr>
                <w:rFonts w:eastAsia="Calibri" w:cs="Times New Roman"/>
                <w:sz w:val="20"/>
                <w:szCs w:val="20"/>
              </w:rPr>
              <w:t>nformation</w:t>
            </w:r>
          </w:p>
        </w:tc>
        <w:tc>
          <w:tcPr>
            <w:tcW w:w="3402" w:type="dxa"/>
            <w:shd w:val="clear" w:color="auto" w:fill="DBE5F1"/>
            <w:noWrap/>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Implementer</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90"/>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Unique ID</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Title</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Description</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Planned dates</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Actual dates</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Current status</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Contact details</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val="restart"/>
            <w:shd w:val="clear" w:color="auto" w:fill="DBE5F1"/>
          </w:tcPr>
          <w:p w:rsidR="0017234E" w:rsidRPr="00423FCC" w:rsidRDefault="0017234E" w:rsidP="00584B39">
            <w:pPr>
              <w:spacing w:after="0" w:line="240" w:lineRule="auto"/>
              <w:contextualSpacing/>
              <w:rPr>
                <w:rFonts w:eastAsia="Calibri" w:cs="Times New Roman"/>
                <w:sz w:val="20"/>
                <w:szCs w:val="20"/>
              </w:rPr>
            </w:pPr>
            <w:r w:rsidRPr="00423FCC">
              <w:rPr>
                <w:rFonts w:eastAsia="Calibri" w:cs="Times New Roman"/>
                <w:sz w:val="20"/>
                <w:szCs w:val="20"/>
              </w:rPr>
              <w:t>Classifications</w:t>
            </w:r>
          </w:p>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Collaboration type</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Flow type</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Aid type</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Finance type</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Sectors</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Sub-national location</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Tied aid status</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val="restart"/>
            <w:shd w:val="clear" w:color="auto" w:fill="DBE5F1"/>
          </w:tcPr>
          <w:p w:rsidR="0017234E" w:rsidRPr="00423FCC" w:rsidRDefault="0017234E" w:rsidP="00584B39">
            <w:pPr>
              <w:spacing w:after="0" w:line="240" w:lineRule="auto"/>
              <w:contextualSpacing/>
              <w:rPr>
                <w:rFonts w:eastAsia="Calibri" w:cs="Times New Roman"/>
                <w:sz w:val="20"/>
                <w:szCs w:val="20"/>
              </w:rPr>
            </w:pPr>
            <w:r w:rsidRPr="00423FCC">
              <w:rPr>
                <w:rFonts w:eastAsia="Calibri" w:cs="Times New Roman"/>
                <w:sz w:val="20"/>
                <w:szCs w:val="20"/>
              </w:rPr>
              <w:t>Related documents</w:t>
            </w: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color w:val="000000"/>
                <w:sz w:val="20"/>
                <w:szCs w:val="20"/>
              </w:rPr>
              <w:t>Memorandum of Understanding</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 xml:space="preserve">Graduated based on accessibility </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Evaluations</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Objectives</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Budget docs</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Contracts</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Tenders</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val="restart"/>
            <w:shd w:val="clear" w:color="auto" w:fill="DBE5F1"/>
          </w:tcPr>
          <w:p w:rsidR="0017234E" w:rsidRPr="00423FCC" w:rsidRDefault="0017234E" w:rsidP="00584B39">
            <w:pPr>
              <w:spacing w:after="0" w:line="240" w:lineRule="auto"/>
              <w:contextualSpacing/>
              <w:rPr>
                <w:rFonts w:eastAsia="Calibri" w:cs="Times New Roman"/>
                <w:sz w:val="20"/>
                <w:szCs w:val="20"/>
              </w:rPr>
            </w:pPr>
            <w:r w:rsidRPr="00423FCC">
              <w:rPr>
                <w:rFonts w:eastAsia="Calibri" w:cs="Times New Roman"/>
                <w:sz w:val="20"/>
                <w:szCs w:val="20"/>
              </w:rPr>
              <w:t>Financial</w:t>
            </w: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Pr>
                <w:sz w:val="20"/>
                <w:szCs w:val="20"/>
              </w:rPr>
              <w:t>Budget</w:t>
            </w:r>
            <w:r>
              <w:rPr>
                <w:rStyle w:val="FootnoteReference"/>
                <w:sz w:val="20"/>
                <w:szCs w:val="20"/>
              </w:rPr>
              <w:footnoteReference w:id="7"/>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Pr>
                <w:sz w:val="20"/>
                <w:szCs w:val="20"/>
              </w:rPr>
              <w:t>Commitments</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Pr>
                <w:sz w:val="20"/>
                <w:szCs w:val="20"/>
              </w:rPr>
              <w:t xml:space="preserve">Disbursements &amp; </w:t>
            </w:r>
            <w:r w:rsidRPr="00423FCC">
              <w:rPr>
                <w:sz w:val="20"/>
                <w:szCs w:val="20"/>
              </w:rPr>
              <w:t>expenditures</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Budget ID</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val="restart"/>
            <w:shd w:val="clear" w:color="auto" w:fill="DBE5F1"/>
          </w:tcPr>
          <w:p w:rsidR="0017234E" w:rsidRPr="00423FCC" w:rsidRDefault="0017234E" w:rsidP="00584B39">
            <w:pPr>
              <w:spacing w:after="0" w:line="240" w:lineRule="auto"/>
              <w:contextualSpacing/>
              <w:rPr>
                <w:rFonts w:eastAsia="Calibri" w:cs="Times New Roman"/>
                <w:sz w:val="20"/>
                <w:szCs w:val="20"/>
              </w:rPr>
            </w:pPr>
            <w:r w:rsidRPr="00423FCC">
              <w:rPr>
                <w:rFonts w:eastAsia="Calibri" w:cs="Times New Roman"/>
                <w:sz w:val="20"/>
                <w:szCs w:val="20"/>
              </w:rPr>
              <w:t>Performance</w:t>
            </w: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Results</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format</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Impact appraisals</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accessibility</w:t>
            </w:r>
          </w:p>
        </w:tc>
      </w:tr>
      <w:tr w:rsidR="0017234E" w:rsidRPr="00423FCC" w:rsidTr="0017234E">
        <w:trPr>
          <w:trHeight w:val="225"/>
        </w:trPr>
        <w:tc>
          <w:tcPr>
            <w:tcW w:w="1701" w:type="dxa"/>
            <w:vMerge/>
            <w:shd w:val="clear" w:color="auto" w:fill="DBE5F1"/>
            <w:noWrap/>
            <w:hideMark/>
          </w:tcPr>
          <w:p w:rsidR="0017234E" w:rsidRPr="00423FCC" w:rsidRDefault="0017234E" w:rsidP="00584B39">
            <w:pPr>
              <w:spacing w:after="0" w:line="240" w:lineRule="auto"/>
              <w:contextualSpacing/>
              <w:rPr>
                <w:rFonts w:eastAsia="Calibri" w:cs="Times New Roman"/>
                <w:sz w:val="20"/>
                <w:szCs w:val="20"/>
              </w:rPr>
            </w:pPr>
          </w:p>
        </w:tc>
        <w:tc>
          <w:tcPr>
            <w:tcW w:w="1418" w:type="dxa"/>
            <w:vMerge/>
            <w:shd w:val="clear" w:color="auto" w:fill="DBE5F1"/>
          </w:tcPr>
          <w:p w:rsidR="0017234E" w:rsidRPr="00423FCC" w:rsidRDefault="0017234E" w:rsidP="00584B39">
            <w:pPr>
              <w:spacing w:after="0" w:line="240" w:lineRule="auto"/>
              <w:contextualSpacing/>
              <w:rPr>
                <w:rFonts w:eastAsia="Calibri" w:cs="Times New Roman"/>
                <w:sz w:val="20"/>
                <w:szCs w:val="20"/>
              </w:rPr>
            </w:pPr>
          </w:p>
        </w:tc>
        <w:tc>
          <w:tcPr>
            <w:tcW w:w="3402" w:type="dxa"/>
            <w:shd w:val="clear" w:color="auto" w:fill="DBE5F1"/>
            <w:noWrap/>
            <w:hideMark/>
          </w:tcPr>
          <w:p w:rsidR="0017234E" w:rsidRPr="00423FCC" w:rsidRDefault="0017234E" w:rsidP="0017234E">
            <w:pPr>
              <w:pStyle w:val="ListParagraph"/>
              <w:numPr>
                <w:ilvl w:val="0"/>
                <w:numId w:val="14"/>
              </w:numPr>
              <w:spacing w:after="0" w:line="240" w:lineRule="auto"/>
              <w:ind w:left="459" w:hanging="425"/>
              <w:rPr>
                <w:sz w:val="20"/>
                <w:szCs w:val="20"/>
              </w:rPr>
            </w:pPr>
            <w:r w:rsidRPr="00423FCC">
              <w:rPr>
                <w:sz w:val="20"/>
                <w:szCs w:val="20"/>
              </w:rPr>
              <w:t>Conditions</w:t>
            </w:r>
          </w:p>
        </w:tc>
        <w:tc>
          <w:tcPr>
            <w:tcW w:w="6520" w:type="dxa"/>
            <w:shd w:val="clear" w:color="auto" w:fill="DBE5F1"/>
          </w:tcPr>
          <w:p w:rsidR="0017234E" w:rsidRPr="00423FCC" w:rsidRDefault="0017234E" w:rsidP="00584B39">
            <w:pPr>
              <w:spacing w:after="0" w:line="240" w:lineRule="auto"/>
              <w:rPr>
                <w:sz w:val="20"/>
                <w:szCs w:val="20"/>
              </w:rPr>
            </w:pPr>
            <w:r w:rsidRPr="00423FCC">
              <w:rPr>
                <w:sz w:val="20"/>
                <w:szCs w:val="20"/>
              </w:rPr>
              <w:t>Graduated based on accessibility</w:t>
            </w:r>
          </w:p>
        </w:tc>
      </w:tr>
    </w:tbl>
    <w:p w:rsidR="00584B39" w:rsidRDefault="00584B39" w:rsidP="008C7AF5">
      <w:pPr>
        <w:spacing w:after="0" w:line="240" w:lineRule="auto"/>
      </w:pPr>
      <w:r>
        <w:t xml:space="preserve">Note: The source of information for indicators 4–39 is the IATI Registry, organisations’ own websites or other sources to which the organisation publishes information on its </w:t>
      </w:r>
      <w:r w:rsidR="008822C0">
        <w:t xml:space="preserve">current </w:t>
      </w:r>
      <w:r>
        <w:t>aid activities.</w:t>
      </w:r>
    </w:p>
    <w:p w:rsidR="006C664F" w:rsidRPr="007D68FE" w:rsidRDefault="006C664F" w:rsidP="00935A49">
      <w:pPr>
        <w:pStyle w:val="Heading4"/>
        <w:spacing w:before="0" w:line="240" w:lineRule="auto"/>
        <w:contextualSpacing/>
        <w:rPr>
          <w:rFonts w:ascii="Cambria" w:eastAsia="Calibri" w:hAnsi="Cambria" w:cs="Times New Roman"/>
          <w:i w:val="0"/>
          <w:iCs w:val="0"/>
          <w:color w:val="4F81BD"/>
          <w:sz w:val="28"/>
          <w:szCs w:val="26"/>
        </w:rPr>
      </w:pPr>
      <w:r w:rsidRPr="007D68FE">
        <w:rPr>
          <w:rFonts w:ascii="Cambria" w:eastAsia="Calibri" w:hAnsi="Cambria" w:cs="Times New Roman"/>
          <w:i w:val="0"/>
          <w:iCs w:val="0"/>
          <w:color w:val="4F81BD"/>
          <w:sz w:val="28"/>
          <w:szCs w:val="26"/>
        </w:rPr>
        <w:lastRenderedPageBreak/>
        <w:t>General scoring guidelines</w:t>
      </w:r>
    </w:p>
    <w:p w:rsidR="007D68FE" w:rsidRDefault="007D68FE" w:rsidP="00935A49">
      <w:pPr>
        <w:pStyle w:val="ListBullet"/>
        <w:numPr>
          <w:ilvl w:val="0"/>
          <w:numId w:val="0"/>
        </w:numPr>
        <w:spacing w:after="0" w:line="240" w:lineRule="auto"/>
        <w:ind w:left="360" w:hanging="360"/>
      </w:pPr>
    </w:p>
    <w:p w:rsidR="00E82A6C" w:rsidRDefault="00584B39" w:rsidP="00E82A6C">
      <w:pPr>
        <w:pStyle w:val="ListBullet"/>
        <w:spacing w:line="240" w:lineRule="auto"/>
      </w:pPr>
      <w:r w:rsidRPr="00E82A6C">
        <w:rPr>
          <w:b/>
        </w:rPr>
        <w:t>Survey data collection</w:t>
      </w:r>
      <w:r w:rsidRPr="00423FCC">
        <w:t>: All surveys are completed using information pertaining to the country receiving the largest amount of aid by value from th</w:t>
      </w:r>
      <w:r>
        <w:t>e development</w:t>
      </w:r>
      <w:r w:rsidRPr="00423FCC">
        <w:t xml:space="preserve"> </w:t>
      </w:r>
      <w:r>
        <w:t>organisation</w:t>
      </w:r>
      <w:r w:rsidRPr="00423FCC">
        <w:t>. The value of aid to recipients is determined by the 201</w:t>
      </w:r>
      <w:r>
        <w:t xml:space="preserve">2 </w:t>
      </w:r>
      <w:r w:rsidRPr="00423FCC">
        <w:t xml:space="preserve">OECD DAC CRS figures. If this information is not available in the CRS, then the largest recipient is determined using the latest annual report for the </w:t>
      </w:r>
      <w:r>
        <w:t>organisation</w:t>
      </w:r>
      <w:r w:rsidRPr="00423FCC">
        <w:t xml:space="preserve"> or related ministry. To establish that information is consistently</w:t>
      </w:r>
      <w:r>
        <w:t>,</w:t>
      </w:r>
      <w:r w:rsidRPr="00423FCC">
        <w:t xml:space="preserve"> i.e</w:t>
      </w:r>
      <w:r>
        <w:t>.</w:t>
      </w:r>
      <w:r w:rsidRPr="00423FCC">
        <w:t xml:space="preserve"> </w:t>
      </w:r>
      <w:r>
        <w:t>“</w:t>
      </w:r>
      <w:r w:rsidRPr="00423FCC">
        <w:t>always</w:t>
      </w:r>
      <w:r>
        <w:t>”,</w:t>
      </w:r>
      <w:r w:rsidRPr="00423FCC">
        <w:t xml:space="preserve"> published at the activity level, a minimum of five activities are selected within the largest recipient country or thematic sector (if the </w:t>
      </w:r>
      <w:r>
        <w:t xml:space="preserve">organisation </w:t>
      </w:r>
      <w:r w:rsidR="008822C0">
        <w:t>structures</w:t>
      </w:r>
      <w:r w:rsidRPr="00423FCC">
        <w:t xml:space="preserve"> its</w:t>
      </w:r>
      <w:r>
        <w:t xml:space="preserve"> work</w:t>
      </w:r>
      <w:r w:rsidRPr="00423FCC">
        <w:t xml:space="preserve"> along thematic areas or sectors rather than by countries). </w:t>
      </w:r>
      <w:r>
        <w:t xml:space="preserve">If </w:t>
      </w:r>
      <w:r w:rsidR="000D6821">
        <w:t>less than five activities represent the organisation’s total spend in its largest recipient country</w:t>
      </w:r>
      <w:r>
        <w:t xml:space="preserve">, information is cross-checked against </w:t>
      </w:r>
      <w:r w:rsidR="000D6821">
        <w:t xml:space="preserve">four other randomly selected </w:t>
      </w:r>
      <w:r>
        <w:t xml:space="preserve">activities </w:t>
      </w:r>
      <w:r w:rsidR="000D6821">
        <w:t>in other recipient</w:t>
      </w:r>
      <w:r>
        <w:t xml:space="preserve"> countries. For t</w:t>
      </w:r>
      <w:r w:rsidR="008726DD">
        <w:t>wo</w:t>
      </w:r>
      <w:r>
        <w:t xml:space="preserve"> indicators –country/sector strategy and memorandum of understanding – the information is cross-checked for four other randomly selected countries in addition to the largest recipient country in order to establish that the information is “always” published.</w:t>
      </w:r>
      <w:r w:rsidR="00345D43">
        <w:t xml:space="preserve"> </w:t>
      </w:r>
      <w:r w:rsidR="00E82A6C">
        <w:t>Only information that is found to be</w:t>
      </w:r>
      <w:r w:rsidR="00E82A6C" w:rsidRPr="00E82A6C">
        <w:t xml:space="preserve"> </w:t>
      </w:r>
      <w:r w:rsidR="00E82A6C">
        <w:t>“</w:t>
      </w:r>
      <w:r w:rsidR="00E82A6C" w:rsidRPr="00E82A6C">
        <w:t>always</w:t>
      </w:r>
      <w:r w:rsidR="00E82A6C">
        <w:t>”</w:t>
      </w:r>
      <w:r w:rsidR="00E82A6C" w:rsidRPr="00E82A6C">
        <w:t xml:space="preserve"> published</w:t>
      </w:r>
      <w:r w:rsidR="00E82A6C">
        <w:t xml:space="preserve"> is scored in the ATI</w:t>
      </w:r>
      <w:r w:rsidR="00E82A6C" w:rsidRPr="00E82A6C">
        <w:t xml:space="preserve">. </w:t>
      </w:r>
      <w:r w:rsidR="00E82A6C">
        <w:t>Information that is published inconsistently or only for some activities is recorded but not scored.</w:t>
      </w:r>
      <w:r w:rsidR="00BC0D40">
        <w:t xml:space="preserve"> F</w:t>
      </w:r>
      <w:r w:rsidR="00BC0D40" w:rsidRPr="00BC0D40">
        <w:rPr>
          <w:lang w:val="en-GB"/>
        </w:rPr>
        <w:t xml:space="preserve">or aid information to be comparable across donors and recipient countries and for it be useful for different end user groups, it needs to be consistently i.e. always published for all projects. </w:t>
      </w:r>
      <w:r w:rsidR="00BC0D40">
        <w:rPr>
          <w:lang w:val="en-GB"/>
        </w:rPr>
        <w:t>Allocating</w:t>
      </w:r>
      <w:r w:rsidR="00BC0D40" w:rsidRPr="00BC0D40">
        <w:rPr>
          <w:lang w:val="en-GB"/>
        </w:rPr>
        <w:t xml:space="preserve"> points for</w:t>
      </w:r>
      <w:r w:rsidR="00BC0D40">
        <w:rPr>
          <w:lang w:val="en-GB"/>
        </w:rPr>
        <w:t xml:space="preserve"> information that is</w:t>
      </w:r>
      <w:r w:rsidR="00BC0D40" w:rsidRPr="00BC0D40">
        <w:rPr>
          <w:lang w:val="en-GB"/>
        </w:rPr>
        <w:t xml:space="preserve"> “sometimes published” would result </w:t>
      </w:r>
      <w:r w:rsidR="00BC0D40">
        <w:rPr>
          <w:lang w:val="en-GB"/>
        </w:rPr>
        <w:t>in over-rewarding organisations given the small sample of five activities chosen for assessment</w:t>
      </w:r>
      <w:r w:rsidR="00BC0D40" w:rsidRPr="00BC0D40">
        <w:rPr>
          <w:lang w:val="en-GB"/>
        </w:rPr>
        <w:t xml:space="preserve">. </w:t>
      </w:r>
      <w:r w:rsidR="00BC0D40">
        <w:rPr>
          <w:lang w:val="en-GB"/>
        </w:rPr>
        <w:t>D</w:t>
      </w:r>
      <w:r w:rsidR="00BC0D40" w:rsidRPr="00BC0D40">
        <w:rPr>
          <w:lang w:val="en-GB"/>
        </w:rPr>
        <w:t xml:space="preserve">ata on how systematically information is published </w:t>
      </w:r>
      <w:r w:rsidR="00BC0D40">
        <w:rPr>
          <w:lang w:val="en-GB"/>
        </w:rPr>
        <w:t xml:space="preserve">is collected </w:t>
      </w:r>
      <w:r w:rsidR="00BC0D40" w:rsidRPr="00BC0D40">
        <w:rPr>
          <w:lang w:val="en-GB"/>
        </w:rPr>
        <w:t>to highlight and distinguish between information that is sporadically collected and published through existing systems and process and therefore should be easier to publish more consistently, and</w:t>
      </w:r>
      <w:r w:rsidR="00345D43">
        <w:rPr>
          <w:lang w:val="en-GB"/>
        </w:rPr>
        <w:t xml:space="preserve"> </w:t>
      </w:r>
      <w:r w:rsidR="00BC0D40" w:rsidRPr="00BC0D40">
        <w:rPr>
          <w:lang w:val="en-GB"/>
        </w:rPr>
        <w:t>that which does not appear to be collected or published at all, indicating systems or processes need to be put in place.</w:t>
      </w:r>
    </w:p>
    <w:p w:rsidR="00584B39" w:rsidRDefault="00584B39" w:rsidP="008822C0">
      <w:pPr>
        <w:pStyle w:val="ListBullet"/>
        <w:spacing w:after="0" w:line="240" w:lineRule="auto"/>
      </w:pPr>
      <w:r w:rsidRPr="00E82A6C">
        <w:rPr>
          <w:b/>
        </w:rPr>
        <w:t xml:space="preserve">Current data: </w:t>
      </w:r>
      <w:r w:rsidRPr="00424B4A">
        <w:t>Data for</w:t>
      </w:r>
      <w:r w:rsidRPr="00423FCC">
        <w:t xml:space="preserve"> each indicator must be current for an organisation to be able to score on the indicator. “Current” is defined as published within the 12 months immediately prior to the data collection period (1 </w:t>
      </w:r>
      <w:r>
        <w:t>April</w:t>
      </w:r>
      <w:r w:rsidRPr="00423FCC">
        <w:t>–3</w:t>
      </w:r>
      <w:r>
        <w:t>0</w:t>
      </w:r>
      <w:r w:rsidRPr="00423FCC">
        <w:t xml:space="preserve"> </w:t>
      </w:r>
      <w:r>
        <w:t>June</w:t>
      </w:r>
      <w:r w:rsidRPr="00423FCC">
        <w:t xml:space="preserve"> 201</w:t>
      </w:r>
      <w:r>
        <w:t>4</w:t>
      </w:r>
      <w:r w:rsidRPr="00423FCC">
        <w:t xml:space="preserve">), so information published on 1 </w:t>
      </w:r>
      <w:r>
        <w:t>April</w:t>
      </w:r>
      <w:r w:rsidRPr="00423FCC">
        <w:t xml:space="preserve"> 201</w:t>
      </w:r>
      <w:r>
        <w:t>3</w:t>
      </w:r>
      <w:r w:rsidRPr="00423FCC">
        <w:t xml:space="preserve"> or later and that relates to that date or later is accepted as current. Information published after 1 </w:t>
      </w:r>
      <w:r>
        <w:t>April 2013</w:t>
      </w:r>
      <w:r w:rsidRPr="00423FCC">
        <w:t xml:space="preserve"> but relating to a period prior to then, for example 201</w:t>
      </w:r>
      <w:r>
        <w:t>2</w:t>
      </w:r>
      <w:r w:rsidRPr="00423FCC">
        <w:t xml:space="preserve"> DAC CRS data, is not accepted as current. Documents that are not </w:t>
      </w:r>
      <w:r>
        <w:t>current under this definition a</w:t>
      </w:r>
      <w:r w:rsidRPr="00423FCC">
        <w:t xml:space="preserve">re accepted only if they are up to date with their regular cycle of publication, for example, annual audits and evaluation reports, or if they have explicit extensions into the current period written into them. </w:t>
      </w:r>
    </w:p>
    <w:p w:rsidR="00584B39" w:rsidRDefault="00584B39" w:rsidP="00584B39">
      <w:pPr>
        <w:pStyle w:val="ListBullet"/>
        <w:spacing w:after="0" w:line="240" w:lineRule="auto"/>
        <w:ind w:left="357" w:hanging="357"/>
      </w:pPr>
      <w:r w:rsidRPr="00423FCC">
        <w:rPr>
          <w:b/>
        </w:rPr>
        <w:t>Date information:</w:t>
      </w:r>
      <w:r w:rsidRPr="00423FCC">
        <w:t xml:space="preserve"> For indicators with a date component (e.g. actual dates, planned dates), both the month and the year are required in order to score. </w:t>
      </w:r>
    </w:p>
    <w:p w:rsidR="00584B39" w:rsidRDefault="00584B39" w:rsidP="00584B39">
      <w:pPr>
        <w:pStyle w:val="ListBullet"/>
        <w:spacing w:after="0" w:line="240" w:lineRule="auto"/>
        <w:ind w:left="357" w:hanging="357"/>
      </w:pPr>
      <w:r w:rsidRPr="00424B4A">
        <w:rPr>
          <w:b/>
        </w:rPr>
        <w:t>Sampling:</w:t>
      </w:r>
      <w:r>
        <w:t xml:space="preserve"> A total of 14</w:t>
      </w:r>
      <w:r w:rsidRPr="00424B4A">
        <w:t xml:space="preserve"> indicators </w:t>
      </w:r>
      <w:r>
        <w:t>refer</w:t>
      </w:r>
      <w:r w:rsidRPr="00424B4A">
        <w:t xml:space="preserve"> to documents</w:t>
      </w:r>
      <w:r>
        <w:t xml:space="preserve">. These documents are manually checked to verify that they contain the required information to score for the indicator. </w:t>
      </w:r>
      <w:r w:rsidR="008822C0">
        <w:t>A</w:t>
      </w:r>
      <w:r>
        <w:t xml:space="preserve"> minimum of five documents need to meet the required criteria to score for the indicator.</w:t>
      </w:r>
      <w:r>
        <w:rPr>
          <w:rStyle w:val="FootnoteReference"/>
        </w:rPr>
        <w:footnoteReference w:id="8"/>
      </w:r>
      <w:r>
        <w:t xml:space="preserve"> For IATI publishers, the documents</w:t>
      </w:r>
      <w:r w:rsidRPr="00424B4A">
        <w:t xml:space="preserve"> </w:t>
      </w:r>
      <w:r w:rsidR="00B4239F">
        <w:t>are</w:t>
      </w:r>
      <w:r w:rsidR="008822C0">
        <w:t xml:space="preserve"> randomly selected from those projects that pass the tests for the relevant indicator.</w:t>
      </w:r>
      <w:r>
        <w:t xml:space="preserve"> Data published to the IATI Registry on results, sub-national location and conditions </w:t>
      </w:r>
      <w:r w:rsidR="00B4239F">
        <w:t xml:space="preserve">are </w:t>
      </w:r>
      <w:r>
        <w:t xml:space="preserve">also sampled to ensure it meets the criteria for those indicators. </w:t>
      </w:r>
    </w:p>
    <w:p w:rsidR="00584B39" w:rsidRDefault="00584B39" w:rsidP="00584B39">
      <w:pPr>
        <w:pStyle w:val="ListBullet"/>
        <w:spacing w:after="0" w:line="240" w:lineRule="auto"/>
        <w:ind w:left="357" w:hanging="357"/>
      </w:pPr>
      <w:r w:rsidRPr="00423FCC">
        <w:rPr>
          <w:b/>
        </w:rPr>
        <w:t>Multiple sources:</w:t>
      </w:r>
      <w:r w:rsidRPr="00423FCC">
        <w:t xml:space="preserve"> </w:t>
      </w:r>
      <w:r w:rsidRPr="00C75AE3">
        <w:t xml:space="preserve">For organisations which publish information to multiple databases or websites, information from all sources is accepted. For example, data for the EC’s </w:t>
      </w:r>
      <w:r w:rsidRPr="00C75AE3">
        <w:rPr>
          <w:rFonts w:cstheme="minorHAnsi"/>
          <w:shd w:val="clear" w:color="auto" w:fill="FFFFFF"/>
        </w:rPr>
        <w:t xml:space="preserve">Humanitarian Aid and Civil Protection </w:t>
      </w:r>
      <w:r w:rsidRPr="00C75AE3">
        <w:rPr>
          <w:rFonts w:cstheme="minorHAnsi"/>
        </w:rPr>
        <w:t xml:space="preserve">Department (ECHO) </w:t>
      </w:r>
      <w:r w:rsidRPr="00C75AE3">
        <w:t>is published</w:t>
      </w:r>
      <w:r>
        <w:t xml:space="preserve"> to two humanitarian databases, </w:t>
      </w:r>
      <w:r w:rsidRPr="00C75AE3">
        <w:t>the European Disaster Response Information System (EDRIS) and the Financial Tracking</w:t>
      </w:r>
      <w:r>
        <w:t xml:space="preserve"> Service (FTS),</w:t>
      </w:r>
      <w:r w:rsidRPr="00C75AE3">
        <w:t xml:space="preserve"> </w:t>
      </w:r>
      <w:r>
        <w:t>and to IATI. All three sources are accepted.</w:t>
      </w:r>
      <w:r w:rsidRPr="00C75AE3">
        <w:t xml:space="preserve"> If there are differences between the t</w:t>
      </w:r>
      <w:r>
        <w:t>hree</w:t>
      </w:r>
      <w:r w:rsidRPr="00C75AE3">
        <w:t xml:space="preserve"> information sources, </w:t>
      </w:r>
      <w:r>
        <w:t xml:space="preserve">priority is given to the </w:t>
      </w:r>
      <w:r w:rsidRPr="00C75AE3">
        <w:t xml:space="preserve">most recent information </w:t>
      </w:r>
      <w:r>
        <w:t xml:space="preserve">in the most </w:t>
      </w:r>
      <w:r w:rsidRPr="00C75AE3">
        <w:t>accessible</w:t>
      </w:r>
      <w:r>
        <w:t xml:space="preserve"> format.</w:t>
      </w:r>
      <w:r w:rsidR="00C93DA5">
        <w:t xml:space="preserve"> The sources of information must be easily accessible from the organisation’s website. </w:t>
      </w:r>
    </w:p>
    <w:p w:rsidR="00584B39" w:rsidRPr="00423FCC" w:rsidRDefault="00584B39" w:rsidP="00584B39">
      <w:pPr>
        <w:pStyle w:val="ListBullet"/>
        <w:spacing w:after="0" w:line="240" w:lineRule="auto"/>
        <w:ind w:left="357" w:hanging="357"/>
      </w:pPr>
      <w:r w:rsidRPr="00423FCC">
        <w:rPr>
          <w:b/>
        </w:rPr>
        <w:t>Development focused</w:t>
      </w:r>
      <w:r w:rsidRPr="00423FCC">
        <w:t>: For the handful of organisations whose primary mandate is not providing development assistance, the assessment of their aid transparency relates only to the development assistance aspect of their operations and not the transparency of the organisation more broadly.</w:t>
      </w:r>
    </w:p>
    <w:p w:rsidR="009C7D14" w:rsidRDefault="00584B39" w:rsidP="009F49BC">
      <w:pPr>
        <w:pStyle w:val="ListBullet"/>
        <w:spacing w:after="0" w:line="240" w:lineRule="auto"/>
        <w:ind w:left="357" w:hanging="357"/>
      </w:pPr>
      <w:r w:rsidRPr="00423FCC">
        <w:rPr>
          <w:b/>
        </w:rPr>
        <w:lastRenderedPageBreak/>
        <w:t>Parent or subsidiary organisations:</w:t>
      </w:r>
      <w:r w:rsidRPr="00423FCC">
        <w:t xml:space="preserve"> Information for some org</w:t>
      </w:r>
      <w:r w:rsidRPr="00D57B43">
        <w:t>anisations is</w:t>
      </w:r>
      <w:r w:rsidRPr="003C4880">
        <w:t xml:space="preserve"> </w:t>
      </w:r>
      <w:r w:rsidRPr="00423FCC">
        <w:t>held or managed by other organisations. In such cases, we look at both organisations for the information, i.e. the primary organisation under assessment as well as the organisation holding/publishing the information. For example, in the case of Norway, t</w:t>
      </w:r>
      <w:r w:rsidRPr="00423FCC">
        <w:rPr>
          <w:rFonts w:cs="Calibri"/>
        </w:rPr>
        <w:t>he majority of development assistance is administered by the Ministry of Foreign Affairs (MFA) but most activity-level information is found on the Norwegian Agency for Development Cooperation (Norad) website</w:t>
      </w:r>
      <w:r w:rsidRPr="00423FCC">
        <w:t xml:space="preserve">. In such cases, information published by both the MFA and Norad is accepted. </w:t>
      </w:r>
    </w:p>
    <w:p w:rsidR="009F49BC" w:rsidRPr="009F49BC" w:rsidRDefault="009F49BC" w:rsidP="009F49BC">
      <w:pPr>
        <w:pStyle w:val="ListBullet"/>
        <w:numPr>
          <w:ilvl w:val="0"/>
          <w:numId w:val="0"/>
        </w:numPr>
        <w:spacing w:after="0" w:line="240" w:lineRule="auto"/>
        <w:ind w:left="357"/>
      </w:pPr>
    </w:p>
    <w:p w:rsidR="009F2D0F" w:rsidRPr="00D542D9" w:rsidRDefault="007D68FE" w:rsidP="00935A49">
      <w:pPr>
        <w:pStyle w:val="Heading4"/>
        <w:spacing w:before="0" w:line="240" w:lineRule="auto"/>
        <w:contextualSpacing/>
        <w:rPr>
          <w:rFonts w:ascii="Cambria" w:eastAsia="Calibri" w:hAnsi="Cambria" w:cs="Times New Roman"/>
          <w:i w:val="0"/>
          <w:iCs w:val="0"/>
          <w:color w:val="4F81BD"/>
          <w:sz w:val="28"/>
          <w:szCs w:val="26"/>
        </w:rPr>
      </w:pPr>
      <w:r w:rsidRPr="00D542D9">
        <w:rPr>
          <w:rFonts w:ascii="Cambria" w:eastAsia="Calibri" w:hAnsi="Cambria" w:cs="Times New Roman"/>
          <w:i w:val="0"/>
          <w:iCs w:val="0"/>
          <w:color w:val="4F81BD"/>
          <w:sz w:val="28"/>
          <w:szCs w:val="26"/>
        </w:rPr>
        <w:t>Details of scoring approach</w:t>
      </w:r>
    </w:p>
    <w:p w:rsidR="00D542D9" w:rsidRDefault="00D542D9" w:rsidP="00935A49">
      <w:pPr>
        <w:pStyle w:val="ListParagraph"/>
        <w:spacing w:after="0" w:line="240" w:lineRule="auto"/>
        <w:ind w:left="360"/>
      </w:pPr>
    </w:p>
    <w:p w:rsidR="00584B39" w:rsidRPr="00423FCC" w:rsidRDefault="00584B39" w:rsidP="00584B39">
      <w:pPr>
        <w:pStyle w:val="ListParagraph"/>
        <w:numPr>
          <w:ilvl w:val="0"/>
          <w:numId w:val="15"/>
        </w:numPr>
        <w:spacing w:after="0" w:line="240" w:lineRule="auto"/>
        <w:ind w:hanging="357"/>
      </w:pPr>
      <w:r w:rsidRPr="00423FCC">
        <w:t>All indicators can score a maximum of 100 points.</w:t>
      </w:r>
    </w:p>
    <w:p w:rsidR="00584B39" w:rsidRPr="00423FCC" w:rsidRDefault="00584B39" w:rsidP="00584B39">
      <w:pPr>
        <w:pStyle w:val="ListParagraph"/>
        <w:numPr>
          <w:ilvl w:val="0"/>
          <w:numId w:val="15"/>
        </w:numPr>
        <w:spacing w:after="0" w:line="240" w:lineRule="auto"/>
        <w:ind w:hanging="357"/>
      </w:pPr>
      <w:r w:rsidRPr="00423FCC">
        <w:t>For all indicators for which scores are “</w:t>
      </w:r>
      <w:r w:rsidRPr="00423FCC">
        <w:rPr>
          <w:b/>
        </w:rPr>
        <w:t>graduated on the basis of format</w:t>
      </w:r>
      <w:r w:rsidRPr="00423FCC">
        <w:t>”, the information is scored as follows:</w:t>
      </w:r>
    </w:p>
    <w:p w:rsidR="00584B39" w:rsidRPr="00423FCC" w:rsidRDefault="00584B39" w:rsidP="00584B39">
      <w:pPr>
        <w:pStyle w:val="ListParagraph"/>
        <w:numPr>
          <w:ilvl w:val="1"/>
          <w:numId w:val="15"/>
        </w:numPr>
        <w:spacing w:after="0" w:line="240" w:lineRule="auto"/>
        <w:ind w:hanging="357"/>
      </w:pPr>
      <w:r w:rsidRPr="00423FCC">
        <w:t>PDF = 16.67 points</w:t>
      </w:r>
    </w:p>
    <w:p w:rsidR="00584B39" w:rsidRPr="00423FCC" w:rsidRDefault="00584B39" w:rsidP="00584B39">
      <w:pPr>
        <w:pStyle w:val="ListParagraph"/>
        <w:numPr>
          <w:ilvl w:val="1"/>
          <w:numId w:val="15"/>
        </w:numPr>
        <w:spacing w:after="0" w:line="240" w:lineRule="auto"/>
        <w:ind w:hanging="357"/>
      </w:pPr>
      <w:r w:rsidRPr="00423FCC">
        <w:t>Website = 33.33 points</w:t>
      </w:r>
    </w:p>
    <w:p w:rsidR="00584B39" w:rsidRPr="00423FCC" w:rsidRDefault="00584B39" w:rsidP="00584B39">
      <w:pPr>
        <w:pStyle w:val="ListParagraph"/>
        <w:numPr>
          <w:ilvl w:val="1"/>
          <w:numId w:val="15"/>
        </w:numPr>
        <w:spacing w:after="0" w:line="240" w:lineRule="auto"/>
        <w:ind w:hanging="357"/>
      </w:pPr>
      <w:r w:rsidRPr="004D19B4">
        <w:rPr>
          <w:lang w:val="fr-FR"/>
        </w:rPr>
        <w:t xml:space="preserve">Machine-readable (CSV, Excel, etc.) </w:t>
      </w:r>
      <w:r w:rsidRPr="00423FCC">
        <w:t>= 50.00 points</w:t>
      </w:r>
    </w:p>
    <w:p w:rsidR="00584B39" w:rsidRPr="00423FCC" w:rsidRDefault="00584B39" w:rsidP="00584B39">
      <w:pPr>
        <w:pStyle w:val="ListParagraph"/>
        <w:numPr>
          <w:ilvl w:val="1"/>
          <w:numId w:val="15"/>
        </w:numPr>
        <w:spacing w:after="0" w:line="240" w:lineRule="auto"/>
        <w:ind w:hanging="357"/>
      </w:pPr>
      <w:r w:rsidRPr="00423FCC">
        <w:t xml:space="preserve">IATI XML = 50–100 points depending on data quality and frequency </w:t>
      </w:r>
    </w:p>
    <w:p w:rsidR="00584B39" w:rsidRPr="00423FCC" w:rsidRDefault="00584B39" w:rsidP="00584B39">
      <w:pPr>
        <w:pStyle w:val="ListParagraph"/>
        <w:numPr>
          <w:ilvl w:val="0"/>
          <w:numId w:val="15"/>
        </w:numPr>
        <w:spacing w:after="0" w:line="240" w:lineRule="auto"/>
        <w:ind w:hanging="357"/>
      </w:pPr>
      <w:r>
        <w:t>For organisation-</w:t>
      </w:r>
      <w:r w:rsidRPr="00423FCC">
        <w:t>level indicators for which the scores are “</w:t>
      </w:r>
      <w:r w:rsidRPr="00423FCC">
        <w:rPr>
          <w:b/>
        </w:rPr>
        <w:t>graduated based on accessibility</w:t>
      </w:r>
      <w:r w:rsidRPr="00423FCC">
        <w:t xml:space="preserve">”, information published </w:t>
      </w:r>
      <w:r>
        <w:t>to the IATI Registry</w:t>
      </w:r>
      <w:r w:rsidRPr="00423FCC">
        <w:t xml:space="preserve"> is awarded the total score for the indicator, while information published in all other formats is awarded 50 points of the total possible score of 100</w:t>
      </w:r>
      <w:r>
        <w:t>.</w:t>
      </w:r>
      <w:r w:rsidR="008C7AF5">
        <w:rPr>
          <w:rStyle w:val="FootnoteReference"/>
        </w:rPr>
        <w:footnoteReference w:id="9"/>
      </w:r>
      <w:r w:rsidRPr="00423FCC">
        <w:t xml:space="preserve"> These indicators relate to organisation documents which may be provided in IATI in the form of links to documents with the correct document code from the IATI ‘Organisation Documents Codelist’ specified. This makes them easier to locate and identify than documents available just on the organisation’s website, as they have been categorised according to a common standard; hence they are scored more highly. </w:t>
      </w:r>
    </w:p>
    <w:p w:rsidR="00584B39" w:rsidRPr="00423FCC" w:rsidRDefault="00584B39" w:rsidP="00584B39">
      <w:pPr>
        <w:pStyle w:val="ListParagraph"/>
        <w:numPr>
          <w:ilvl w:val="0"/>
          <w:numId w:val="15"/>
        </w:numPr>
        <w:spacing w:after="0" w:line="240" w:lineRule="auto"/>
        <w:ind w:hanging="357"/>
      </w:pPr>
      <w:r>
        <w:t>For activity-</w:t>
      </w:r>
      <w:r w:rsidRPr="00423FCC">
        <w:t>level indicators for which the scores are “</w:t>
      </w:r>
      <w:r w:rsidRPr="00423FCC">
        <w:rPr>
          <w:b/>
        </w:rPr>
        <w:t>graduated on the basis of accessibility</w:t>
      </w:r>
      <w:r w:rsidRPr="00423FCC">
        <w:t xml:space="preserve">”, information published </w:t>
      </w:r>
      <w:r>
        <w:t>to the IATI Registry</w:t>
      </w:r>
      <w:r w:rsidRPr="00423FCC">
        <w:t xml:space="preserve"> can score </w:t>
      </w:r>
      <w:r w:rsidRPr="00423FCC">
        <w:rPr>
          <w:bCs/>
        </w:rPr>
        <w:t>between 50–</w:t>
      </w:r>
      <w:r w:rsidRPr="00423FCC">
        <w:t>100 points</w:t>
      </w:r>
      <w:r w:rsidRPr="00423FCC">
        <w:rPr>
          <w:bCs/>
        </w:rPr>
        <w:t xml:space="preserve"> </w:t>
      </w:r>
      <w:r w:rsidRPr="00423FCC">
        <w:t xml:space="preserve">for that indicator based on data </w:t>
      </w:r>
      <w:r w:rsidRPr="00423FCC">
        <w:rPr>
          <w:u w:val="single"/>
        </w:rPr>
        <w:t>quality</w:t>
      </w:r>
      <w:r w:rsidRPr="00423FCC">
        <w:t xml:space="preserve"> and </w:t>
      </w:r>
      <w:r w:rsidRPr="00423FCC">
        <w:rPr>
          <w:u w:val="single"/>
        </w:rPr>
        <w:t>frequency</w:t>
      </w:r>
      <w:r w:rsidRPr="00423FCC">
        <w:rPr>
          <w:bCs/>
        </w:rPr>
        <w:t xml:space="preserve"> of publication</w:t>
      </w:r>
      <w:r w:rsidRPr="00423FCC">
        <w:t xml:space="preserve">. Information published in all other formats </w:t>
      </w:r>
      <w:r w:rsidRPr="00423FCC">
        <w:rPr>
          <w:bCs/>
        </w:rPr>
        <w:t>is awarded 5</w:t>
      </w:r>
      <w:r w:rsidRPr="00423FCC">
        <w:t xml:space="preserve">0 points for the indicator. </w:t>
      </w:r>
    </w:p>
    <w:p w:rsidR="00584B39" w:rsidRPr="00423FCC" w:rsidRDefault="00584B39" w:rsidP="00584B39">
      <w:pPr>
        <w:pStyle w:val="ListParagraph"/>
        <w:numPr>
          <w:ilvl w:val="0"/>
          <w:numId w:val="15"/>
        </w:numPr>
        <w:spacing w:after="0" w:line="240" w:lineRule="auto"/>
        <w:ind w:hanging="357"/>
      </w:pPr>
      <w:r w:rsidRPr="00423FCC">
        <w:t>The scoring for the two forward budget indicators at the organisation level is “</w:t>
      </w:r>
      <w:r w:rsidRPr="00423FCC">
        <w:rPr>
          <w:b/>
        </w:rPr>
        <w:t>graduated on the basis of both format and the number of years</w:t>
      </w:r>
      <w:r w:rsidRPr="00423FCC">
        <w:t xml:space="preserve">” for which information is published. </w:t>
      </w:r>
      <w:r w:rsidR="004A3C4E">
        <w:t>Publishing</w:t>
      </w:r>
      <w:r w:rsidRPr="00423FCC">
        <w:t xml:space="preserve"> a budget for </w:t>
      </w:r>
      <w:r>
        <w:t xml:space="preserve">2014 counts as one year forward </w:t>
      </w:r>
      <w:r w:rsidRPr="00423FCC">
        <w:t>looking, 201</w:t>
      </w:r>
      <w:r>
        <w:t>5</w:t>
      </w:r>
      <w:r w:rsidRPr="00423FCC">
        <w:t xml:space="preserve"> as two years and 201</w:t>
      </w:r>
      <w:r>
        <w:t>6</w:t>
      </w:r>
      <w:r w:rsidRPr="00423FCC">
        <w:t xml:space="preserve"> as three years. Budgets need to run up to a minimum of</w:t>
      </w:r>
      <w:r w:rsidR="006A1357">
        <w:t xml:space="preserve"> 31</w:t>
      </w:r>
      <w:r w:rsidRPr="00423FCC">
        <w:t xml:space="preserve"> December 201</w:t>
      </w:r>
      <w:r>
        <w:t xml:space="preserve">6 to score for three years. </w:t>
      </w:r>
      <w:r w:rsidR="008D1C5E">
        <w:t>Aggregate</w:t>
      </w:r>
      <w:r w:rsidRPr="00423FCC">
        <w:t xml:space="preserve"> budgets are treated</w:t>
      </w:r>
      <w:r w:rsidR="008822C0">
        <w:t xml:space="preserve"> the same as a one year forward-</w:t>
      </w:r>
      <w:r w:rsidRPr="00423FCC">
        <w:t>looking</w:t>
      </w:r>
      <w:r w:rsidR="008822C0">
        <w:t xml:space="preserve"> budget</w:t>
      </w:r>
      <w:r w:rsidRPr="00423FCC">
        <w:t xml:space="preserve">, i.e. </w:t>
      </w:r>
      <w:r w:rsidR="008D1C5E">
        <w:t>an aggregate</w:t>
      </w:r>
      <w:r w:rsidRPr="00423FCC">
        <w:t xml:space="preserve"> budget for 201</w:t>
      </w:r>
      <w:r>
        <w:t>2</w:t>
      </w:r>
      <w:r w:rsidRPr="00423FCC">
        <w:t>–201</w:t>
      </w:r>
      <w:r>
        <w:t>6</w:t>
      </w:r>
      <w:r w:rsidRPr="00423FCC">
        <w:t xml:space="preserve"> is treated the same as a one year budget for 201</w:t>
      </w:r>
      <w:r>
        <w:t>4</w:t>
      </w:r>
      <w:r w:rsidRPr="00423FCC">
        <w:t>. If a</w:t>
      </w:r>
      <w:r>
        <w:t>n organisation</w:t>
      </w:r>
      <w:r w:rsidRPr="00423FCC">
        <w:t xml:space="preserve"> publishes a budget for 201</w:t>
      </w:r>
      <w:r>
        <w:t>4</w:t>
      </w:r>
      <w:r w:rsidRPr="00423FCC">
        <w:t xml:space="preserve"> and then </w:t>
      </w:r>
      <w:r w:rsidR="008D1C5E">
        <w:t>an aggregate</w:t>
      </w:r>
      <w:r w:rsidRPr="00423FCC">
        <w:t xml:space="preserve"> budget for 201</w:t>
      </w:r>
      <w:r>
        <w:t>5</w:t>
      </w:r>
      <w:r w:rsidRPr="00423FCC">
        <w:t>–201</w:t>
      </w:r>
      <w:r>
        <w:t>6</w:t>
      </w:r>
      <w:r w:rsidRPr="00423FCC">
        <w:t>, then the budget is considered to be two years forward looking. The scores are graduated as follows:</w:t>
      </w:r>
    </w:p>
    <w:p w:rsidR="00584B39" w:rsidRPr="00423FCC" w:rsidRDefault="00584B39" w:rsidP="00584B39">
      <w:pPr>
        <w:pStyle w:val="ListParagraph"/>
        <w:numPr>
          <w:ilvl w:val="1"/>
          <w:numId w:val="15"/>
        </w:numPr>
        <w:spacing w:after="0" w:line="240" w:lineRule="auto"/>
        <w:ind w:hanging="357"/>
      </w:pPr>
      <w:r w:rsidRPr="00423FCC">
        <w:t xml:space="preserve">PDF = 16.67 points </w:t>
      </w:r>
      <w:r>
        <w:t xml:space="preserve">* y/3 </w:t>
      </w:r>
      <w:r w:rsidRPr="00423FCC">
        <w:t>where y is the n</w:t>
      </w:r>
      <w:r>
        <w:t>umber</w:t>
      </w:r>
      <w:r w:rsidRPr="00423FCC">
        <w:t xml:space="preserve"> of years – up to a maximum of 3 years – for which forward</w:t>
      </w:r>
      <w:r>
        <w:t xml:space="preserve"> </w:t>
      </w:r>
      <w:r w:rsidRPr="00423FCC">
        <w:t>looking budget information is published</w:t>
      </w:r>
    </w:p>
    <w:p w:rsidR="00584B39" w:rsidRPr="00423FCC" w:rsidRDefault="00584B39" w:rsidP="00584B39">
      <w:pPr>
        <w:pStyle w:val="ListParagraph"/>
        <w:numPr>
          <w:ilvl w:val="1"/>
          <w:numId w:val="15"/>
        </w:numPr>
        <w:spacing w:after="0" w:line="240" w:lineRule="auto"/>
        <w:ind w:hanging="357"/>
      </w:pPr>
      <w:r w:rsidRPr="00423FCC">
        <w:t xml:space="preserve">Website = 33.33 points </w:t>
      </w:r>
      <w:r>
        <w:t>*</w:t>
      </w:r>
      <w:r w:rsidRPr="00423FCC">
        <w:t xml:space="preserve"> y/3 </w:t>
      </w:r>
    </w:p>
    <w:p w:rsidR="00584B39" w:rsidRPr="00423FCC" w:rsidRDefault="00584B39" w:rsidP="00584B39">
      <w:pPr>
        <w:pStyle w:val="ListParagraph"/>
        <w:numPr>
          <w:ilvl w:val="1"/>
          <w:numId w:val="15"/>
        </w:numPr>
        <w:spacing w:after="0" w:line="240" w:lineRule="auto"/>
        <w:ind w:hanging="357"/>
        <w:rPr>
          <w:lang w:val="fr-FR"/>
        </w:rPr>
      </w:pPr>
      <w:r w:rsidRPr="00423FCC">
        <w:rPr>
          <w:lang w:val="fr-FR"/>
        </w:rPr>
        <w:t xml:space="preserve">Machine-readable = 50.00 points </w:t>
      </w:r>
      <w:r>
        <w:rPr>
          <w:lang w:val="fr-FR"/>
        </w:rPr>
        <w:t>*</w:t>
      </w:r>
      <w:r w:rsidRPr="00423FCC">
        <w:rPr>
          <w:lang w:val="fr-FR"/>
        </w:rPr>
        <w:t xml:space="preserve"> y/3 </w:t>
      </w:r>
    </w:p>
    <w:p w:rsidR="00584B39" w:rsidRPr="00423FCC" w:rsidRDefault="00584B39" w:rsidP="00584B39">
      <w:pPr>
        <w:pStyle w:val="ListParagraph"/>
        <w:numPr>
          <w:ilvl w:val="1"/>
          <w:numId w:val="15"/>
        </w:numPr>
        <w:spacing w:after="0" w:line="240" w:lineRule="auto"/>
        <w:ind w:hanging="357"/>
      </w:pPr>
      <w:r w:rsidRPr="00423FCC">
        <w:t xml:space="preserve">IATI XML = 50–100 points depending on data quality and frequency </w:t>
      </w:r>
      <w:r>
        <w:t>*</w:t>
      </w:r>
      <w:r w:rsidRPr="00423FCC">
        <w:t xml:space="preserve"> y/3 </w:t>
      </w:r>
    </w:p>
    <w:p w:rsidR="00913ED9" w:rsidRDefault="00584B39" w:rsidP="00584B39">
      <w:pPr>
        <w:pStyle w:val="ListParagraph"/>
        <w:numPr>
          <w:ilvl w:val="1"/>
          <w:numId w:val="15"/>
        </w:numPr>
        <w:spacing w:after="0" w:line="240" w:lineRule="auto"/>
        <w:ind w:hanging="357"/>
      </w:pPr>
      <w:r w:rsidRPr="00423FCC">
        <w:t xml:space="preserve">Aggregate budgets of between 2–3 years </w:t>
      </w:r>
      <w:r w:rsidR="00B4239F">
        <w:t>are</w:t>
      </w:r>
      <w:r w:rsidRPr="00423FCC">
        <w:t xml:space="preserve"> scored the same as 1 year forward budgets</w:t>
      </w:r>
    </w:p>
    <w:p w:rsidR="0072445E" w:rsidRDefault="0072445E" w:rsidP="0072445E">
      <w:pPr>
        <w:spacing w:after="0" w:line="240" w:lineRule="auto"/>
      </w:pPr>
    </w:p>
    <w:p w:rsidR="009F49BC" w:rsidRDefault="009F49BC" w:rsidP="0072445E">
      <w:pPr>
        <w:spacing w:after="0" w:line="240" w:lineRule="auto"/>
      </w:pPr>
    </w:p>
    <w:p w:rsidR="00163163" w:rsidRDefault="00163163">
      <w:pPr>
        <w:rPr>
          <w:rFonts w:ascii="Cambria" w:eastAsia="Calibri" w:hAnsi="Cambria" w:cs="Times New Roman"/>
          <w:b/>
          <w:bCs/>
          <w:color w:val="4F81BD"/>
          <w:sz w:val="28"/>
          <w:szCs w:val="26"/>
        </w:rPr>
      </w:pPr>
      <w:r>
        <w:rPr>
          <w:rFonts w:ascii="Cambria" w:eastAsia="Calibri" w:hAnsi="Cambria" w:cs="Times New Roman"/>
          <w:i/>
          <w:iCs/>
          <w:color w:val="4F81BD"/>
          <w:sz w:val="28"/>
          <w:szCs w:val="26"/>
        </w:rPr>
        <w:br w:type="page"/>
      </w:r>
    </w:p>
    <w:p w:rsidR="0072445E" w:rsidRDefault="0072445E" w:rsidP="0072445E">
      <w:pPr>
        <w:pStyle w:val="Heading4"/>
        <w:spacing w:before="0" w:line="240" w:lineRule="auto"/>
        <w:contextualSpacing/>
        <w:rPr>
          <w:rFonts w:ascii="Cambria" w:eastAsia="Calibri" w:hAnsi="Cambria" w:cs="Times New Roman"/>
          <w:i w:val="0"/>
          <w:iCs w:val="0"/>
          <w:color w:val="4F81BD"/>
          <w:sz w:val="28"/>
          <w:szCs w:val="26"/>
        </w:rPr>
      </w:pPr>
      <w:r w:rsidRPr="008664FA">
        <w:rPr>
          <w:rFonts w:ascii="Cambria" w:eastAsia="Calibri" w:hAnsi="Cambria" w:cs="Times New Roman"/>
          <w:i w:val="0"/>
          <w:iCs w:val="0"/>
          <w:color w:val="4F81BD"/>
          <w:sz w:val="28"/>
          <w:szCs w:val="26"/>
        </w:rPr>
        <w:lastRenderedPageBreak/>
        <w:t>Changes in 2014</w:t>
      </w:r>
    </w:p>
    <w:p w:rsidR="0072445E" w:rsidRDefault="00AD6FCA" w:rsidP="00346F66">
      <w:pPr>
        <w:tabs>
          <w:tab w:val="left" w:pos="10990"/>
        </w:tabs>
        <w:spacing w:after="0" w:line="240" w:lineRule="auto"/>
        <w:rPr>
          <w:rFonts w:cstheme="minorHAnsi"/>
          <w:color w:val="000000"/>
        </w:rPr>
      </w:pPr>
      <w:r>
        <w:rPr>
          <w:rFonts w:cstheme="minorHAnsi"/>
          <w:color w:val="000000"/>
        </w:rPr>
        <w:tab/>
      </w:r>
    </w:p>
    <w:p w:rsidR="0072445E" w:rsidRPr="00652983" w:rsidRDefault="0072445E" w:rsidP="0072445E">
      <w:pPr>
        <w:spacing w:after="0" w:line="240" w:lineRule="auto"/>
        <w:rPr>
          <w:rFonts w:cstheme="minorHAnsi"/>
          <w:color w:val="000000"/>
        </w:rPr>
      </w:pPr>
      <w:r w:rsidRPr="00652983">
        <w:rPr>
          <w:rFonts w:cstheme="minorHAnsi"/>
          <w:color w:val="000000"/>
        </w:rPr>
        <w:t>In 2013, we piloted a new methodology to reflect the increasing importance of the format of published aid information. We have tried to keep the methodology as stable as possible in 2014. All 39 indicators used in the 2013 ATI have been retained in 2014. However, please note:</w:t>
      </w:r>
    </w:p>
    <w:p w:rsidR="0072445E" w:rsidRPr="008664FA" w:rsidRDefault="0072445E" w:rsidP="0072445E">
      <w:pPr>
        <w:pStyle w:val="ListParagraph"/>
        <w:numPr>
          <w:ilvl w:val="0"/>
          <w:numId w:val="23"/>
        </w:numPr>
        <w:spacing w:after="0" w:line="240" w:lineRule="auto"/>
        <w:rPr>
          <w:rFonts w:cstheme="minorHAnsi"/>
          <w:b/>
          <w:color w:val="000000"/>
        </w:rPr>
      </w:pPr>
      <w:r w:rsidRPr="008664FA">
        <w:rPr>
          <w:rFonts w:cstheme="minorHAnsi"/>
          <w:b/>
          <w:color w:val="000000"/>
        </w:rPr>
        <w:t xml:space="preserve">IATI XML data needs to be available via the IATI Registry for it to be counted as being published in the most accessible and comparable format. </w:t>
      </w:r>
      <w:r w:rsidRPr="008664FA">
        <w:rPr>
          <w:rFonts w:cstheme="minorHAnsi"/>
          <w:color w:val="000000"/>
        </w:rPr>
        <w:t xml:space="preserve">XML data that is not on the Registry </w:t>
      </w:r>
      <w:r w:rsidR="00C532EB">
        <w:rPr>
          <w:rFonts w:cstheme="minorHAnsi"/>
          <w:color w:val="000000"/>
        </w:rPr>
        <w:t>is</w:t>
      </w:r>
      <w:r w:rsidRPr="008664FA">
        <w:rPr>
          <w:rFonts w:cstheme="minorHAnsi"/>
          <w:color w:val="000000"/>
        </w:rPr>
        <w:t xml:space="preserve"> scored the same as other machine-readable data.</w:t>
      </w:r>
      <w:r w:rsidRPr="008664FA">
        <w:rPr>
          <w:rFonts w:cstheme="minorHAnsi"/>
          <w:b/>
          <w:color w:val="000000"/>
        </w:rPr>
        <w:t xml:space="preserve"> </w:t>
      </w:r>
    </w:p>
    <w:p w:rsidR="0072445E" w:rsidRPr="008664FA" w:rsidRDefault="0072445E" w:rsidP="0072445E">
      <w:pPr>
        <w:pStyle w:val="ListParagraph"/>
        <w:numPr>
          <w:ilvl w:val="0"/>
          <w:numId w:val="23"/>
        </w:numPr>
        <w:spacing w:after="0" w:line="240" w:lineRule="auto"/>
        <w:rPr>
          <w:rFonts w:cstheme="minorHAnsi"/>
          <w:b/>
          <w:color w:val="000000"/>
        </w:rPr>
      </w:pPr>
      <w:r w:rsidRPr="008664FA">
        <w:rPr>
          <w:rFonts w:cstheme="minorHAnsi"/>
          <w:b/>
          <w:color w:val="000000"/>
        </w:rPr>
        <w:t xml:space="preserve">Documents </w:t>
      </w:r>
      <w:r w:rsidR="00C532EB">
        <w:rPr>
          <w:rFonts w:cstheme="minorHAnsi"/>
          <w:b/>
          <w:color w:val="000000"/>
        </w:rPr>
        <w:t xml:space="preserve">are </w:t>
      </w:r>
      <w:r w:rsidRPr="008664FA">
        <w:rPr>
          <w:rFonts w:cstheme="minorHAnsi"/>
          <w:b/>
          <w:color w:val="000000"/>
        </w:rPr>
        <w:t xml:space="preserve">sampled and checked more closely in 2014 to verify that they contain the information outlined in the </w:t>
      </w:r>
      <w:r w:rsidRPr="008664FA">
        <w:rPr>
          <w:rFonts w:cstheme="minorHAnsi"/>
          <w:b/>
        </w:rPr>
        <w:t>indicator guidelines</w:t>
      </w:r>
      <w:r w:rsidRPr="008664FA">
        <w:rPr>
          <w:rFonts w:cstheme="minorHAnsi"/>
          <w:b/>
          <w:color w:val="000000"/>
        </w:rPr>
        <w:t xml:space="preserve">. </w:t>
      </w:r>
      <w:r w:rsidRPr="008664FA">
        <w:rPr>
          <w:rFonts w:cstheme="minorHAnsi"/>
          <w:color w:val="000000"/>
        </w:rPr>
        <w:t xml:space="preserve">Data on results, conditions and sub-national location published to the IATI Registry </w:t>
      </w:r>
      <w:r w:rsidR="004D26E4">
        <w:rPr>
          <w:rFonts w:cstheme="minorHAnsi"/>
          <w:color w:val="000000"/>
        </w:rPr>
        <w:t>is</w:t>
      </w:r>
      <w:r w:rsidR="004D26E4" w:rsidRPr="008664FA">
        <w:rPr>
          <w:rFonts w:cstheme="minorHAnsi"/>
          <w:color w:val="000000"/>
        </w:rPr>
        <w:t xml:space="preserve"> </w:t>
      </w:r>
      <w:r w:rsidRPr="008664FA">
        <w:rPr>
          <w:rFonts w:cstheme="minorHAnsi"/>
          <w:color w:val="000000"/>
        </w:rPr>
        <w:t>also sampled and manually checked.</w:t>
      </w:r>
    </w:p>
    <w:p w:rsidR="0072445E" w:rsidRPr="008664FA" w:rsidRDefault="0072445E" w:rsidP="0072445E">
      <w:pPr>
        <w:pStyle w:val="ListParagraph"/>
        <w:numPr>
          <w:ilvl w:val="0"/>
          <w:numId w:val="23"/>
        </w:numPr>
        <w:spacing w:after="0" w:line="240" w:lineRule="auto"/>
        <w:rPr>
          <w:rFonts w:cstheme="minorHAnsi"/>
          <w:b/>
          <w:color w:val="000000"/>
        </w:rPr>
      </w:pPr>
      <w:r w:rsidRPr="008664FA">
        <w:rPr>
          <w:b/>
        </w:rPr>
        <w:t xml:space="preserve">Frequency of publication for IATI publishers </w:t>
      </w:r>
      <w:r w:rsidR="00C532EB">
        <w:rPr>
          <w:b/>
        </w:rPr>
        <w:t>is</w:t>
      </w:r>
      <w:r w:rsidRPr="008664FA">
        <w:rPr>
          <w:b/>
        </w:rPr>
        <w:t xml:space="preserve"> further </w:t>
      </w:r>
      <w:r w:rsidR="00C532EB">
        <w:rPr>
          <w:b/>
        </w:rPr>
        <w:t>graduated</w:t>
      </w:r>
      <w:r w:rsidRPr="008664FA">
        <w:rPr>
          <w:b/>
        </w:rPr>
        <w:t>, differentiating slightly between monthly, quarterly and less than quarterly publication</w:t>
      </w:r>
      <w:r w:rsidRPr="008664FA">
        <w:t xml:space="preserve">. In 2014, publishing monthly allows an organisation to achieve the maximum score of 100 points; publishing quarterly up to 95 points; and publishing less than quarterly up to 75 points. In 2013, frequency </w:t>
      </w:r>
      <w:r w:rsidR="00C532EB">
        <w:t>was graduated</w:t>
      </w:r>
      <w:r w:rsidRPr="008664FA">
        <w:t xml:space="preserve"> between quarterly and less than quarterly.</w:t>
      </w:r>
      <w:r w:rsidR="00345D43">
        <w:rPr>
          <w:b/>
        </w:rPr>
        <w:t xml:space="preserve"> </w:t>
      </w:r>
      <w:r w:rsidRPr="008664FA">
        <w:rPr>
          <w:b/>
        </w:rPr>
        <w:t xml:space="preserve"> </w:t>
      </w:r>
    </w:p>
    <w:p w:rsidR="00B66222" w:rsidRPr="00EE591F" w:rsidRDefault="00B66222" w:rsidP="00B66222">
      <w:pPr>
        <w:pStyle w:val="ListParagraph"/>
        <w:numPr>
          <w:ilvl w:val="0"/>
          <w:numId w:val="23"/>
        </w:numPr>
        <w:spacing w:line="240" w:lineRule="auto"/>
        <w:rPr>
          <w:rFonts w:cstheme="minorHAnsi"/>
          <w:color w:val="000000"/>
        </w:rPr>
      </w:pPr>
      <w:r w:rsidRPr="00B66222">
        <w:rPr>
          <w:rFonts w:cstheme="minorHAnsi"/>
          <w:b/>
          <w:color w:val="000000"/>
        </w:rPr>
        <w:t>Indicator 33 (budget) is more rigorously measured in 2014 for IATI publishers</w:t>
      </w:r>
      <w:r w:rsidRPr="00EE591F">
        <w:rPr>
          <w:rFonts w:cstheme="minorHAnsi"/>
          <w:color w:val="000000"/>
        </w:rPr>
        <w:t xml:space="preserve"> (information published to IATI is scored higher than information published in other formats). Providing </w:t>
      </w:r>
      <w:r w:rsidR="00F14CAE">
        <w:rPr>
          <w:rFonts w:cstheme="minorHAnsi"/>
          <w:color w:val="000000"/>
        </w:rPr>
        <w:t xml:space="preserve">annual </w:t>
      </w:r>
      <w:r w:rsidRPr="00EE591F">
        <w:rPr>
          <w:rFonts w:cstheme="minorHAnsi"/>
          <w:color w:val="000000"/>
        </w:rPr>
        <w:t>forward budgets allow</w:t>
      </w:r>
      <w:r w:rsidR="00C532EB">
        <w:rPr>
          <w:rFonts w:cstheme="minorHAnsi"/>
          <w:color w:val="000000"/>
        </w:rPr>
        <w:t>s</w:t>
      </w:r>
      <w:r w:rsidRPr="00EE591F">
        <w:rPr>
          <w:rFonts w:cstheme="minorHAnsi"/>
          <w:color w:val="000000"/>
        </w:rPr>
        <w:t xml:space="preserve"> an IATI publisher to score up to half the total available data quality points, while </w:t>
      </w:r>
      <w:r w:rsidR="00C532EB">
        <w:rPr>
          <w:rFonts w:cstheme="minorHAnsi"/>
          <w:color w:val="000000"/>
        </w:rPr>
        <w:t xml:space="preserve">providing quarterly budgets </w:t>
      </w:r>
      <w:r w:rsidRPr="00EE591F">
        <w:rPr>
          <w:rFonts w:cstheme="minorHAnsi"/>
          <w:color w:val="000000"/>
        </w:rPr>
        <w:t>enable</w:t>
      </w:r>
      <w:r w:rsidR="00C532EB">
        <w:rPr>
          <w:rFonts w:cstheme="minorHAnsi"/>
          <w:color w:val="000000"/>
        </w:rPr>
        <w:t>s</w:t>
      </w:r>
      <w:r w:rsidRPr="00EE591F">
        <w:rPr>
          <w:rFonts w:cstheme="minorHAnsi"/>
          <w:color w:val="000000"/>
        </w:rPr>
        <w:t xml:space="preserve"> them to score the remaining half.</w:t>
      </w:r>
    </w:p>
    <w:p w:rsidR="0072445E" w:rsidRPr="008664FA" w:rsidRDefault="006D2A64" w:rsidP="0072445E">
      <w:pPr>
        <w:pStyle w:val="ListParagraph"/>
        <w:numPr>
          <w:ilvl w:val="0"/>
          <w:numId w:val="23"/>
        </w:numPr>
        <w:spacing w:after="0" w:line="240" w:lineRule="auto"/>
        <w:rPr>
          <w:rFonts w:cstheme="minorHAnsi"/>
          <w:b/>
          <w:color w:val="000000"/>
        </w:rPr>
      </w:pPr>
      <w:r w:rsidRPr="006D2A64">
        <w:rPr>
          <w:rFonts w:cstheme="minorHAnsi"/>
          <w:b/>
          <w:color w:val="000000"/>
        </w:rPr>
        <w:t>S</w:t>
      </w:r>
      <w:r w:rsidR="0072445E" w:rsidRPr="008664FA">
        <w:rPr>
          <w:rFonts w:cstheme="minorHAnsi"/>
          <w:b/>
          <w:color w:val="000000"/>
        </w:rPr>
        <w:t xml:space="preserve">ome of the </w:t>
      </w:r>
      <w:r w:rsidR="0072445E" w:rsidRPr="008664FA">
        <w:rPr>
          <w:rFonts w:cstheme="minorHAnsi"/>
          <w:b/>
        </w:rPr>
        <w:t>data quality tests</w:t>
      </w:r>
      <w:r w:rsidR="0072445E" w:rsidRPr="008664FA">
        <w:rPr>
          <w:rFonts w:cstheme="minorHAnsi"/>
          <w:b/>
          <w:color w:val="000000"/>
        </w:rPr>
        <w:t xml:space="preserve"> have been tightened up to improve the quality of the automated assessment of IATI data. </w:t>
      </w:r>
    </w:p>
    <w:p w:rsidR="0072445E" w:rsidRDefault="0072445E" w:rsidP="0072445E">
      <w:pPr>
        <w:spacing w:after="0" w:line="240" w:lineRule="auto"/>
        <w:rPr>
          <w:rFonts w:cstheme="minorHAnsi"/>
          <w:color w:val="000000"/>
        </w:rPr>
      </w:pPr>
    </w:p>
    <w:p w:rsidR="0072445E" w:rsidRPr="0072445E" w:rsidRDefault="0072445E" w:rsidP="0072445E">
      <w:pPr>
        <w:spacing w:after="0" w:line="240" w:lineRule="auto"/>
        <w:rPr>
          <w:rFonts w:ascii="Cambria" w:eastAsiaTheme="majorEastAsia" w:hAnsi="Cambria" w:cstheme="majorBidi"/>
          <w:b/>
          <w:bCs/>
          <w:iCs/>
          <w:color w:val="4F81BD" w:themeColor="accent1"/>
        </w:rPr>
      </w:pPr>
      <w:r w:rsidRPr="0072445E">
        <w:rPr>
          <w:rFonts w:ascii="Cambria" w:eastAsiaTheme="majorEastAsia" w:hAnsi="Cambria" w:cstheme="majorBidi"/>
          <w:b/>
          <w:bCs/>
          <w:iCs/>
          <w:color w:val="4F81BD" w:themeColor="accent1"/>
        </w:rPr>
        <w:t>IATI XML vs IATI Registry</w:t>
      </w:r>
    </w:p>
    <w:p w:rsidR="00312F5C" w:rsidRDefault="0072445E" w:rsidP="0072445E">
      <w:pPr>
        <w:spacing w:after="0" w:line="240" w:lineRule="auto"/>
      </w:pPr>
      <w:r w:rsidRPr="0072445E">
        <w:rPr>
          <w:rFonts w:eastAsia="Times New Roman"/>
        </w:rPr>
        <w:t xml:space="preserve">Only data linked to the IATI Registry </w:t>
      </w:r>
      <w:r w:rsidR="00C532EB">
        <w:rPr>
          <w:rFonts w:eastAsia="Times New Roman"/>
        </w:rPr>
        <w:t>is taken</w:t>
      </w:r>
      <w:r w:rsidRPr="0072445E">
        <w:rPr>
          <w:rFonts w:eastAsia="Times New Roman"/>
        </w:rPr>
        <w:t xml:space="preserve"> into account in 2014 in recognition that it is easier to locate and use than data published in lots of different locations. </w:t>
      </w:r>
      <w:r w:rsidR="00312F5C">
        <w:t xml:space="preserve">This </w:t>
      </w:r>
      <w:r w:rsidR="00312F5C" w:rsidRPr="00423FCC">
        <w:t xml:space="preserve">criterion </w:t>
      </w:r>
      <w:r w:rsidR="00312F5C">
        <w:t>recognises</w:t>
      </w:r>
      <w:r w:rsidR="00312F5C" w:rsidRPr="00423FCC">
        <w:t xml:space="preserve"> that the discoverability of IATI data, and the fact that it is accessible through a machine-readable list of the locations of the files from different publishers, is an important aspect of the accessibility of IATI data (in addition to the structure of the files themselves). </w:t>
      </w:r>
      <w:r w:rsidR="00312F5C" w:rsidRPr="00807CCC">
        <w:t xml:space="preserve">IATI XML data that is not on the Registry </w:t>
      </w:r>
      <w:r w:rsidR="00C532EB">
        <w:t>is</w:t>
      </w:r>
      <w:r w:rsidR="00312F5C" w:rsidRPr="00807CCC">
        <w:t xml:space="preserve"> scored the same as other machine-readable data.</w:t>
      </w:r>
      <w:r w:rsidR="00312F5C">
        <w:t xml:space="preserve"> </w:t>
      </w:r>
    </w:p>
    <w:p w:rsidR="0072445E" w:rsidRDefault="0072445E" w:rsidP="0072445E">
      <w:pPr>
        <w:spacing w:after="0" w:line="240" w:lineRule="auto"/>
        <w:rPr>
          <w:rFonts w:cstheme="minorHAnsi"/>
          <w:color w:val="000000"/>
        </w:rPr>
      </w:pPr>
    </w:p>
    <w:p w:rsidR="0072445E" w:rsidRPr="0072445E" w:rsidRDefault="0072445E" w:rsidP="0072445E">
      <w:pPr>
        <w:spacing w:after="0" w:line="240" w:lineRule="auto"/>
        <w:rPr>
          <w:rFonts w:ascii="Cambria" w:eastAsiaTheme="majorEastAsia" w:hAnsi="Cambria" w:cstheme="majorBidi"/>
          <w:b/>
          <w:bCs/>
          <w:iCs/>
          <w:color w:val="4F81BD" w:themeColor="accent1"/>
        </w:rPr>
      </w:pPr>
      <w:r w:rsidRPr="0072445E">
        <w:rPr>
          <w:rFonts w:ascii="Cambria" w:eastAsiaTheme="majorEastAsia" w:hAnsi="Cambria" w:cstheme="majorBidi"/>
          <w:b/>
          <w:bCs/>
          <w:iCs/>
          <w:color w:val="4F81BD" w:themeColor="accent1"/>
        </w:rPr>
        <w:t>Sampling documents</w:t>
      </w:r>
    </w:p>
    <w:p w:rsidR="0072445E" w:rsidRPr="00E01634" w:rsidRDefault="0072445E" w:rsidP="0072445E">
      <w:pPr>
        <w:spacing w:after="0" w:line="240" w:lineRule="auto"/>
      </w:pPr>
      <w:r>
        <w:t>A total of 14</w:t>
      </w:r>
      <w:r w:rsidRPr="00424B4A">
        <w:t xml:space="preserve"> indicators </w:t>
      </w:r>
      <w:r>
        <w:t>refer</w:t>
      </w:r>
      <w:r w:rsidRPr="00424B4A">
        <w:t xml:space="preserve"> to documents</w:t>
      </w:r>
      <w:r>
        <w:t xml:space="preserve">. In 2013, documents that were published via links in organisations’ IATI XML files were assessed via a series of automated tests. For documents published to other sources, such as organisations’ own websites, sampling was conducted by selecting documents for a minimum of five activities, with all five needing to meet the required criteria to score for the indicator. In 2014, </w:t>
      </w:r>
      <w:r w:rsidR="00373CD4">
        <w:t xml:space="preserve">for each test, </w:t>
      </w:r>
      <w:r>
        <w:t xml:space="preserve">10 documents </w:t>
      </w:r>
      <w:r w:rsidR="009A1B54">
        <w:t>are</w:t>
      </w:r>
      <w:r>
        <w:t xml:space="preserve"> randomly sampled from organisations’ IATI files and manually checked to verify that they contain the required information, with a minimum of five documents needing to meet the criteria for the indicator. Data published to the IATI Registry on results, sub-national location and conditions </w:t>
      </w:r>
      <w:r w:rsidR="009A1B54">
        <w:t>is also</w:t>
      </w:r>
      <w:r>
        <w:t xml:space="preserve"> sampled and manually checked to ensure it meets the criteria for those indicators. </w:t>
      </w:r>
      <w:r w:rsidR="008664FA">
        <w:t xml:space="preserve">The approach for data published to sources other </w:t>
      </w:r>
      <w:r w:rsidR="008664FA" w:rsidRPr="008664FA">
        <w:t xml:space="preserve">than the IATI Registry </w:t>
      </w:r>
      <w:r w:rsidR="009A1B54">
        <w:t>is</w:t>
      </w:r>
      <w:r w:rsidR="008664FA" w:rsidRPr="008664FA">
        <w:t xml:space="preserve"> the same (see “</w:t>
      </w:r>
      <w:r w:rsidR="008664FA">
        <w:t>g</w:t>
      </w:r>
      <w:r w:rsidR="008664FA" w:rsidRPr="008664FA">
        <w:t>eneral scoring guidelines” section above).</w:t>
      </w:r>
    </w:p>
    <w:p w:rsidR="0072445E" w:rsidRDefault="0072445E" w:rsidP="0072445E">
      <w:pPr>
        <w:pStyle w:val="ListParagraph"/>
        <w:spacing w:after="0" w:line="240" w:lineRule="auto"/>
        <w:rPr>
          <w:rFonts w:cstheme="minorHAnsi"/>
          <w:b/>
          <w:color w:val="000000"/>
        </w:rPr>
      </w:pPr>
    </w:p>
    <w:p w:rsidR="0072445E" w:rsidRPr="0072445E" w:rsidRDefault="0072445E" w:rsidP="0072445E">
      <w:pPr>
        <w:spacing w:after="0" w:line="240" w:lineRule="auto"/>
        <w:rPr>
          <w:rFonts w:ascii="Cambria" w:eastAsiaTheme="majorEastAsia" w:hAnsi="Cambria" w:cstheme="majorBidi"/>
          <w:b/>
          <w:bCs/>
          <w:iCs/>
          <w:color w:val="4F81BD" w:themeColor="accent1"/>
        </w:rPr>
      </w:pPr>
      <w:r w:rsidRPr="0072445E">
        <w:rPr>
          <w:rFonts w:ascii="Cambria" w:eastAsiaTheme="majorEastAsia" w:hAnsi="Cambria" w:cstheme="majorBidi"/>
          <w:b/>
          <w:bCs/>
          <w:iCs/>
          <w:color w:val="4F81BD" w:themeColor="accent1"/>
        </w:rPr>
        <w:t>Publication frequency</w:t>
      </w:r>
    </w:p>
    <w:p w:rsidR="006D2A64" w:rsidRDefault="0072445E" w:rsidP="0072445E">
      <w:pPr>
        <w:spacing w:after="0" w:line="240" w:lineRule="auto"/>
      </w:pPr>
      <w:r w:rsidRPr="006D2A64">
        <w:rPr>
          <w:rFonts w:cstheme="minorHAnsi"/>
          <w:color w:val="000000"/>
        </w:rPr>
        <w:t xml:space="preserve">In 2014, a more nuanced </w:t>
      </w:r>
      <w:r w:rsidR="008664FA" w:rsidRPr="006D2A64">
        <w:rPr>
          <w:rFonts w:cstheme="minorHAnsi"/>
          <w:color w:val="000000"/>
        </w:rPr>
        <w:t xml:space="preserve">scoring </w:t>
      </w:r>
      <w:r w:rsidRPr="006D2A64">
        <w:rPr>
          <w:rFonts w:cstheme="minorHAnsi"/>
          <w:color w:val="000000"/>
        </w:rPr>
        <w:t>approach to frequency</w:t>
      </w:r>
      <w:r w:rsidR="008664FA" w:rsidRPr="006D2A64">
        <w:rPr>
          <w:rFonts w:cstheme="minorHAnsi"/>
          <w:color w:val="000000"/>
        </w:rPr>
        <w:t xml:space="preserve"> </w:t>
      </w:r>
      <w:r w:rsidR="009A1B54">
        <w:rPr>
          <w:rFonts w:cstheme="minorHAnsi"/>
          <w:color w:val="000000"/>
        </w:rPr>
        <w:t>is</w:t>
      </w:r>
      <w:r w:rsidR="008664FA" w:rsidRPr="006D2A64">
        <w:rPr>
          <w:rFonts w:cstheme="minorHAnsi"/>
          <w:color w:val="000000"/>
        </w:rPr>
        <w:t xml:space="preserve"> used</w:t>
      </w:r>
      <w:r w:rsidR="006D2A64">
        <w:rPr>
          <w:rFonts w:cstheme="minorHAnsi"/>
          <w:color w:val="000000"/>
        </w:rPr>
        <w:t xml:space="preserve"> to</w:t>
      </w:r>
      <w:r w:rsidRPr="006D2A64">
        <w:rPr>
          <w:rFonts w:cstheme="minorHAnsi"/>
          <w:color w:val="000000"/>
        </w:rPr>
        <w:t xml:space="preserve"> monitor if donors are publishing monthly, quarterly or less frequently,</w:t>
      </w:r>
      <w:r w:rsidRPr="0072445E">
        <w:rPr>
          <w:rFonts w:cstheme="minorHAnsi"/>
          <w:color w:val="000000"/>
        </w:rPr>
        <w:t xml:space="preserve"> in line with the Common Standard commitment and partner countries request for data at a minimum on a quarterly basis. This change has been made based on Publish What You Fund’s </w:t>
      </w:r>
      <w:r w:rsidRPr="00FC0BC5">
        <w:rPr>
          <w:rFonts w:cstheme="minorHAnsi"/>
        </w:rPr>
        <w:t>public consultation</w:t>
      </w:r>
      <w:r w:rsidRPr="0072445E">
        <w:rPr>
          <w:rFonts w:cstheme="minorHAnsi"/>
          <w:color w:val="000000"/>
        </w:rPr>
        <w:t xml:space="preserve"> on the </w:t>
      </w:r>
      <w:r w:rsidR="006D2A64">
        <w:rPr>
          <w:rFonts w:cstheme="minorHAnsi"/>
          <w:color w:val="000000"/>
        </w:rPr>
        <w:t>Index</w:t>
      </w:r>
      <w:r w:rsidRPr="0072445E">
        <w:rPr>
          <w:rFonts w:cstheme="minorHAnsi"/>
          <w:color w:val="000000"/>
        </w:rPr>
        <w:t xml:space="preserve"> data quality tests and based on the findings of a recent </w:t>
      </w:r>
      <w:r w:rsidRPr="00FC0BC5">
        <w:rPr>
          <w:rFonts w:cstheme="minorHAnsi"/>
        </w:rPr>
        <w:t>survey</w:t>
      </w:r>
      <w:r w:rsidRPr="0072445E">
        <w:rPr>
          <w:rFonts w:cstheme="minorHAnsi"/>
          <w:color w:val="000000"/>
        </w:rPr>
        <w:t xml:space="preserve"> of the needs of Aid Information Management Systems (AIMS) used in </w:t>
      </w:r>
      <w:r w:rsidRPr="0072445E">
        <w:rPr>
          <w:rFonts w:cstheme="minorHAnsi"/>
          <w:color w:val="000000"/>
        </w:rPr>
        <w:lastRenderedPageBreak/>
        <w:t>partner countries.</w:t>
      </w:r>
      <w:r w:rsidR="00FC0BC5">
        <w:rPr>
          <w:rStyle w:val="FootnoteReference"/>
          <w:color w:val="000000"/>
        </w:rPr>
        <w:footnoteReference w:id="10"/>
      </w:r>
      <w:r w:rsidRPr="0072445E">
        <w:rPr>
          <w:rFonts w:cstheme="minorHAnsi"/>
          <w:color w:val="000000"/>
        </w:rPr>
        <w:t xml:space="preserve"> Only IATI data is scored on frequency. Un</w:t>
      </w:r>
      <w:r>
        <w:t>fortunately, it is not possible to take into account frequency of publication for data published in other formats because the informat</w:t>
      </w:r>
      <w:r w:rsidR="00312F5C">
        <w:t>ion is not always time-stamped.</w:t>
      </w:r>
    </w:p>
    <w:p w:rsidR="006D2A64" w:rsidRDefault="006D2A64" w:rsidP="0072445E">
      <w:pPr>
        <w:spacing w:after="0" w:line="240" w:lineRule="auto"/>
      </w:pPr>
    </w:p>
    <w:p w:rsidR="0072445E" w:rsidRPr="0072445E" w:rsidRDefault="0072445E" w:rsidP="0072445E">
      <w:pPr>
        <w:spacing w:after="0" w:line="240" w:lineRule="auto"/>
        <w:rPr>
          <w:rFonts w:ascii="Cambria" w:eastAsiaTheme="majorEastAsia" w:hAnsi="Cambria" w:cstheme="majorBidi"/>
          <w:b/>
          <w:bCs/>
          <w:iCs/>
          <w:color w:val="4F81BD" w:themeColor="accent1"/>
        </w:rPr>
      </w:pPr>
      <w:r w:rsidRPr="0072445E">
        <w:rPr>
          <w:rFonts w:ascii="Cambria" w:eastAsiaTheme="majorEastAsia" w:hAnsi="Cambria" w:cstheme="majorBidi"/>
          <w:b/>
          <w:bCs/>
          <w:iCs/>
          <w:color w:val="4F81BD" w:themeColor="accent1"/>
        </w:rPr>
        <w:t>Activity budgets</w:t>
      </w:r>
    </w:p>
    <w:p w:rsidR="00AD6FCA" w:rsidRDefault="0072445E" w:rsidP="0072445E">
      <w:pPr>
        <w:spacing w:after="0" w:line="240" w:lineRule="auto"/>
        <w:rPr>
          <w:rFonts w:cstheme="minorHAnsi"/>
          <w:color w:val="000000"/>
        </w:rPr>
      </w:pPr>
      <w:r>
        <w:rPr>
          <w:rFonts w:cstheme="minorHAnsi"/>
          <w:color w:val="000000"/>
        </w:rPr>
        <w:t xml:space="preserve">This </w:t>
      </w:r>
      <w:r w:rsidR="008664FA">
        <w:rPr>
          <w:rFonts w:cstheme="minorHAnsi"/>
          <w:color w:val="000000"/>
        </w:rPr>
        <w:t>change has been made</w:t>
      </w:r>
      <w:r>
        <w:rPr>
          <w:rFonts w:cstheme="minorHAnsi"/>
          <w:color w:val="000000"/>
        </w:rPr>
        <w:t xml:space="preserve"> based on partner country feedback on the recent </w:t>
      </w:r>
      <w:r w:rsidRPr="008664FA">
        <w:rPr>
          <w:rFonts w:cstheme="minorHAnsi"/>
        </w:rPr>
        <w:t xml:space="preserve">country </w:t>
      </w:r>
      <w:r w:rsidR="008664FA">
        <w:rPr>
          <w:rFonts w:cstheme="minorHAnsi"/>
        </w:rPr>
        <w:t>A</w:t>
      </w:r>
      <w:r w:rsidRPr="008664FA">
        <w:rPr>
          <w:rFonts w:cstheme="minorHAnsi"/>
        </w:rPr>
        <w:t>IMS survey</w:t>
      </w:r>
      <w:r>
        <w:rPr>
          <w:rFonts w:cstheme="minorHAnsi"/>
          <w:color w:val="000000"/>
        </w:rPr>
        <w:t>, conducted by IATI, which emphasised the need for forward-looking data that is broken down by quarter for planning purposes. In 2013, information on planned expenditures needed to be broken down by year in order to score for the indicator; the additional requirement in 2014 is to provide a breakdown by quarter for the first year ahead (i.e. until 31</w:t>
      </w:r>
      <w:r w:rsidRPr="00A728F9">
        <w:rPr>
          <w:rFonts w:cstheme="minorHAnsi"/>
          <w:color w:val="000000"/>
          <w:vertAlign w:val="superscript"/>
        </w:rPr>
        <w:t>st</w:t>
      </w:r>
      <w:r>
        <w:rPr>
          <w:rFonts w:cstheme="minorHAnsi"/>
          <w:color w:val="000000"/>
        </w:rPr>
        <w:t xml:space="preserve"> December 2014)</w:t>
      </w:r>
      <w:r w:rsidR="009A1B54">
        <w:rPr>
          <w:rFonts w:cstheme="minorHAnsi"/>
          <w:color w:val="000000"/>
        </w:rPr>
        <w:t>.</w:t>
      </w:r>
    </w:p>
    <w:p w:rsidR="006A1357" w:rsidRDefault="006A1357" w:rsidP="0072445E">
      <w:pPr>
        <w:spacing w:after="0" w:line="240" w:lineRule="auto"/>
        <w:rPr>
          <w:rFonts w:ascii="Cambria" w:eastAsiaTheme="majorEastAsia" w:hAnsi="Cambria" w:cstheme="majorBidi"/>
          <w:b/>
          <w:bCs/>
          <w:iCs/>
          <w:color w:val="4F81BD" w:themeColor="accent1"/>
        </w:rPr>
      </w:pPr>
    </w:p>
    <w:p w:rsidR="006D2A64" w:rsidRPr="006D2A64" w:rsidRDefault="006D2A64" w:rsidP="0072445E">
      <w:pPr>
        <w:spacing w:after="0" w:line="240" w:lineRule="auto"/>
        <w:rPr>
          <w:rFonts w:ascii="Cambria" w:eastAsiaTheme="majorEastAsia" w:hAnsi="Cambria" w:cstheme="majorBidi"/>
          <w:b/>
          <w:bCs/>
          <w:iCs/>
          <w:color w:val="4F81BD" w:themeColor="accent1"/>
        </w:rPr>
      </w:pPr>
      <w:r w:rsidRPr="006D2A64">
        <w:rPr>
          <w:rFonts w:ascii="Cambria" w:eastAsiaTheme="majorEastAsia" w:hAnsi="Cambria" w:cstheme="majorBidi"/>
          <w:b/>
          <w:bCs/>
          <w:iCs/>
          <w:color w:val="4F81BD" w:themeColor="accent1"/>
        </w:rPr>
        <w:t>Data quality tests</w:t>
      </w:r>
    </w:p>
    <w:p w:rsidR="006D2A64" w:rsidRPr="00FC6CA4" w:rsidRDefault="006D2A64" w:rsidP="0072445E">
      <w:pPr>
        <w:spacing w:after="0" w:line="240" w:lineRule="auto"/>
        <w:rPr>
          <w:rFonts w:cstheme="minorHAnsi"/>
          <w:color w:val="000000"/>
        </w:rPr>
      </w:pPr>
      <w:r w:rsidRPr="00611778">
        <w:rPr>
          <w:rFonts w:ascii="Calibri" w:eastAsia="Times New Roman" w:hAnsi="Calibri" w:cs="Times New Roman"/>
        </w:rPr>
        <w:t xml:space="preserve">Technical reviewers and donors were asked to provide feedback on the tests before and during the data collection process in 2013. </w:t>
      </w:r>
      <w:r>
        <w:rPr>
          <w:rFonts w:ascii="Calibri" w:eastAsia="Times New Roman" w:hAnsi="Calibri" w:cs="Times New Roman"/>
        </w:rPr>
        <w:t xml:space="preserve">In addition, a </w:t>
      </w:r>
      <w:r w:rsidRPr="00611778">
        <w:rPr>
          <w:rFonts w:cstheme="minorHAnsi"/>
        </w:rPr>
        <w:t>public consultation</w:t>
      </w:r>
      <w:r w:rsidRPr="00611778">
        <w:rPr>
          <w:rFonts w:cstheme="minorHAnsi"/>
          <w:color w:val="000000"/>
        </w:rPr>
        <w:t xml:space="preserve"> </w:t>
      </w:r>
      <w:r>
        <w:rPr>
          <w:rFonts w:cstheme="minorHAnsi"/>
          <w:color w:val="000000"/>
        </w:rPr>
        <w:t xml:space="preserve">was </w:t>
      </w:r>
      <w:r w:rsidRPr="00611778">
        <w:rPr>
          <w:rFonts w:cstheme="minorHAnsi"/>
          <w:color w:val="000000"/>
        </w:rPr>
        <w:t>held in January-February 2014</w:t>
      </w:r>
      <w:r>
        <w:rPr>
          <w:rFonts w:cstheme="minorHAnsi"/>
          <w:color w:val="000000"/>
        </w:rPr>
        <w:t>.</w:t>
      </w:r>
      <w:r w:rsidRPr="00611778">
        <w:rPr>
          <w:rFonts w:cstheme="minorHAnsi"/>
          <w:color w:val="000000"/>
        </w:rPr>
        <w:t xml:space="preserve"> Based on </w:t>
      </w:r>
      <w:r>
        <w:rPr>
          <w:rFonts w:cstheme="minorHAnsi"/>
          <w:color w:val="000000"/>
        </w:rPr>
        <w:t xml:space="preserve">the </w:t>
      </w:r>
      <w:r w:rsidRPr="00611778">
        <w:rPr>
          <w:rFonts w:cstheme="minorHAnsi"/>
          <w:color w:val="000000"/>
        </w:rPr>
        <w:t xml:space="preserve">feedback </w:t>
      </w:r>
      <w:r>
        <w:rPr>
          <w:rFonts w:cstheme="minorHAnsi"/>
          <w:color w:val="000000"/>
        </w:rPr>
        <w:t>received</w:t>
      </w:r>
      <w:r w:rsidRPr="00611778">
        <w:rPr>
          <w:rFonts w:cstheme="minorHAnsi"/>
          <w:color w:val="000000"/>
        </w:rPr>
        <w:t xml:space="preserve">, some of the </w:t>
      </w:r>
      <w:r w:rsidRPr="00611778">
        <w:rPr>
          <w:rFonts w:cstheme="minorHAnsi"/>
        </w:rPr>
        <w:t>data quality tests</w:t>
      </w:r>
      <w:r w:rsidRPr="00611778">
        <w:rPr>
          <w:rFonts w:cstheme="minorHAnsi"/>
          <w:color w:val="000000"/>
        </w:rPr>
        <w:t xml:space="preserve"> have been tightened up to improve the quality of the auto</w:t>
      </w:r>
      <w:r w:rsidRPr="00FA226B">
        <w:rPr>
          <w:rFonts w:cstheme="minorHAnsi"/>
          <w:color w:val="000000"/>
        </w:rPr>
        <w:t>mated assessment of IATI data.</w:t>
      </w:r>
      <w:r w:rsidRPr="00FA226B">
        <w:t xml:space="preserve"> </w:t>
      </w:r>
      <w:r w:rsidR="00312F5C">
        <w:t>For more on the data quality tests see directly below and annex 2.</w:t>
      </w:r>
    </w:p>
    <w:p w:rsidR="0072445E" w:rsidRPr="00423FCC" w:rsidRDefault="0072445E" w:rsidP="0072445E">
      <w:pPr>
        <w:spacing w:after="0" w:line="240" w:lineRule="auto"/>
      </w:pPr>
    </w:p>
    <w:p w:rsidR="009F2D0F" w:rsidRPr="007D68FE" w:rsidRDefault="009F2D0F" w:rsidP="00935A49">
      <w:pPr>
        <w:pStyle w:val="Heading4"/>
        <w:spacing w:before="0" w:line="240" w:lineRule="auto"/>
        <w:contextualSpacing/>
        <w:rPr>
          <w:rFonts w:ascii="Cambria" w:eastAsia="Calibri" w:hAnsi="Cambria" w:cs="Times New Roman"/>
          <w:i w:val="0"/>
          <w:iCs w:val="0"/>
          <w:color w:val="4F81BD"/>
          <w:sz w:val="28"/>
          <w:szCs w:val="26"/>
        </w:rPr>
      </w:pPr>
      <w:r w:rsidRPr="007D68FE">
        <w:rPr>
          <w:rFonts w:ascii="Cambria" w:eastAsia="Calibri" w:hAnsi="Cambria" w:cs="Times New Roman"/>
          <w:i w:val="0"/>
          <w:iCs w:val="0"/>
          <w:color w:val="4F81BD"/>
          <w:sz w:val="28"/>
          <w:szCs w:val="26"/>
        </w:rPr>
        <w:t>Measuring quality and frequency for IATI XML data</w:t>
      </w:r>
    </w:p>
    <w:p w:rsidR="007D68FE" w:rsidRPr="007D68FE" w:rsidRDefault="007D68FE" w:rsidP="00935A49">
      <w:pPr>
        <w:spacing w:after="0" w:line="240" w:lineRule="auto"/>
        <w:contextualSpacing/>
        <w:rPr>
          <w:rStyle w:val="SubtitleChar"/>
          <w:rFonts w:asciiTheme="minorHAnsi" w:hAnsiTheme="minorHAnsi"/>
          <w:i w:val="0"/>
          <w:color w:val="auto"/>
          <w:sz w:val="22"/>
          <w:szCs w:val="22"/>
        </w:rPr>
      </w:pPr>
    </w:p>
    <w:p w:rsidR="003B57E4" w:rsidRDefault="00584B39" w:rsidP="00A50516">
      <w:pPr>
        <w:spacing w:after="0" w:line="240" w:lineRule="auto"/>
        <w:contextualSpacing/>
      </w:pPr>
      <w:r w:rsidRPr="00584B39">
        <w:rPr>
          <w:rStyle w:val="SubtitleChar"/>
          <w:rFonts w:asciiTheme="minorHAnsi" w:hAnsiTheme="minorHAnsi"/>
          <w:b/>
          <w:i w:val="0"/>
          <w:color w:val="auto"/>
        </w:rPr>
        <w:t>Quality:</w:t>
      </w:r>
      <w:r w:rsidRPr="00806749">
        <w:rPr>
          <w:rStyle w:val="SubtitleChar"/>
          <w:b/>
        </w:rPr>
        <w:t xml:space="preserve"> </w:t>
      </w:r>
      <w:r w:rsidR="00A50516" w:rsidRPr="00A50516">
        <w:rPr>
          <w:iCs/>
        </w:rPr>
        <w:t xml:space="preserve">The </w:t>
      </w:r>
      <w:r w:rsidR="00A50516" w:rsidRPr="00423FCC">
        <w:t>quality of data published in IATI XML is assessed by running a series of tests on all activity and organisation data packages being published</w:t>
      </w:r>
      <w:r w:rsidR="00A50516">
        <w:t xml:space="preserve"> to the IATI Registry</w:t>
      </w:r>
      <w:r w:rsidR="00A50516" w:rsidRPr="00423FCC">
        <w:t xml:space="preserve">. These tests have been designed to assess the availability, comprehensiveness and comparability of aid information and to determine whether an organisation’s IATI data conforms to the IATI standard appropriately. Most of the tests have been derived directly from the IATI schemas which provide formats for reporting data on various fields to the IATI Registry. Some additional tests have been designed to check that data published in IATI XML is presented in a manner which allows for comparison across organisations. </w:t>
      </w:r>
    </w:p>
    <w:p w:rsidR="003B57E4" w:rsidRDefault="003B57E4" w:rsidP="00A50516">
      <w:pPr>
        <w:spacing w:after="0" w:line="240" w:lineRule="auto"/>
        <w:contextualSpacing/>
      </w:pPr>
    </w:p>
    <w:p w:rsidR="00A50516" w:rsidRDefault="00A50516" w:rsidP="00A50516">
      <w:pPr>
        <w:spacing w:after="0" w:line="240" w:lineRule="auto"/>
        <w:contextualSpacing/>
      </w:pPr>
      <w:r w:rsidRPr="001A66FE">
        <w:t>Tests are run against</w:t>
      </w:r>
      <w:r>
        <w:t xml:space="preserve"> the following:</w:t>
      </w:r>
    </w:p>
    <w:p w:rsidR="00A50516" w:rsidRDefault="00A50516" w:rsidP="00A50516">
      <w:pPr>
        <w:pStyle w:val="ListParagraph"/>
        <w:numPr>
          <w:ilvl w:val="0"/>
          <w:numId w:val="41"/>
        </w:numPr>
        <w:spacing w:after="0" w:line="240" w:lineRule="auto"/>
      </w:pPr>
      <w:r>
        <w:t>Ongoing activities;</w:t>
      </w:r>
    </w:p>
    <w:p w:rsidR="00A50516" w:rsidRDefault="00A50516" w:rsidP="00A50516">
      <w:pPr>
        <w:pStyle w:val="ListParagraph"/>
        <w:numPr>
          <w:ilvl w:val="0"/>
          <w:numId w:val="41"/>
        </w:numPr>
        <w:spacing w:after="0" w:line="240" w:lineRule="auto"/>
      </w:pPr>
      <w:r>
        <w:t xml:space="preserve">Activities with planned or actual end dates within the previous 12 months; </w:t>
      </w:r>
    </w:p>
    <w:p w:rsidR="00A50516" w:rsidRDefault="00A50516" w:rsidP="00A50516">
      <w:pPr>
        <w:pStyle w:val="ListParagraph"/>
        <w:numPr>
          <w:ilvl w:val="0"/>
          <w:numId w:val="41"/>
        </w:numPr>
        <w:spacing w:after="0" w:line="240" w:lineRule="auto"/>
      </w:pPr>
      <w:r>
        <w:t>Activities with disbursement or expenditure transaction dates within the previous 12 months.</w:t>
      </w:r>
      <w:r>
        <w:rPr>
          <w:rStyle w:val="FootnoteReference"/>
        </w:rPr>
        <w:footnoteReference w:id="11"/>
      </w:r>
    </w:p>
    <w:p w:rsidR="00A50516" w:rsidRDefault="00A50516" w:rsidP="00A50516">
      <w:pPr>
        <w:spacing w:after="0" w:line="240" w:lineRule="auto"/>
        <w:contextualSpacing/>
      </w:pPr>
    </w:p>
    <w:p w:rsidR="00A50516" w:rsidRPr="00423FCC" w:rsidRDefault="00A50516" w:rsidP="00A50516">
      <w:pPr>
        <w:spacing w:after="0" w:line="240" w:lineRule="auto"/>
        <w:ind w:left="720"/>
        <w:contextualSpacing/>
      </w:pPr>
      <w:r w:rsidRPr="00423FCC">
        <w:t>Example: The following data quality tests are run to determine the quality of information for the indicator</w:t>
      </w:r>
      <w:r>
        <w:t xml:space="preserve"> 18</w:t>
      </w:r>
      <w:r w:rsidRPr="00423FCC">
        <w:t xml:space="preserve"> “current status”: </w:t>
      </w:r>
    </w:p>
    <w:p w:rsidR="00A50516" w:rsidRPr="00DA2A30" w:rsidRDefault="00A50516" w:rsidP="00A50516">
      <w:pPr>
        <w:spacing w:after="0" w:line="240" w:lineRule="auto"/>
        <w:ind w:left="720"/>
        <w:contextualSpacing/>
        <w:rPr>
          <w:sz w:val="10"/>
          <w:szCs w:val="10"/>
          <w:highlight w:val="yellow"/>
        </w:rPr>
      </w:pPr>
    </w:p>
    <w:tbl>
      <w:tblPr>
        <w:tblStyle w:val="TableGrid"/>
        <w:tblW w:w="0" w:type="auto"/>
        <w:jc w:val="center"/>
        <w:tblLook w:val="04A0" w:firstRow="1" w:lastRow="0" w:firstColumn="1" w:lastColumn="0" w:noHBand="0" w:noVBand="1"/>
      </w:tblPr>
      <w:tblGrid>
        <w:gridCol w:w="3583"/>
        <w:gridCol w:w="4107"/>
      </w:tblGrid>
      <w:tr w:rsidR="00A50516" w:rsidRPr="00423FCC" w:rsidTr="00A50516">
        <w:trPr>
          <w:trHeight w:val="256"/>
          <w:jc w:val="center"/>
        </w:trPr>
        <w:tc>
          <w:tcPr>
            <w:tcW w:w="3583" w:type="dxa"/>
            <w:shd w:val="clear" w:color="auto" w:fill="8DB3E2"/>
          </w:tcPr>
          <w:p w:rsidR="00A50516" w:rsidRPr="00423FCC" w:rsidRDefault="00A50516" w:rsidP="009E0C58">
            <w:pPr>
              <w:pStyle w:val="NoSpacing"/>
              <w:jc w:val="center"/>
              <w:rPr>
                <w:b/>
              </w:rPr>
            </w:pPr>
            <w:r w:rsidRPr="00423FCC">
              <w:rPr>
                <w:b/>
              </w:rPr>
              <w:t>Test</w:t>
            </w:r>
          </w:p>
        </w:tc>
        <w:tc>
          <w:tcPr>
            <w:tcW w:w="4107" w:type="dxa"/>
            <w:shd w:val="clear" w:color="auto" w:fill="8DB3E2"/>
          </w:tcPr>
          <w:p w:rsidR="00A50516" w:rsidRPr="00423FCC" w:rsidRDefault="00A50516" w:rsidP="009E0C58">
            <w:pPr>
              <w:pStyle w:val="NoSpacing"/>
              <w:jc w:val="center"/>
              <w:rPr>
                <w:b/>
              </w:rPr>
            </w:pPr>
            <w:r w:rsidRPr="00423FCC">
              <w:rPr>
                <w:b/>
              </w:rPr>
              <w:t>Test Description</w:t>
            </w:r>
          </w:p>
        </w:tc>
      </w:tr>
      <w:tr w:rsidR="00A50516" w:rsidRPr="00423FCC" w:rsidTr="00A50516">
        <w:trPr>
          <w:trHeight w:val="227"/>
          <w:jc w:val="center"/>
        </w:trPr>
        <w:tc>
          <w:tcPr>
            <w:tcW w:w="3583" w:type="dxa"/>
            <w:shd w:val="clear" w:color="auto" w:fill="auto"/>
          </w:tcPr>
          <w:p w:rsidR="00A50516" w:rsidRPr="00423FCC" w:rsidRDefault="00A50516" w:rsidP="009E0C58">
            <w:pPr>
              <w:pStyle w:val="NoSpacing"/>
            </w:pPr>
            <w:r w:rsidRPr="00445EF6">
              <w:t>activity-status exists?</w:t>
            </w:r>
          </w:p>
        </w:tc>
        <w:tc>
          <w:tcPr>
            <w:tcW w:w="4107" w:type="dxa"/>
            <w:shd w:val="clear" w:color="auto" w:fill="auto"/>
          </w:tcPr>
          <w:p w:rsidR="00A50516" w:rsidRPr="00423FCC" w:rsidRDefault="00A50516" w:rsidP="009E0C58">
            <w:pPr>
              <w:pStyle w:val="NoSpacing"/>
            </w:pPr>
            <w:r>
              <w:t>Does the activity status exist?</w:t>
            </w:r>
          </w:p>
        </w:tc>
      </w:tr>
      <w:tr w:rsidR="00A50516" w:rsidRPr="00423FCC" w:rsidTr="00A50516">
        <w:trPr>
          <w:trHeight w:val="559"/>
          <w:jc w:val="center"/>
        </w:trPr>
        <w:tc>
          <w:tcPr>
            <w:tcW w:w="3583" w:type="dxa"/>
            <w:shd w:val="clear" w:color="auto" w:fill="auto"/>
          </w:tcPr>
          <w:p w:rsidR="00A50516" w:rsidRPr="00423FCC" w:rsidRDefault="00A50516" w:rsidP="009E0C58">
            <w:pPr>
              <w:pStyle w:val="NoSpacing"/>
            </w:pPr>
            <w:r w:rsidRPr="00445EF6">
              <w:t>activity-status/@code is on list ActivityStatus?</w:t>
            </w:r>
          </w:p>
        </w:tc>
        <w:tc>
          <w:tcPr>
            <w:tcW w:w="4107" w:type="dxa"/>
            <w:shd w:val="clear" w:color="auto" w:fill="auto"/>
          </w:tcPr>
          <w:p w:rsidR="00A50516" w:rsidRPr="00423FCC" w:rsidRDefault="00A50516" w:rsidP="009E0C58">
            <w:pPr>
              <w:pStyle w:val="NoSpacing"/>
            </w:pPr>
            <w:r>
              <w:t>Is the activity status code on the ActivityStatus codelist?</w:t>
            </w:r>
          </w:p>
        </w:tc>
      </w:tr>
    </w:tbl>
    <w:p w:rsidR="00A50516" w:rsidRPr="00DA2A30" w:rsidRDefault="00A50516" w:rsidP="00A50516">
      <w:pPr>
        <w:spacing w:after="0" w:line="240" w:lineRule="auto"/>
        <w:rPr>
          <w:sz w:val="10"/>
          <w:szCs w:val="10"/>
        </w:rPr>
      </w:pPr>
    </w:p>
    <w:p w:rsidR="00A50516" w:rsidRPr="004963A5" w:rsidRDefault="00A50516" w:rsidP="00A50516">
      <w:pPr>
        <w:pStyle w:val="Subtitle"/>
        <w:spacing w:after="0" w:line="240" w:lineRule="auto"/>
        <w:rPr>
          <w:rFonts w:asciiTheme="minorHAnsi" w:eastAsiaTheme="minorHAnsi" w:hAnsiTheme="minorHAnsi" w:cs="Times New Roman"/>
          <w:bCs/>
          <w:i w:val="0"/>
          <w:iCs w:val="0"/>
          <w:color w:val="auto"/>
          <w:spacing w:val="0"/>
          <w:kern w:val="36"/>
          <w:sz w:val="22"/>
          <w:szCs w:val="22"/>
          <w:lang w:val="en-GB"/>
        </w:rPr>
      </w:pPr>
      <w:r w:rsidRPr="004963A5">
        <w:rPr>
          <w:rFonts w:asciiTheme="minorHAnsi" w:eastAsiaTheme="minorHAnsi" w:hAnsiTheme="minorHAnsi" w:cs="Times New Roman"/>
          <w:bCs/>
          <w:i w:val="0"/>
          <w:iCs w:val="0"/>
          <w:color w:val="auto"/>
          <w:spacing w:val="0"/>
          <w:kern w:val="36"/>
          <w:sz w:val="22"/>
          <w:szCs w:val="22"/>
          <w:lang w:val="en-GB"/>
        </w:rPr>
        <w:lastRenderedPageBreak/>
        <w:t xml:space="preserve">The tests return a “pass” or “fail” result for each activity (or organisation file </w:t>
      </w:r>
      <w:r>
        <w:rPr>
          <w:rFonts w:asciiTheme="minorHAnsi" w:eastAsiaTheme="minorHAnsi" w:hAnsiTheme="minorHAnsi" w:cs="Times New Roman"/>
          <w:bCs/>
          <w:i w:val="0"/>
          <w:iCs w:val="0"/>
          <w:color w:val="auto"/>
          <w:spacing w:val="0"/>
          <w:kern w:val="36"/>
          <w:sz w:val="22"/>
          <w:szCs w:val="22"/>
          <w:lang w:val="en-GB"/>
        </w:rPr>
        <w:t>depending</w:t>
      </w:r>
      <w:r w:rsidRPr="004963A5">
        <w:rPr>
          <w:rFonts w:asciiTheme="minorHAnsi" w:eastAsiaTheme="minorHAnsi" w:hAnsiTheme="minorHAnsi" w:cs="Times New Roman"/>
          <w:bCs/>
          <w:i w:val="0"/>
          <w:iCs w:val="0"/>
          <w:color w:val="auto"/>
          <w:spacing w:val="0"/>
          <w:kern w:val="36"/>
          <w:sz w:val="22"/>
          <w:szCs w:val="22"/>
          <w:lang w:val="en-GB"/>
        </w:rPr>
        <w:t xml:space="preserve"> on the indicator being measured) included in organisations’ data packages that meet the current data requirement. A complete list of the tests run against data published to the IATI Registry for the </w:t>
      </w:r>
      <w:r w:rsidR="003B57E4">
        <w:rPr>
          <w:rFonts w:asciiTheme="minorHAnsi" w:eastAsiaTheme="minorHAnsi" w:hAnsiTheme="minorHAnsi" w:cs="Times New Roman"/>
          <w:bCs/>
          <w:i w:val="0"/>
          <w:iCs w:val="0"/>
          <w:color w:val="auto"/>
          <w:spacing w:val="0"/>
          <w:kern w:val="36"/>
          <w:sz w:val="22"/>
          <w:szCs w:val="22"/>
          <w:lang w:val="en-GB"/>
        </w:rPr>
        <w:t xml:space="preserve">2014 </w:t>
      </w:r>
      <w:r w:rsidRPr="004963A5">
        <w:rPr>
          <w:rFonts w:asciiTheme="minorHAnsi" w:eastAsiaTheme="minorHAnsi" w:hAnsiTheme="minorHAnsi" w:cs="Times New Roman"/>
          <w:bCs/>
          <w:i w:val="0"/>
          <w:iCs w:val="0"/>
          <w:color w:val="auto"/>
          <w:spacing w:val="0"/>
          <w:kern w:val="36"/>
          <w:sz w:val="22"/>
          <w:szCs w:val="22"/>
          <w:lang w:val="en-GB"/>
        </w:rPr>
        <w:t xml:space="preserve">Index is available in </w:t>
      </w:r>
      <w:r w:rsidR="006A1357">
        <w:rPr>
          <w:rFonts w:asciiTheme="minorHAnsi" w:eastAsiaTheme="minorHAnsi" w:hAnsiTheme="minorHAnsi" w:cs="Times New Roman"/>
          <w:bCs/>
          <w:i w:val="0"/>
          <w:iCs w:val="0"/>
          <w:color w:val="auto"/>
          <w:spacing w:val="0"/>
          <w:kern w:val="36"/>
          <w:sz w:val="22"/>
          <w:szCs w:val="22"/>
          <w:lang w:val="en-GB"/>
        </w:rPr>
        <w:t>annex 2</w:t>
      </w:r>
      <w:r w:rsidRPr="004963A5">
        <w:rPr>
          <w:rFonts w:asciiTheme="minorHAnsi" w:eastAsiaTheme="minorHAnsi" w:hAnsiTheme="minorHAnsi" w:cs="Times New Roman"/>
          <w:bCs/>
          <w:i w:val="0"/>
          <w:iCs w:val="0"/>
          <w:color w:val="auto"/>
          <w:spacing w:val="0"/>
          <w:kern w:val="36"/>
          <w:sz w:val="22"/>
          <w:szCs w:val="22"/>
          <w:lang w:val="en-GB"/>
        </w:rPr>
        <w:t xml:space="preserve">. These tests have been developed in </w:t>
      </w:r>
      <w:r w:rsidR="00373CD4">
        <w:rPr>
          <w:rFonts w:asciiTheme="minorHAnsi" w:eastAsiaTheme="minorHAnsi" w:hAnsiTheme="minorHAnsi" w:cs="Times New Roman"/>
          <w:bCs/>
          <w:i w:val="0"/>
          <w:iCs w:val="0"/>
          <w:color w:val="auto"/>
          <w:spacing w:val="0"/>
          <w:kern w:val="36"/>
          <w:sz w:val="22"/>
          <w:szCs w:val="22"/>
          <w:lang w:val="en-GB"/>
        </w:rPr>
        <w:t xml:space="preserve">an open </w:t>
      </w:r>
      <w:r w:rsidRPr="004963A5">
        <w:rPr>
          <w:rFonts w:asciiTheme="minorHAnsi" w:eastAsiaTheme="minorHAnsi" w:hAnsiTheme="minorHAnsi" w:cs="Times New Roman"/>
          <w:bCs/>
          <w:i w:val="0"/>
          <w:iCs w:val="0"/>
          <w:color w:val="auto"/>
          <w:spacing w:val="0"/>
          <w:kern w:val="36"/>
          <w:sz w:val="22"/>
          <w:szCs w:val="22"/>
          <w:lang w:val="en-GB"/>
        </w:rPr>
        <w:t>consultation with Index peer reviewers</w:t>
      </w:r>
      <w:r w:rsidR="004D19B4">
        <w:rPr>
          <w:rFonts w:asciiTheme="minorHAnsi" w:eastAsiaTheme="minorHAnsi" w:hAnsiTheme="minorHAnsi" w:cs="Times New Roman"/>
          <w:bCs/>
          <w:i w:val="0"/>
          <w:iCs w:val="0"/>
          <w:color w:val="auto"/>
          <w:spacing w:val="0"/>
          <w:kern w:val="36"/>
          <w:sz w:val="22"/>
          <w:szCs w:val="22"/>
          <w:lang w:val="en-GB"/>
        </w:rPr>
        <w:t xml:space="preserve"> </w:t>
      </w:r>
      <w:r w:rsidRPr="004963A5">
        <w:rPr>
          <w:rFonts w:asciiTheme="minorHAnsi" w:eastAsiaTheme="minorHAnsi" w:hAnsiTheme="minorHAnsi" w:cs="Times New Roman"/>
          <w:bCs/>
          <w:i w:val="0"/>
          <w:iCs w:val="0"/>
          <w:color w:val="auto"/>
          <w:spacing w:val="0"/>
          <w:kern w:val="36"/>
          <w:sz w:val="22"/>
          <w:szCs w:val="22"/>
          <w:lang w:val="en-GB"/>
        </w:rPr>
        <w:t>and current IATI publishers</w:t>
      </w:r>
      <w:r w:rsidR="003B57E4">
        <w:rPr>
          <w:rFonts w:asciiTheme="minorHAnsi" w:eastAsiaTheme="minorHAnsi" w:hAnsiTheme="minorHAnsi" w:cs="Times New Roman"/>
          <w:bCs/>
          <w:i w:val="0"/>
          <w:iCs w:val="0"/>
          <w:color w:val="auto"/>
          <w:spacing w:val="0"/>
          <w:kern w:val="36"/>
          <w:sz w:val="22"/>
          <w:szCs w:val="22"/>
          <w:lang w:val="en-GB"/>
        </w:rPr>
        <w:t>. W</w:t>
      </w:r>
      <w:r w:rsidRPr="004963A5">
        <w:rPr>
          <w:rFonts w:asciiTheme="minorHAnsi" w:eastAsiaTheme="minorHAnsi" w:hAnsiTheme="minorHAnsi" w:cs="Times New Roman"/>
          <w:bCs/>
          <w:i w:val="0"/>
          <w:iCs w:val="0"/>
          <w:color w:val="auto"/>
          <w:spacing w:val="0"/>
          <w:kern w:val="36"/>
          <w:sz w:val="22"/>
          <w:szCs w:val="22"/>
          <w:lang w:val="en-GB"/>
        </w:rPr>
        <w:t>e welcome feedback on them.</w:t>
      </w:r>
      <w:r w:rsidRPr="004963A5">
        <w:rPr>
          <w:rFonts w:asciiTheme="minorHAnsi" w:eastAsiaTheme="minorHAnsi" w:hAnsiTheme="minorHAnsi" w:cs="Times New Roman"/>
          <w:bCs/>
          <w:i w:val="0"/>
          <w:iCs w:val="0"/>
          <w:color w:val="auto"/>
          <w:spacing w:val="0"/>
          <w:kern w:val="36"/>
          <w:sz w:val="22"/>
          <w:szCs w:val="22"/>
          <w:vertAlign w:val="superscript"/>
          <w:lang w:val="en-GB"/>
        </w:rPr>
        <w:footnoteReference w:id="12"/>
      </w:r>
    </w:p>
    <w:p w:rsidR="00A50516" w:rsidRPr="004963A5" w:rsidRDefault="00A50516" w:rsidP="00A50516">
      <w:pPr>
        <w:pStyle w:val="Subtitle"/>
        <w:spacing w:after="0" w:line="240" w:lineRule="auto"/>
        <w:rPr>
          <w:rFonts w:asciiTheme="minorHAnsi" w:eastAsiaTheme="minorHAnsi" w:hAnsiTheme="minorHAnsi" w:cs="Times New Roman"/>
          <w:bCs/>
          <w:i w:val="0"/>
          <w:iCs w:val="0"/>
          <w:color w:val="auto"/>
          <w:spacing w:val="0"/>
          <w:kern w:val="36"/>
          <w:sz w:val="22"/>
          <w:szCs w:val="22"/>
          <w:lang w:val="en-GB"/>
        </w:rPr>
      </w:pPr>
    </w:p>
    <w:p w:rsidR="00A50516" w:rsidRPr="004963A5" w:rsidRDefault="00A50516" w:rsidP="00A50516">
      <w:pPr>
        <w:pStyle w:val="Subtitle"/>
        <w:spacing w:after="0" w:line="240" w:lineRule="auto"/>
        <w:rPr>
          <w:rFonts w:asciiTheme="minorHAnsi" w:eastAsiaTheme="minorHAnsi" w:hAnsiTheme="minorHAnsi" w:cs="Times New Roman"/>
          <w:bCs/>
          <w:i w:val="0"/>
          <w:iCs w:val="0"/>
          <w:color w:val="auto"/>
          <w:spacing w:val="0"/>
          <w:kern w:val="36"/>
          <w:sz w:val="22"/>
          <w:szCs w:val="22"/>
          <w:lang w:val="en-GB"/>
        </w:rPr>
      </w:pPr>
      <w:r w:rsidRPr="004963A5">
        <w:rPr>
          <w:rFonts w:asciiTheme="minorHAnsi" w:eastAsiaTheme="minorHAnsi" w:hAnsiTheme="minorHAnsi" w:cs="Times New Roman"/>
          <w:bCs/>
          <w:i w:val="0"/>
          <w:iCs w:val="0"/>
          <w:color w:val="auto"/>
          <w:spacing w:val="0"/>
          <w:kern w:val="36"/>
          <w:sz w:val="22"/>
          <w:szCs w:val="22"/>
          <w:lang w:val="en-GB"/>
        </w:rPr>
        <w:t xml:space="preserve">Data quality is determined by the percentage of an </w:t>
      </w:r>
      <w:r w:rsidR="006A1357" w:rsidRPr="004963A5">
        <w:rPr>
          <w:rFonts w:asciiTheme="minorHAnsi" w:eastAsiaTheme="minorHAnsi" w:hAnsiTheme="minorHAnsi" w:cs="Times New Roman"/>
          <w:bCs/>
          <w:i w:val="0"/>
          <w:iCs w:val="0"/>
          <w:color w:val="auto"/>
          <w:spacing w:val="0"/>
          <w:kern w:val="36"/>
          <w:sz w:val="22"/>
          <w:szCs w:val="22"/>
          <w:lang w:val="en-GB"/>
        </w:rPr>
        <w:t xml:space="preserve">organisation’s </w:t>
      </w:r>
      <w:r w:rsidR="006A1357">
        <w:rPr>
          <w:rFonts w:asciiTheme="minorHAnsi" w:eastAsiaTheme="minorHAnsi" w:hAnsiTheme="minorHAnsi" w:cs="Times New Roman"/>
          <w:bCs/>
          <w:i w:val="0"/>
          <w:iCs w:val="0"/>
          <w:color w:val="auto"/>
          <w:spacing w:val="0"/>
          <w:kern w:val="36"/>
          <w:sz w:val="22"/>
          <w:szCs w:val="22"/>
          <w:lang w:val="en-GB"/>
        </w:rPr>
        <w:t xml:space="preserve">total </w:t>
      </w:r>
      <w:r w:rsidRPr="004963A5">
        <w:rPr>
          <w:rFonts w:asciiTheme="minorHAnsi" w:eastAsiaTheme="minorHAnsi" w:hAnsiTheme="minorHAnsi" w:cs="Times New Roman"/>
          <w:bCs/>
          <w:i w:val="0"/>
          <w:iCs w:val="0"/>
          <w:color w:val="auto"/>
          <w:spacing w:val="0"/>
          <w:kern w:val="36"/>
          <w:sz w:val="22"/>
          <w:szCs w:val="22"/>
          <w:lang w:val="en-GB"/>
        </w:rPr>
        <w:t xml:space="preserve">current activities published to IATI </w:t>
      </w:r>
      <w:r w:rsidR="006A1357">
        <w:rPr>
          <w:rFonts w:asciiTheme="minorHAnsi" w:eastAsiaTheme="minorHAnsi" w:hAnsiTheme="minorHAnsi" w:cs="Times New Roman"/>
          <w:bCs/>
          <w:i w:val="0"/>
          <w:iCs w:val="0"/>
          <w:color w:val="auto"/>
          <w:spacing w:val="0"/>
          <w:kern w:val="36"/>
          <w:sz w:val="22"/>
          <w:szCs w:val="22"/>
          <w:lang w:val="en-GB"/>
        </w:rPr>
        <w:t xml:space="preserve">that </w:t>
      </w:r>
      <w:r w:rsidRPr="004963A5">
        <w:rPr>
          <w:rFonts w:asciiTheme="minorHAnsi" w:eastAsiaTheme="minorHAnsi" w:hAnsiTheme="minorHAnsi" w:cs="Times New Roman"/>
          <w:bCs/>
          <w:i w:val="0"/>
          <w:iCs w:val="0"/>
          <w:color w:val="auto"/>
          <w:spacing w:val="0"/>
          <w:kern w:val="36"/>
          <w:sz w:val="22"/>
          <w:szCs w:val="22"/>
          <w:lang w:val="en-GB"/>
        </w:rPr>
        <w:t>pass the data quality tests. Organisations are awarded the first 50 points of the total possible score of 100 for at least one “pass” result on the data quality tests for the indicator and the remaining 50 points based on data quality and frequency of publication.</w:t>
      </w:r>
    </w:p>
    <w:p w:rsidR="00A50516" w:rsidRPr="004963A5" w:rsidRDefault="00A50516" w:rsidP="00A50516">
      <w:pPr>
        <w:spacing w:after="0" w:line="240" w:lineRule="auto"/>
        <w:rPr>
          <w:rFonts w:eastAsiaTheme="minorHAnsi"/>
        </w:rPr>
      </w:pPr>
    </w:p>
    <w:p w:rsidR="00A50516" w:rsidRPr="00423FCC" w:rsidRDefault="00A50516" w:rsidP="00A50516">
      <w:pPr>
        <w:spacing w:after="0" w:line="240" w:lineRule="auto"/>
        <w:rPr>
          <w:highlight w:val="yellow"/>
        </w:rPr>
      </w:pPr>
      <w:r w:rsidRPr="00A50516">
        <w:rPr>
          <w:rStyle w:val="SubtitleChar"/>
          <w:rFonts w:asciiTheme="minorHAnsi" w:hAnsiTheme="minorHAnsi"/>
          <w:b/>
          <w:i w:val="0"/>
          <w:color w:val="auto"/>
        </w:rPr>
        <w:t>Frequency:</w:t>
      </w:r>
      <w:r w:rsidRPr="004963A5">
        <w:rPr>
          <w:b/>
          <w:i/>
        </w:rPr>
        <w:t xml:space="preserve"> </w:t>
      </w:r>
      <w:r w:rsidRPr="004963A5">
        <w:t>Frequency refers to how</w:t>
      </w:r>
      <w:r w:rsidRPr="00CC0BEE">
        <w:t xml:space="preserve"> often organisations publish activity</w:t>
      </w:r>
      <w:r w:rsidR="006A1357">
        <w:t>-</w:t>
      </w:r>
      <w:r w:rsidRPr="00CC0BEE">
        <w:t xml:space="preserve">level information to IATI. </w:t>
      </w:r>
      <w:r w:rsidRPr="00CC0BEE">
        <w:rPr>
          <w:rFonts w:eastAsiaTheme="minorHAnsi" w:cs="Times New Roman"/>
          <w:bCs/>
          <w:kern w:val="36"/>
        </w:rPr>
        <w:t>For the activity level indicators, IATI publishers are awarded the first 50 points for at least one “pass” result on the data quality tests and the remaining 50 points based on the coverage</w:t>
      </w:r>
      <w:r w:rsidRPr="00CC0BEE">
        <w:rPr>
          <w:rFonts w:cs="Times New Roman"/>
          <w:bCs/>
          <w:kern w:val="36"/>
        </w:rPr>
        <w:t xml:space="preserve"> and frequency of publication. Publishing monthly allows an organisation to achieve the maximum </w:t>
      </w:r>
      <w:r>
        <w:rPr>
          <w:rFonts w:cs="Times New Roman"/>
          <w:bCs/>
          <w:kern w:val="36"/>
        </w:rPr>
        <w:t xml:space="preserve">indicator </w:t>
      </w:r>
      <w:r w:rsidRPr="00CC0BEE">
        <w:rPr>
          <w:rFonts w:cs="Times New Roman"/>
          <w:bCs/>
          <w:kern w:val="36"/>
        </w:rPr>
        <w:t>score of 100 points; publishing quarterly up to 95 points; and publishing less than quarterly up to 75 points.</w:t>
      </w:r>
      <w:r w:rsidR="00345D43">
        <w:rPr>
          <w:rFonts w:cs="Times New Roman"/>
          <w:bCs/>
          <w:kern w:val="36"/>
        </w:rPr>
        <w:t xml:space="preserve"> </w:t>
      </w:r>
      <w:r>
        <w:rPr>
          <w:rFonts w:cs="Times New Roman"/>
          <w:bCs/>
          <w:kern w:val="36"/>
        </w:rPr>
        <w:t xml:space="preserve"> </w:t>
      </w:r>
    </w:p>
    <w:p w:rsidR="00A50516" w:rsidRDefault="00A50516" w:rsidP="00A50516">
      <w:pPr>
        <w:spacing w:after="0" w:line="240" w:lineRule="auto"/>
      </w:pPr>
    </w:p>
    <w:p w:rsidR="00A50516" w:rsidRDefault="00A50516" w:rsidP="00A50516">
      <w:pPr>
        <w:spacing w:after="0" w:line="240" w:lineRule="auto"/>
      </w:pPr>
      <w:r w:rsidRPr="00423FCC">
        <w:t xml:space="preserve">Example: An organisation that publishes </w:t>
      </w:r>
      <w:r>
        <w:t xml:space="preserve">current data </w:t>
      </w:r>
      <w:r w:rsidRPr="00423FCC">
        <w:t xml:space="preserve">to IATI </w:t>
      </w:r>
      <w:r>
        <w:t>every quarter</w:t>
      </w:r>
      <w:r w:rsidRPr="00423FCC">
        <w:t xml:space="preserve">, with 80% of </w:t>
      </w:r>
      <w:r>
        <w:t>that current data</w:t>
      </w:r>
      <w:r w:rsidRPr="00423FCC">
        <w:t xml:space="preserve"> passing the tests for </w:t>
      </w:r>
      <w:r>
        <w:t xml:space="preserve">an </w:t>
      </w:r>
      <w:r w:rsidRPr="00423FCC">
        <w:t>indicator, receive</w:t>
      </w:r>
      <w:r w:rsidR="006A1357">
        <w:t>s</w:t>
      </w:r>
      <w:r w:rsidRPr="00423FCC">
        <w:t xml:space="preserve"> the following score for that indi</w:t>
      </w:r>
      <w:r>
        <w:t>cator: 50 points + (80*</w:t>
      </w:r>
      <w:r w:rsidRPr="00423FCC">
        <w:t xml:space="preserve">0.9)/2 = 86 points. </w:t>
      </w:r>
      <w:r>
        <w:t>(</w:t>
      </w:r>
      <w:r w:rsidRPr="00423FCC">
        <w:t>If the</w:t>
      </w:r>
      <w:r>
        <w:t xml:space="preserve"> organisation</w:t>
      </w:r>
      <w:r w:rsidRPr="00423FCC">
        <w:t xml:space="preserve"> publishe</w:t>
      </w:r>
      <w:r>
        <w:t>s monthly</w:t>
      </w:r>
      <w:r w:rsidRPr="00423FCC">
        <w:t xml:space="preserve">, </w:t>
      </w:r>
      <w:r>
        <w:t>it</w:t>
      </w:r>
      <w:r w:rsidRPr="00423FCC">
        <w:t xml:space="preserve"> receive</w:t>
      </w:r>
      <w:r w:rsidR="006A1357">
        <w:t>s</w:t>
      </w:r>
      <w:r w:rsidRPr="00423FCC">
        <w:t xml:space="preserve"> a </w:t>
      </w:r>
      <w:r>
        <w:t xml:space="preserve">score of 50 + </w:t>
      </w:r>
      <w:r w:rsidR="00373CD4">
        <w:t>(</w:t>
      </w:r>
      <w:r>
        <w:t>80</w:t>
      </w:r>
      <w:r w:rsidR="00373CD4">
        <w:t>*1.0)</w:t>
      </w:r>
      <w:r>
        <w:t xml:space="preserve">/2 = 90 points.) </w:t>
      </w:r>
    </w:p>
    <w:p w:rsidR="00A50516" w:rsidRDefault="00A50516" w:rsidP="00A50516">
      <w:pPr>
        <w:spacing w:after="0" w:line="240" w:lineRule="auto"/>
      </w:pPr>
    </w:p>
    <w:p w:rsidR="004B26A7" w:rsidRDefault="004B26A7" w:rsidP="004B26A7">
      <w:pPr>
        <w:spacing w:after="0" w:line="240" w:lineRule="auto"/>
        <w:rPr>
          <w:rFonts w:cs="Times New Roman"/>
          <w:bCs/>
          <w:kern w:val="36"/>
        </w:rPr>
      </w:pPr>
      <w:r w:rsidRPr="003D1EEA">
        <w:t xml:space="preserve">The frequency of publication is calculated based on the number of </w:t>
      </w:r>
      <w:r w:rsidR="00461C1D">
        <w:t>months in which there are update</w:t>
      </w:r>
      <w:r w:rsidRPr="003D1EEA">
        <w:t>s in the previous six month period as recorded in the IATI Registry logs.</w:t>
      </w:r>
      <w:r w:rsidR="00461C1D">
        <w:t xml:space="preserve"> </w:t>
      </w:r>
      <w:r w:rsidRPr="003D1EEA">
        <w:t>To score as a monthly publisher, an organisation needs</w:t>
      </w:r>
      <w:r w:rsidR="008B25DD">
        <w:t xml:space="preserve"> to update its files in</w:t>
      </w:r>
      <w:r>
        <w:t xml:space="preserve"> </w:t>
      </w:r>
      <w:r w:rsidR="008B25DD">
        <w:t>five of the</w:t>
      </w:r>
      <w:r w:rsidRPr="003D1EEA">
        <w:t xml:space="preserve"> previous six months</w:t>
      </w:r>
      <w:r>
        <w:t xml:space="preserve"> (</w:t>
      </w:r>
      <w:r w:rsidRPr="003D1EEA">
        <w:t>January–June 2014</w:t>
      </w:r>
      <w:r>
        <w:t>, at the end of data collection)</w:t>
      </w:r>
      <w:r w:rsidRPr="003D1EEA">
        <w:t xml:space="preserve">. For quarterly, the organisation needs to </w:t>
      </w:r>
      <w:r w:rsidR="00461C1D">
        <w:t>update</w:t>
      </w:r>
      <w:r w:rsidRPr="003D1EEA">
        <w:t xml:space="preserve"> its files </w:t>
      </w:r>
      <w:r>
        <w:t>in two of the previous six months.</w:t>
      </w:r>
      <w:r>
        <w:rPr>
          <w:rFonts w:cs="Times New Roman"/>
          <w:bCs/>
          <w:kern w:val="36"/>
        </w:rPr>
        <w:t xml:space="preserve"> </w:t>
      </w:r>
      <w:r>
        <w:t xml:space="preserve">The frequency of publication used for organisations included in the Index can be found in the </w:t>
      </w:r>
      <w:hyperlink r:id="rId14" w:history="1">
        <w:r w:rsidRPr="00745DF3">
          <w:rPr>
            <w:rStyle w:val="Hyperlink"/>
            <w:rFonts w:cstheme="minorBidi"/>
          </w:rPr>
          <w:t>IATI Updates</w:t>
        </w:r>
      </w:hyperlink>
      <w:r>
        <w:t xml:space="preserve"> section of the Aid Transparency Tracker.</w:t>
      </w:r>
      <w:r w:rsidR="00461C1D">
        <w:t xml:space="preserve"> The six month window is defined as 184 days, which is the maximum number of days in any six month period. </w:t>
      </w:r>
    </w:p>
    <w:p w:rsidR="004B26A7" w:rsidRDefault="004B26A7" w:rsidP="00A50516">
      <w:pPr>
        <w:spacing w:after="0" w:line="240" w:lineRule="auto"/>
      </w:pPr>
    </w:p>
    <w:p w:rsidR="00A50516" w:rsidRDefault="00A50516" w:rsidP="00A50516">
      <w:pPr>
        <w:spacing w:after="0" w:line="240" w:lineRule="auto"/>
      </w:pPr>
      <w:r>
        <w:t xml:space="preserve">Note that only IATI data is scored on frequency. Publishing information to IATI allows an organisation to score more points than publishing information in other formats. Because there are clear machine-readable logs of when this data changed, it is also possible to assess frequency – which is rarely possible for data published in other formats because the information is not always time-stamped. </w:t>
      </w:r>
    </w:p>
    <w:p w:rsidR="00A50516" w:rsidRDefault="00A50516" w:rsidP="00A50516">
      <w:pPr>
        <w:spacing w:after="0" w:line="240" w:lineRule="auto"/>
      </w:pPr>
    </w:p>
    <w:p w:rsidR="00A50516" w:rsidRDefault="00A50516" w:rsidP="00A50516">
      <w:pPr>
        <w:spacing w:after="0" w:line="240" w:lineRule="auto"/>
      </w:pPr>
      <w:r w:rsidRPr="001A66FE">
        <w:t xml:space="preserve">The IATI data collected via the Tracker </w:t>
      </w:r>
      <w:r w:rsidR="00F935B3">
        <w:t>was</w:t>
      </w:r>
      <w:r w:rsidRPr="001A66FE">
        <w:t xml:space="preserve"> updated at least three times during the data collection period – in April, May and end of June. The relevant organisations </w:t>
      </w:r>
      <w:r w:rsidR="00F935B3">
        <w:t>had</w:t>
      </w:r>
      <w:r w:rsidRPr="001A66FE">
        <w:t xml:space="preserve"> access to the ass</w:t>
      </w:r>
      <w:r>
        <w:t>essment throughout this period.</w:t>
      </w:r>
    </w:p>
    <w:p w:rsidR="00652983" w:rsidRPr="00A50516" w:rsidRDefault="00652983" w:rsidP="00A50516">
      <w:pPr>
        <w:spacing w:after="0" w:line="240" w:lineRule="auto"/>
      </w:pPr>
    </w:p>
    <w:p w:rsidR="00652983" w:rsidRDefault="00652983" w:rsidP="00A75829">
      <w:pPr>
        <w:spacing w:after="0" w:line="240" w:lineRule="auto"/>
      </w:pPr>
    </w:p>
    <w:p w:rsidR="00652983" w:rsidRPr="00A75829" w:rsidRDefault="00652983" w:rsidP="00A75829">
      <w:pPr>
        <w:spacing w:after="0" w:line="240" w:lineRule="auto"/>
        <w:sectPr w:rsidR="00652983" w:rsidRPr="00A75829" w:rsidSect="002B2AC5">
          <w:pgSz w:w="16838" w:h="11906" w:orient="landscape"/>
          <w:pgMar w:top="1021" w:right="1021" w:bottom="1021" w:left="1021" w:header="709" w:footer="709" w:gutter="0"/>
          <w:cols w:space="708"/>
          <w:docGrid w:linePitch="360"/>
        </w:sectPr>
      </w:pPr>
    </w:p>
    <w:p w:rsidR="00637F3A" w:rsidRPr="000445AB" w:rsidRDefault="00F95552" w:rsidP="00F95552">
      <w:pPr>
        <w:pStyle w:val="Heading1"/>
        <w:pBdr>
          <w:bottom w:val="single" w:sz="4" w:space="1" w:color="auto"/>
        </w:pBdr>
        <w:spacing w:before="0" w:line="240" w:lineRule="auto"/>
        <w:rPr>
          <w:sz w:val="36"/>
        </w:rPr>
      </w:pPr>
      <w:bookmarkStart w:id="14" w:name="_Toc399168588"/>
      <w:r>
        <w:rPr>
          <w:sz w:val="36"/>
        </w:rPr>
        <w:lastRenderedPageBreak/>
        <w:t xml:space="preserve">Section 3. </w:t>
      </w:r>
      <w:r w:rsidR="002A1B98" w:rsidRPr="000445AB">
        <w:rPr>
          <w:sz w:val="36"/>
        </w:rPr>
        <w:t xml:space="preserve">Weighting, ranking and </w:t>
      </w:r>
      <w:r w:rsidR="003E7B87" w:rsidRPr="000445AB">
        <w:rPr>
          <w:sz w:val="36"/>
        </w:rPr>
        <w:t>performance categories</w:t>
      </w:r>
      <w:bookmarkEnd w:id="14"/>
    </w:p>
    <w:p w:rsidR="000B21F7" w:rsidRPr="00423FCC" w:rsidRDefault="000B21F7" w:rsidP="00935A49">
      <w:pPr>
        <w:spacing w:after="0" w:line="240" w:lineRule="auto"/>
        <w:contextualSpacing/>
      </w:pPr>
    </w:p>
    <w:p w:rsidR="00637F3A" w:rsidRDefault="002C06F6" w:rsidP="00935A49">
      <w:pPr>
        <w:spacing w:after="0" w:line="240" w:lineRule="auto"/>
        <w:contextualSpacing/>
      </w:pPr>
      <w:r w:rsidRPr="00423FCC">
        <w:t xml:space="preserve">As </w:t>
      </w:r>
      <w:r w:rsidR="00676A8E">
        <w:t>detailed in Section 2</w:t>
      </w:r>
      <w:r w:rsidR="005C4B56">
        <w:t xml:space="preserve"> abov</w:t>
      </w:r>
      <w:r w:rsidR="00676A8E">
        <w:t>e</w:t>
      </w:r>
      <w:r w:rsidRPr="00423FCC">
        <w:t>,</w:t>
      </w:r>
      <w:r w:rsidR="00E82A6C">
        <w:t xml:space="preserve"> 2</w:t>
      </w:r>
      <w:r w:rsidR="00A83FB6">
        <w:t>2</w:t>
      </w:r>
      <w:r w:rsidRPr="00423FCC">
        <w:t xml:space="preserve"> indicators are scored based on format, while 14 are scored based on accessibility. In effect, this means that 50% of each indicator is scored on whether </w:t>
      </w:r>
      <w:r w:rsidR="005C4B56">
        <w:t>the organisation</w:t>
      </w:r>
      <w:r w:rsidRPr="00423FCC">
        <w:t xml:space="preserve"> publishes the information in IATI XML format </w:t>
      </w:r>
      <w:r w:rsidR="005C4B56">
        <w:t xml:space="preserve">to the IATI Registry </w:t>
      </w:r>
      <w:r w:rsidRPr="00423FCC">
        <w:t>or links documents to their IATI files</w:t>
      </w:r>
      <w:r w:rsidR="001939B3">
        <w:t>,</w:t>
      </w:r>
      <w:r w:rsidR="008A4217" w:rsidRPr="00423FCC">
        <w:t xml:space="preserve"> i.e</w:t>
      </w:r>
      <w:r w:rsidR="00744441" w:rsidRPr="00423FCC">
        <w:t>.</w:t>
      </w:r>
      <w:r w:rsidR="008A4217" w:rsidRPr="00423FCC">
        <w:t xml:space="preserve"> the format of a donor’s publication, together with the weight ascribed to indicators it scores on, determines its overall performance </w:t>
      </w:r>
      <w:r w:rsidR="001939B3">
        <w:t>i</w:t>
      </w:r>
      <w:r w:rsidR="008A4217" w:rsidRPr="00423FCC">
        <w:t>n the Index</w:t>
      </w:r>
      <w:r w:rsidRPr="00423FCC">
        <w:t xml:space="preserve">. </w:t>
      </w:r>
    </w:p>
    <w:p w:rsidR="00913ED9" w:rsidRPr="00423FCC" w:rsidRDefault="00913ED9" w:rsidP="00935A49">
      <w:pPr>
        <w:spacing w:after="0" w:line="240" w:lineRule="auto"/>
        <w:contextualSpacing/>
      </w:pPr>
    </w:p>
    <w:p w:rsidR="002C06F6" w:rsidRDefault="008A4217" w:rsidP="00935A49">
      <w:pPr>
        <w:spacing w:after="0" w:line="240" w:lineRule="auto"/>
        <w:contextualSpacing/>
        <w:rPr>
          <w:rFonts w:eastAsia="Times New Roman" w:cs="Times New Roman"/>
        </w:rPr>
      </w:pPr>
      <w:r w:rsidRPr="00423FCC">
        <w:t>E</w:t>
      </w:r>
      <w:r w:rsidR="002C06F6" w:rsidRPr="00423FCC">
        <w:t>ach indicator dif</w:t>
      </w:r>
      <w:r w:rsidR="009D07D1" w:rsidRPr="00423FCC">
        <w:t xml:space="preserve">fers in weight based on its category </w:t>
      </w:r>
      <w:r w:rsidR="00F65021" w:rsidRPr="00423FCC">
        <w:t>and</w:t>
      </w:r>
      <w:r w:rsidR="009D07D1" w:rsidRPr="00423FCC">
        <w:t xml:space="preserve"> sub-group. </w:t>
      </w:r>
      <w:r w:rsidRPr="00423FCC">
        <w:rPr>
          <w:rFonts w:eastAsia="Times New Roman" w:cs="Times New Roman"/>
        </w:rPr>
        <w:t xml:space="preserve">The commitment category indicators account for 10% of the overall weight. Publication accounts for 90% of the overall weight. The organisation-level indicators account for 25% of the overall weight, while the </w:t>
      </w:r>
      <w:r w:rsidR="003C7051" w:rsidRPr="00423FCC">
        <w:rPr>
          <w:rFonts w:eastAsia="Times New Roman" w:cs="Times New Roman"/>
        </w:rPr>
        <w:t>activity-level</w:t>
      </w:r>
      <w:r w:rsidRPr="00423FCC">
        <w:rPr>
          <w:rFonts w:eastAsia="Times New Roman" w:cs="Times New Roman"/>
        </w:rPr>
        <w:t xml:space="preserve"> indicators account for 65%.</w:t>
      </w:r>
      <w:r w:rsidR="00AA27AE" w:rsidRPr="00423FCC">
        <w:rPr>
          <w:rFonts w:eastAsia="Times New Roman" w:cs="Times New Roman"/>
        </w:rPr>
        <w:t xml:space="preserve"> Within these categories, the indicator sub-groups are equally weighted.</w:t>
      </w:r>
    </w:p>
    <w:p w:rsidR="00913ED9" w:rsidRPr="00423FCC" w:rsidRDefault="00913ED9" w:rsidP="00935A49">
      <w:pPr>
        <w:spacing w:after="0" w:line="240" w:lineRule="auto"/>
        <w:contextualSpacing/>
      </w:pPr>
    </w:p>
    <w:p w:rsidR="009D07D1" w:rsidRDefault="00B37DD6" w:rsidP="00935A49">
      <w:pPr>
        <w:spacing w:after="0" w:line="240" w:lineRule="auto"/>
        <w:rPr>
          <w:rFonts w:ascii="Cambria" w:eastAsia="Calibri" w:hAnsi="Cambria" w:cs="Times New Roman"/>
          <w:b/>
          <w:bCs/>
          <w:color w:val="4F81BD"/>
          <w:sz w:val="24"/>
        </w:rPr>
      </w:pPr>
      <w:r>
        <w:rPr>
          <w:rFonts w:ascii="Cambria" w:eastAsia="Calibri" w:hAnsi="Cambria" w:cs="Times New Roman"/>
          <w:b/>
          <w:bCs/>
          <w:color w:val="4F81BD"/>
          <w:sz w:val="24"/>
        </w:rPr>
        <w:t>Table 3</w:t>
      </w:r>
      <w:r w:rsidR="009D07D1" w:rsidRPr="00913ED9">
        <w:rPr>
          <w:rFonts w:ascii="Cambria" w:eastAsia="Calibri" w:hAnsi="Cambria" w:cs="Times New Roman"/>
          <w:b/>
          <w:bCs/>
          <w:color w:val="4F81BD"/>
          <w:sz w:val="24"/>
        </w:rPr>
        <w:t xml:space="preserve">: </w:t>
      </w:r>
      <w:r w:rsidR="008A4217" w:rsidRPr="00913ED9">
        <w:rPr>
          <w:rFonts w:ascii="Cambria" w:eastAsia="Calibri" w:hAnsi="Cambria" w:cs="Times New Roman"/>
          <w:b/>
          <w:bCs/>
          <w:color w:val="4F81BD"/>
          <w:sz w:val="24"/>
        </w:rPr>
        <w:t>Categories, sub</w:t>
      </w:r>
      <w:r w:rsidR="00A660F4">
        <w:rPr>
          <w:rFonts w:ascii="Cambria" w:eastAsia="Calibri" w:hAnsi="Cambria" w:cs="Times New Roman"/>
          <w:b/>
          <w:bCs/>
          <w:color w:val="4F81BD"/>
          <w:sz w:val="24"/>
        </w:rPr>
        <w:t>-</w:t>
      </w:r>
      <w:r w:rsidR="008A4217" w:rsidRPr="00913ED9">
        <w:rPr>
          <w:rFonts w:ascii="Cambria" w:eastAsia="Calibri" w:hAnsi="Cambria" w:cs="Times New Roman"/>
          <w:b/>
          <w:bCs/>
          <w:color w:val="4F81BD"/>
          <w:sz w:val="24"/>
        </w:rPr>
        <w:t>groups and weighting</w:t>
      </w:r>
    </w:p>
    <w:p w:rsidR="00913ED9" w:rsidRPr="00913ED9" w:rsidRDefault="00913ED9" w:rsidP="00935A49">
      <w:pPr>
        <w:spacing w:after="0" w:line="240" w:lineRule="auto"/>
        <w:rPr>
          <w:rFonts w:ascii="Cambria" w:eastAsia="Calibri" w:hAnsi="Cambria" w:cs="Times New Roman"/>
          <w:b/>
          <w:bCs/>
          <w:color w:val="4F81BD"/>
          <w:sz w:val="24"/>
        </w:rPr>
      </w:pPr>
    </w:p>
    <w:tbl>
      <w:tblPr>
        <w:tblStyle w:val="GridTable1Light-Accent11"/>
        <w:tblW w:w="104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693"/>
        <w:gridCol w:w="3118"/>
        <w:gridCol w:w="2509"/>
      </w:tblGrid>
      <w:tr w:rsidR="009D07D1" w:rsidRPr="007D68FE" w:rsidTr="007D3871">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127" w:type="dxa"/>
            <w:tcBorders>
              <w:bottom w:val="none" w:sz="0" w:space="0" w:color="auto"/>
            </w:tcBorders>
            <w:shd w:val="clear" w:color="auto" w:fill="8DB3E2"/>
          </w:tcPr>
          <w:p w:rsidR="009D07D1" w:rsidRPr="007D68FE" w:rsidRDefault="009D07D1" w:rsidP="001939B3">
            <w:r w:rsidRPr="007D68FE">
              <w:t>Top-level category</w:t>
            </w:r>
          </w:p>
        </w:tc>
        <w:tc>
          <w:tcPr>
            <w:tcW w:w="2693" w:type="dxa"/>
            <w:tcBorders>
              <w:bottom w:val="none" w:sz="0" w:space="0" w:color="auto"/>
            </w:tcBorders>
            <w:shd w:val="clear" w:color="auto" w:fill="8DB3E2"/>
          </w:tcPr>
          <w:p w:rsidR="009D07D1" w:rsidRPr="007D68FE" w:rsidRDefault="009D07D1" w:rsidP="001939B3">
            <w:pPr>
              <w:cnfStyle w:val="100000000000" w:firstRow="1" w:lastRow="0" w:firstColumn="0" w:lastColumn="0" w:oddVBand="0" w:evenVBand="0" w:oddHBand="0" w:evenHBand="0" w:firstRowFirstColumn="0" w:firstRowLastColumn="0" w:lastRowFirstColumn="0" w:lastRowLastColumn="0"/>
            </w:pPr>
            <w:r w:rsidRPr="007D68FE">
              <w:t>Category</w:t>
            </w:r>
          </w:p>
        </w:tc>
        <w:tc>
          <w:tcPr>
            <w:tcW w:w="3118" w:type="dxa"/>
            <w:tcBorders>
              <w:bottom w:val="none" w:sz="0" w:space="0" w:color="auto"/>
            </w:tcBorders>
            <w:shd w:val="clear" w:color="auto" w:fill="8DB3E2"/>
          </w:tcPr>
          <w:p w:rsidR="00C31AC6" w:rsidRPr="007D68FE" w:rsidRDefault="009D07D1" w:rsidP="001939B3">
            <w:pPr>
              <w:cnfStyle w:val="100000000000" w:firstRow="1" w:lastRow="0" w:firstColumn="0" w:lastColumn="0" w:oddVBand="0" w:evenVBand="0" w:oddHBand="0" w:evenHBand="0" w:firstRowFirstColumn="0" w:firstRowLastColumn="0" w:lastRowFirstColumn="0" w:lastRowLastColumn="0"/>
            </w:pPr>
            <w:r w:rsidRPr="007D68FE">
              <w:t>Sub-group</w:t>
            </w:r>
          </w:p>
        </w:tc>
        <w:tc>
          <w:tcPr>
            <w:tcW w:w="2509" w:type="dxa"/>
            <w:tcBorders>
              <w:bottom w:val="none" w:sz="0" w:space="0" w:color="auto"/>
            </w:tcBorders>
            <w:shd w:val="clear" w:color="auto" w:fill="8DB3E2"/>
          </w:tcPr>
          <w:p w:rsidR="009D07D1" w:rsidRPr="007D68FE" w:rsidRDefault="009D07D1" w:rsidP="001939B3">
            <w:pPr>
              <w:cnfStyle w:val="100000000000" w:firstRow="1" w:lastRow="0" w:firstColumn="0" w:lastColumn="0" w:oddVBand="0" w:evenVBand="0" w:oddHBand="0" w:evenHBand="0" w:firstRowFirstColumn="0" w:firstRowLastColumn="0" w:lastRowFirstColumn="0" w:lastRowLastColumn="0"/>
            </w:pPr>
            <w:r w:rsidRPr="007D68FE">
              <w:t>Number of indicators</w:t>
            </w:r>
          </w:p>
        </w:tc>
      </w:tr>
      <w:tr w:rsidR="009D07D1" w:rsidRPr="007D68FE" w:rsidTr="00D542D9">
        <w:trPr>
          <w:trHeight w:val="439"/>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tcPr>
          <w:p w:rsidR="009D07D1" w:rsidRPr="007D68FE" w:rsidRDefault="009D07D1" w:rsidP="001939B3">
            <w:pPr>
              <w:rPr>
                <w:b w:val="0"/>
              </w:rPr>
            </w:pPr>
            <w:r w:rsidRPr="007D68FE">
              <w:rPr>
                <w:b w:val="0"/>
              </w:rPr>
              <w:t>Commitment = 10%</w:t>
            </w:r>
          </w:p>
        </w:tc>
        <w:tc>
          <w:tcPr>
            <w:tcW w:w="2693"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Commitment = 10%</w:t>
            </w:r>
          </w:p>
        </w:tc>
        <w:tc>
          <w:tcPr>
            <w:tcW w:w="3118"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 xml:space="preserve">Commitment = 10% </w:t>
            </w:r>
          </w:p>
        </w:tc>
        <w:tc>
          <w:tcPr>
            <w:tcW w:w="2509"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3 indicators = 3.3% each</w:t>
            </w:r>
          </w:p>
        </w:tc>
      </w:tr>
      <w:tr w:rsidR="009D07D1" w:rsidRPr="007D68FE" w:rsidTr="00D542D9">
        <w:trPr>
          <w:trHeight w:val="423"/>
        </w:trPr>
        <w:tc>
          <w:tcPr>
            <w:cnfStyle w:val="001000000000" w:firstRow="0" w:lastRow="0" w:firstColumn="1" w:lastColumn="0" w:oddVBand="0" w:evenVBand="0" w:oddHBand="0" w:evenHBand="0" w:firstRowFirstColumn="0" w:firstRowLastColumn="0" w:lastRowFirstColumn="0" w:lastRowLastColumn="0"/>
            <w:tcW w:w="2127" w:type="dxa"/>
            <w:vMerge w:val="restart"/>
            <w:shd w:val="clear" w:color="auto" w:fill="auto"/>
          </w:tcPr>
          <w:p w:rsidR="009D07D1" w:rsidRPr="007D68FE" w:rsidRDefault="009D07D1" w:rsidP="001939B3">
            <w:pPr>
              <w:rPr>
                <w:b w:val="0"/>
              </w:rPr>
            </w:pPr>
            <w:r w:rsidRPr="007D68FE">
              <w:rPr>
                <w:b w:val="0"/>
              </w:rPr>
              <w:t>Publication = 90%</w:t>
            </w:r>
          </w:p>
        </w:tc>
        <w:tc>
          <w:tcPr>
            <w:tcW w:w="2693" w:type="dxa"/>
            <w:vMerge w:val="restart"/>
            <w:shd w:val="clear" w:color="auto" w:fill="auto"/>
          </w:tcPr>
          <w:p w:rsidR="009D07D1" w:rsidRPr="007D68FE" w:rsidRDefault="009D07D1" w:rsidP="00643E95">
            <w:pPr>
              <w:cnfStyle w:val="000000000000" w:firstRow="0" w:lastRow="0" w:firstColumn="0" w:lastColumn="0" w:oddVBand="0" w:evenVBand="0" w:oddHBand="0" w:evenHBand="0" w:firstRowFirstColumn="0" w:firstRowLastColumn="0" w:lastRowFirstColumn="0" w:lastRowLastColumn="0"/>
            </w:pPr>
            <w:r w:rsidRPr="007D68FE">
              <w:t>Organisation level = 25%</w:t>
            </w:r>
          </w:p>
        </w:tc>
        <w:tc>
          <w:tcPr>
            <w:tcW w:w="3118"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 xml:space="preserve">Organisation </w:t>
            </w:r>
            <w:r w:rsidR="007D3871">
              <w:t>–</w:t>
            </w:r>
            <w:r w:rsidRPr="007D68FE">
              <w:t xml:space="preserve"> Planning = 12.5%</w:t>
            </w:r>
          </w:p>
        </w:tc>
        <w:tc>
          <w:tcPr>
            <w:tcW w:w="2509"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5 indicators = 2.5% each</w:t>
            </w:r>
          </w:p>
        </w:tc>
      </w:tr>
      <w:tr w:rsidR="009D07D1" w:rsidRPr="007D68FE" w:rsidTr="00D542D9">
        <w:trPr>
          <w:trHeight w:val="415"/>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tcPr>
          <w:p w:rsidR="009D07D1" w:rsidRPr="007D68FE" w:rsidRDefault="009D07D1" w:rsidP="001939B3"/>
        </w:tc>
        <w:tc>
          <w:tcPr>
            <w:tcW w:w="2693" w:type="dxa"/>
            <w:vMerge/>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p>
        </w:tc>
        <w:tc>
          <w:tcPr>
            <w:tcW w:w="3118"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 xml:space="preserve">Organisation </w:t>
            </w:r>
            <w:r w:rsidR="007D3871">
              <w:t xml:space="preserve">– </w:t>
            </w:r>
            <w:r w:rsidRPr="007D68FE">
              <w:t>Financial = 12.5%</w:t>
            </w:r>
          </w:p>
        </w:tc>
        <w:tc>
          <w:tcPr>
            <w:tcW w:w="2509"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3 indicators = 4.2% each</w:t>
            </w:r>
          </w:p>
        </w:tc>
      </w:tr>
      <w:tr w:rsidR="009D07D1" w:rsidRPr="007D68FE" w:rsidTr="00D542D9">
        <w:trPr>
          <w:trHeight w:val="422"/>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tcPr>
          <w:p w:rsidR="009D07D1" w:rsidRPr="007D68FE" w:rsidRDefault="009D07D1" w:rsidP="001939B3"/>
        </w:tc>
        <w:tc>
          <w:tcPr>
            <w:tcW w:w="2693" w:type="dxa"/>
            <w:vMerge w:val="restart"/>
            <w:shd w:val="clear" w:color="auto" w:fill="auto"/>
          </w:tcPr>
          <w:p w:rsidR="009D07D1" w:rsidRPr="007D68FE" w:rsidRDefault="003C7051" w:rsidP="001939B3">
            <w:pPr>
              <w:cnfStyle w:val="000000000000" w:firstRow="0" w:lastRow="0" w:firstColumn="0" w:lastColumn="0" w:oddVBand="0" w:evenVBand="0" w:oddHBand="0" w:evenHBand="0" w:firstRowFirstColumn="0" w:firstRowLastColumn="0" w:lastRowFirstColumn="0" w:lastRowLastColumn="0"/>
            </w:pPr>
            <w:r w:rsidRPr="007D68FE">
              <w:t>Activity</w:t>
            </w:r>
            <w:r w:rsidR="001939B3">
              <w:t xml:space="preserve"> </w:t>
            </w:r>
            <w:r w:rsidRPr="007D68FE">
              <w:t>level</w:t>
            </w:r>
            <w:r w:rsidR="009D07D1" w:rsidRPr="007D68FE">
              <w:t xml:space="preserve"> = 65%</w:t>
            </w:r>
          </w:p>
        </w:tc>
        <w:tc>
          <w:tcPr>
            <w:tcW w:w="3118"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Basic activity information = 13%</w:t>
            </w:r>
          </w:p>
        </w:tc>
        <w:tc>
          <w:tcPr>
            <w:tcW w:w="2509"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8 indicators = 1.6% each</w:t>
            </w:r>
          </w:p>
        </w:tc>
      </w:tr>
      <w:tr w:rsidR="009D07D1" w:rsidRPr="007D68FE" w:rsidTr="00D542D9">
        <w:trPr>
          <w:trHeight w:val="41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tcPr>
          <w:p w:rsidR="009D07D1" w:rsidRPr="007D68FE" w:rsidRDefault="009D07D1" w:rsidP="001939B3"/>
        </w:tc>
        <w:tc>
          <w:tcPr>
            <w:tcW w:w="2693" w:type="dxa"/>
            <w:vMerge/>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p>
        </w:tc>
        <w:tc>
          <w:tcPr>
            <w:tcW w:w="3118"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Classifications = 13%</w:t>
            </w:r>
          </w:p>
        </w:tc>
        <w:tc>
          <w:tcPr>
            <w:tcW w:w="2509"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7 indicators = 1.9% each</w:t>
            </w:r>
          </w:p>
        </w:tc>
      </w:tr>
      <w:tr w:rsidR="009D07D1" w:rsidRPr="007D68FE" w:rsidTr="00D542D9">
        <w:trPr>
          <w:trHeight w:val="419"/>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tcPr>
          <w:p w:rsidR="009D07D1" w:rsidRPr="007D68FE" w:rsidRDefault="009D07D1" w:rsidP="001939B3"/>
        </w:tc>
        <w:tc>
          <w:tcPr>
            <w:tcW w:w="2693" w:type="dxa"/>
            <w:vMerge/>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p>
        </w:tc>
        <w:tc>
          <w:tcPr>
            <w:tcW w:w="3118"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Related documents</w:t>
            </w:r>
            <w:r w:rsidR="00643E95">
              <w:t xml:space="preserve"> </w:t>
            </w:r>
            <w:r w:rsidRPr="007D68FE">
              <w:t>= 13%</w:t>
            </w:r>
          </w:p>
        </w:tc>
        <w:tc>
          <w:tcPr>
            <w:tcW w:w="2509"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6 indicators = 2.2% each</w:t>
            </w:r>
          </w:p>
        </w:tc>
      </w:tr>
      <w:tr w:rsidR="009D07D1" w:rsidRPr="007D68FE" w:rsidTr="00D542D9">
        <w:trPr>
          <w:trHeight w:val="410"/>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tcPr>
          <w:p w:rsidR="009D07D1" w:rsidRPr="007D68FE" w:rsidRDefault="009D07D1" w:rsidP="001939B3"/>
        </w:tc>
        <w:tc>
          <w:tcPr>
            <w:tcW w:w="2693" w:type="dxa"/>
            <w:vMerge/>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p>
        </w:tc>
        <w:tc>
          <w:tcPr>
            <w:tcW w:w="3118"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Financial = 13%</w:t>
            </w:r>
          </w:p>
        </w:tc>
        <w:tc>
          <w:tcPr>
            <w:tcW w:w="2509"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 xml:space="preserve">4 indicators = 3.3% each </w:t>
            </w:r>
          </w:p>
        </w:tc>
      </w:tr>
      <w:tr w:rsidR="009D07D1" w:rsidRPr="007D68FE" w:rsidTr="00D542D9">
        <w:trPr>
          <w:trHeight w:val="404"/>
        </w:trPr>
        <w:tc>
          <w:tcPr>
            <w:cnfStyle w:val="001000000000" w:firstRow="0" w:lastRow="0" w:firstColumn="1" w:lastColumn="0" w:oddVBand="0" w:evenVBand="0" w:oddHBand="0" w:evenHBand="0" w:firstRowFirstColumn="0" w:firstRowLastColumn="0" w:lastRowFirstColumn="0" w:lastRowLastColumn="0"/>
            <w:tcW w:w="2127" w:type="dxa"/>
            <w:vMerge/>
            <w:shd w:val="clear" w:color="auto" w:fill="auto"/>
          </w:tcPr>
          <w:p w:rsidR="009D07D1" w:rsidRPr="007D68FE" w:rsidRDefault="009D07D1" w:rsidP="001939B3"/>
        </w:tc>
        <w:tc>
          <w:tcPr>
            <w:tcW w:w="2693" w:type="dxa"/>
            <w:vMerge/>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p>
        </w:tc>
        <w:tc>
          <w:tcPr>
            <w:tcW w:w="3118"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Performance = 13%</w:t>
            </w:r>
          </w:p>
        </w:tc>
        <w:tc>
          <w:tcPr>
            <w:tcW w:w="2509"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pPr>
            <w:r w:rsidRPr="007D68FE">
              <w:t>3 indicators = 4.3% each</w:t>
            </w:r>
          </w:p>
        </w:tc>
      </w:tr>
      <w:tr w:rsidR="009D07D1" w:rsidRPr="007D68FE" w:rsidTr="00D542D9">
        <w:tc>
          <w:tcPr>
            <w:cnfStyle w:val="001000000000" w:firstRow="0" w:lastRow="0" w:firstColumn="1" w:lastColumn="0" w:oddVBand="0" w:evenVBand="0" w:oddHBand="0" w:evenHBand="0" w:firstRowFirstColumn="0" w:firstRowLastColumn="0" w:lastRowFirstColumn="0" w:lastRowLastColumn="0"/>
            <w:tcW w:w="2127" w:type="dxa"/>
            <w:shd w:val="clear" w:color="auto" w:fill="auto"/>
          </w:tcPr>
          <w:p w:rsidR="009D07D1" w:rsidRPr="007D68FE" w:rsidRDefault="009D07D1" w:rsidP="001939B3">
            <w:r w:rsidRPr="007D68FE">
              <w:t>Total</w:t>
            </w:r>
          </w:p>
        </w:tc>
        <w:tc>
          <w:tcPr>
            <w:tcW w:w="2693"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rPr>
                <w:b/>
              </w:rPr>
            </w:pPr>
          </w:p>
        </w:tc>
        <w:tc>
          <w:tcPr>
            <w:tcW w:w="3118"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rPr>
                <w:b/>
              </w:rPr>
            </w:pPr>
          </w:p>
        </w:tc>
        <w:tc>
          <w:tcPr>
            <w:tcW w:w="2509" w:type="dxa"/>
            <w:shd w:val="clear" w:color="auto" w:fill="auto"/>
          </w:tcPr>
          <w:p w:rsidR="009D07D1" w:rsidRPr="007D68FE" w:rsidRDefault="009D07D1" w:rsidP="001939B3">
            <w:pPr>
              <w:cnfStyle w:val="000000000000" w:firstRow="0" w:lastRow="0" w:firstColumn="0" w:lastColumn="0" w:oddVBand="0" w:evenVBand="0" w:oddHBand="0" w:evenHBand="0" w:firstRowFirstColumn="0" w:firstRowLastColumn="0" w:lastRowFirstColumn="0" w:lastRowLastColumn="0"/>
              <w:rPr>
                <w:b/>
              </w:rPr>
            </w:pPr>
            <w:r w:rsidRPr="007D68FE">
              <w:rPr>
                <w:b/>
              </w:rPr>
              <w:t>39 indicators = 100%</w:t>
            </w:r>
          </w:p>
        </w:tc>
      </w:tr>
    </w:tbl>
    <w:p w:rsidR="00637F3A" w:rsidRPr="00423FCC" w:rsidRDefault="00637F3A" w:rsidP="00935A49">
      <w:pPr>
        <w:spacing w:after="0" w:line="240" w:lineRule="auto"/>
      </w:pPr>
    </w:p>
    <w:p w:rsidR="00FE2E28" w:rsidRDefault="001939B3" w:rsidP="00935A49">
      <w:pPr>
        <w:spacing w:after="0" w:line="240" w:lineRule="auto"/>
      </w:pPr>
      <w:r>
        <w:t>As in previous years</w:t>
      </w:r>
      <w:r w:rsidR="005A51CF" w:rsidRPr="00423FCC">
        <w:t>, c</w:t>
      </w:r>
      <w:r w:rsidR="0055426C" w:rsidRPr="00423FCC">
        <w:t xml:space="preserve">ommitment to </w:t>
      </w:r>
      <w:r>
        <w:t xml:space="preserve">aid </w:t>
      </w:r>
      <w:r w:rsidR="0055426C" w:rsidRPr="00423FCC">
        <w:t xml:space="preserve">transparency remains important, but the aid transparency agenda </w:t>
      </w:r>
      <w:r>
        <w:t>is</w:t>
      </w:r>
      <w:r w:rsidR="0055426C" w:rsidRPr="00423FCC">
        <w:t xml:space="preserve"> sufficiently well-established for organisations to be primarily </w:t>
      </w:r>
      <w:r>
        <w:t>assessed</w:t>
      </w:r>
      <w:r w:rsidR="0055426C" w:rsidRPr="00423FCC">
        <w:t xml:space="preserve"> on </w:t>
      </w:r>
      <w:r>
        <w:t>their</w:t>
      </w:r>
      <w:r w:rsidR="0055426C" w:rsidRPr="00423FCC">
        <w:t xml:space="preserve"> actual publication. </w:t>
      </w:r>
      <w:r w:rsidR="005D1BE7">
        <w:t>Although o</w:t>
      </w:r>
      <w:r w:rsidR="006F2947" w:rsidRPr="00423FCC">
        <w:t>rganisation-</w:t>
      </w:r>
      <w:r w:rsidR="0055426C" w:rsidRPr="00423FCC">
        <w:t xml:space="preserve">level publications such as annual reports </w:t>
      </w:r>
      <w:r w:rsidR="006F2947" w:rsidRPr="00423FCC">
        <w:t>are important, activity-</w:t>
      </w:r>
      <w:r w:rsidR="0055426C" w:rsidRPr="00423FCC">
        <w:t>level information is critical in order for information to be useful to recipient country governments</w:t>
      </w:r>
      <w:r w:rsidR="006F2947" w:rsidRPr="00423FCC">
        <w:t>, civil society</w:t>
      </w:r>
      <w:r w:rsidR="0055426C" w:rsidRPr="00423FCC">
        <w:t xml:space="preserve"> and </w:t>
      </w:r>
      <w:r w:rsidR="006F2947" w:rsidRPr="00423FCC">
        <w:t>other</w:t>
      </w:r>
      <w:r w:rsidR="00EB6175" w:rsidRPr="00423FCC">
        <w:t xml:space="preserve"> stakeholders. This is reflected in </w:t>
      </w:r>
      <w:r w:rsidR="005D1BE7">
        <w:t xml:space="preserve">the </w:t>
      </w:r>
      <w:r w:rsidR="005A51CF" w:rsidRPr="00423FCC">
        <w:t>decision to assign he</w:t>
      </w:r>
      <w:r w:rsidR="005D1BE7">
        <w:t xml:space="preserve">avier weighting to the activity </w:t>
      </w:r>
      <w:r w:rsidR="005A51CF" w:rsidRPr="00423FCC">
        <w:t>level</w:t>
      </w:r>
      <w:r w:rsidR="00EB6175" w:rsidRPr="00423FCC">
        <w:t>.</w:t>
      </w:r>
      <w:r w:rsidR="00643E95">
        <w:t xml:space="preserve"> </w:t>
      </w:r>
      <w:r w:rsidR="0055426C" w:rsidRPr="00423FCC">
        <w:t>Within these levels, the various sub</w:t>
      </w:r>
      <w:r w:rsidR="00A660F4">
        <w:t>-</w:t>
      </w:r>
      <w:r w:rsidR="0055426C" w:rsidRPr="00423FCC">
        <w:t>groups of information type are weighted equally.</w:t>
      </w:r>
      <w:r w:rsidR="00744441" w:rsidRPr="00423FCC">
        <w:rPr>
          <w:rStyle w:val="FootnoteReference"/>
        </w:rPr>
        <w:t xml:space="preserve"> </w:t>
      </w:r>
      <w:r w:rsidR="005A51CF" w:rsidRPr="00423FCC">
        <w:t>Organisation-</w:t>
      </w:r>
      <w:r w:rsidR="0055426C" w:rsidRPr="00423FCC">
        <w:t>level information is split into two equal sub</w:t>
      </w:r>
      <w:r w:rsidR="00A660F4">
        <w:t>-</w:t>
      </w:r>
      <w:r w:rsidR="0055426C" w:rsidRPr="00423FCC">
        <w:t>groups of planning information (12.5%) and financial information (12.5%). A</w:t>
      </w:r>
      <w:r w:rsidR="005A51CF" w:rsidRPr="00423FCC">
        <w:t>ctivity-</w:t>
      </w:r>
      <w:r w:rsidR="0055426C" w:rsidRPr="00423FCC">
        <w:t>level information is split into five equal sub</w:t>
      </w:r>
      <w:r w:rsidR="00A660F4">
        <w:t>-</w:t>
      </w:r>
      <w:r w:rsidR="0055426C" w:rsidRPr="00423FCC">
        <w:t>groups as</w:t>
      </w:r>
      <w:r w:rsidR="005A51CF" w:rsidRPr="00423FCC">
        <w:t xml:space="preserve"> described</w:t>
      </w:r>
      <w:r w:rsidR="0055426C" w:rsidRPr="00423FCC">
        <w:t xml:space="preserve"> above. </w:t>
      </w:r>
      <w:r w:rsidR="00F935B3" w:rsidRPr="001B3A49">
        <w:t>As the number of indicators in each sub-group varies, individual indicators within each category carry different weights.</w:t>
      </w:r>
      <w:r w:rsidR="00345D43">
        <w:t xml:space="preserve"> </w:t>
      </w:r>
      <w:r w:rsidR="00FE2E28" w:rsidRPr="00423FCC">
        <w:t xml:space="preserve">Individual indicator weights are set out in Table </w:t>
      </w:r>
      <w:r w:rsidR="00A660F4">
        <w:t>4</w:t>
      </w:r>
      <w:r w:rsidR="007D3871">
        <w:t xml:space="preserve"> below.</w:t>
      </w:r>
    </w:p>
    <w:p w:rsidR="00913ED9" w:rsidRPr="00423FCC" w:rsidRDefault="00913ED9" w:rsidP="00935A49">
      <w:pPr>
        <w:spacing w:after="0" w:line="240" w:lineRule="auto"/>
      </w:pPr>
    </w:p>
    <w:p w:rsidR="00FE2E28" w:rsidRDefault="00A660F4" w:rsidP="00935A49">
      <w:pPr>
        <w:spacing w:after="0" w:line="240" w:lineRule="auto"/>
        <w:rPr>
          <w:rFonts w:ascii="Cambria" w:eastAsia="Calibri" w:hAnsi="Cambria" w:cs="Times New Roman"/>
          <w:b/>
          <w:bCs/>
          <w:color w:val="4F81BD"/>
          <w:sz w:val="24"/>
        </w:rPr>
      </w:pPr>
      <w:r>
        <w:rPr>
          <w:rFonts w:ascii="Cambria" w:eastAsia="Calibri" w:hAnsi="Cambria" w:cs="Times New Roman"/>
          <w:b/>
          <w:bCs/>
          <w:color w:val="4F81BD"/>
          <w:sz w:val="24"/>
        </w:rPr>
        <w:t>Table 4</w:t>
      </w:r>
      <w:r w:rsidR="00FE2E28" w:rsidRPr="00913ED9">
        <w:rPr>
          <w:rFonts w:ascii="Cambria" w:eastAsia="Calibri" w:hAnsi="Cambria" w:cs="Times New Roman"/>
          <w:b/>
          <w:bCs/>
          <w:color w:val="4F81BD"/>
          <w:sz w:val="24"/>
        </w:rPr>
        <w:t xml:space="preserve">: Indicator weighting in </w:t>
      </w:r>
      <w:r w:rsidR="005D1BE7">
        <w:rPr>
          <w:rFonts w:ascii="Cambria" w:eastAsia="Calibri" w:hAnsi="Cambria" w:cs="Times New Roman"/>
          <w:b/>
          <w:bCs/>
          <w:color w:val="4F81BD"/>
          <w:sz w:val="24"/>
        </w:rPr>
        <w:t>2014</w:t>
      </w:r>
    </w:p>
    <w:p w:rsidR="00913ED9" w:rsidRDefault="00913ED9" w:rsidP="00935A49">
      <w:pPr>
        <w:spacing w:after="0" w:line="240" w:lineRule="auto"/>
        <w:rPr>
          <w:rFonts w:ascii="Cambria" w:eastAsia="Calibri" w:hAnsi="Cambria" w:cs="Times New Roman"/>
          <w:b/>
          <w:bCs/>
          <w:color w:val="4F81BD"/>
          <w:sz w:val="24"/>
        </w:rPr>
      </w:pPr>
    </w:p>
    <w:tbl>
      <w:tblPr>
        <w:tblW w:w="14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418"/>
        <w:gridCol w:w="3402"/>
        <w:gridCol w:w="6520"/>
        <w:gridCol w:w="1276"/>
      </w:tblGrid>
      <w:tr w:rsidR="005D1BE7" w:rsidRPr="00423FCC" w:rsidTr="00460AF2">
        <w:trPr>
          <w:trHeight w:val="225"/>
        </w:trPr>
        <w:tc>
          <w:tcPr>
            <w:tcW w:w="1701" w:type="dxa"/>
            <w:tcBorders>
              <w:bottom w:val="single" w:sz="4" w:space="0" w:color="auto"/>
            </w:tcBorders>
            <w:shd w:val="clear" w:color="auto" w:fill="auto"/>
            <w:hideMark/>
          </w:tcPr>
          <w:p w:rsidR="005D1BE7" w:rsidRPr="00423FCC" w:rsidRDefault="005D1BE7" w:rsidP="00BB68EC">
            <w:pPr>
              <w:spacing w:after="0" w:line="240" w:lineRule="auto"/>
              <w:contextualSpacing/>
              <w:jc w:val="center"/>
              <w:rPr>
                <w:rFonts w:eastAsia="Calibri" w:cs="Times New Roman"/>
                <w:b/>
                <w:bCs/>
                <w:sz w:val="20"/>
                <w:szCs w:val="20"/>
              </w:rPr>
            </w:pPr>
            <w:r w:rsidRPr="00423FCC">
              <w:rPr>
                <w:rFonts w:eastAsia="Calibri" w:cs="Times New Roman"/>
                <w:b/>
                <w:bCs/>
                <w:sz w:val="20"/>
                <w:szCs w:val="20"/>
              </w:rPr>
              <w:t>Category</w:t>
            </w:r>
          </w:p>
        </w:tc>
        <w:tc>
          <w:tcPr>
            <w:tcW w:w="1418" w:type="dxa"/>
            <w:tcBorders>
              <w:bottom w:val="single" w:sz="4" w:space="0" w:color="auto"/>
            </w:tcBorders>
            <w:shd w:val="clear" w:color="auto" w:fill="auto"/>
          </w:tcPr>
          <w:p w:rsidR="005D1BE7" w:rsidRPr="00423FCC" w:rsidRDefault="005D1BE7" w:rsidP="00BB68EC">
            <w:pPr>
              <w:spacing w:after="0" w:line="240" w:lineRule="auto"/>
              <w:contextualSpacing/>
              <w:jc w:val="center"/>
              <w:rPr>
                <w:rFonts w:eastAsia="Calibri" w:cs="Times New Roman"/>
                <w:b/>
                <w:bCs/>
                <w:sz w:val="20"/>
                <w:szCs w:val="20"/>
              </w:rPr>
            </w:pPr>
            <w:r w:rsidRPr="00423FCC">
              <w:rPr>
                <w:rFonts w:eastAsia="Calibri" w:cs="Times New Roman"/>
                <w:b/>
                <w:bCs/>
                <w:sz w:val="20"/>
                <w:szCs w:val="20"/>
              </w:rPr>
              <w:t>Sub</w:t>
            </w:r>
            <w:r>
              <w:rPr>
                <w:rFonts w:eastAsia="Calibri" w:cs="Times New Roman"/>
                <w:b/>
                <w:bCs/>
                <w:sz w:val="20"/>
                <w:szCs w:val="20"/>
              </w:rPr>
              <w:t>-</w:t>
            </w:r>
            <w:r w:rsidRPr="00423FCC">
              <w:rPr>
                <w:rFonts w:eastAsia="Calibri" w:cs="Times New Roman"/>
                <w:b/>
                <w:bCs/>
                <w:sz w:val="20"/>
                <w:szCs w:val="20"/>
              </w:rPr>
              <w:t>group</w:t>
            </w:r>
          </w:p>
        </w:tc>
        <w:tc>
          <w:tcPr>
            <w:tcW w:w="3402" w:type="dxa"/>
            <w:tcBorders>
              <w:bottom w:val="single" w:sz="4" w:space="0" w:color="auto"/>
            </w:tcBorders>
            <w:shd w:val="clear" w:color="auto" w:fill="auto"/>
            <w:noWrap/>
            <w:hideMark/>
          </w:tcPr>
          <w:p w:rsidR="005D1BE7" w:rsidRPr="00423FCC" w:rsidRDefault="005D1BE7" w:rsidP="00BB68EC">
            <w:pPr>
              <w:spacing w:after="0" w:line="240" w:lineRule="auto"/>
              <w:contextualSpacing/>
              <w:jc w:val="center"/>
              <w:rPr>
                <w:rFonts w:eastAsia="Calibri" w:cs="Times New Roman"/>
                <w:b/>
                <w:bCs/>
                <w:sz w:val="20"/>
                <w:szCs w:val="20"/>
              </w:rPr>
            </w:pPr>
            <w:r w:rsidRPr="00423FCC">
              <w:rPr>
                <w:rFonts w:eastAsia="Calibri" w:cs="Times New Roman"/>
                <w:b/>
                <w:bCs/>
                <w:sz w:val="20"/>
                <w:szCs w:val="20"/>
              </w:rPr>
              <w:t>Indicator</w:t>
            </w:r>
          </w:p>
        </w:tc>
        <w:tc>
          <w:tcPr>
            <w:tcW w:w="6520" w:type="dxa"/>
            <w:tcBorders>
              <w:bottom w:val="single" w:sz="4" w:space="0" w:color="auto"/>
            </w:tcBorders>
          </w:tcPr>
          <w:p w:rsidR="005D1BE7" w:rsidRPr="00423FCC" w:rsidRDefault="005D1BE7" w:rsidP="00BB68EC">
            <w:pPr>
              <w:spacing w:after="0" w:line="240" w:lineRule="auto"/>
              <w:contextualSpacing/>
              <w:jc w:val="center"/>
              <w:rPr>
                <w:b/>
                <w:bCs/>
                <w:sz w:val="20"/>
                <w:szCs w:val="20"/>
              </w:rPr>
            </w:pPr>
            <w:r w:rsidRPr="00423FCC">
              <w:rPr>
                <w:b/>
                <w:bCs/>
                <w:sz w:val="20"/>
                <w:szCs w:val="20"/>
              </w:rPr>
              <w:t>Scoring Approach</w:t>
            </w:r>
          </w:p>
        </w:tc>
        <w:tc>
          <w:tcPr>
            <w:tcW w:w="1276" w:type="dxa"/>
            <w:tcBorders>
              <w:bottom w:val="single" w:sz="4" w:space="0" w:color="auto"/>
            </w:tcBorders>
          </w:tcPr>
          <w:p w:rsidR="005D1BE7" w:rsidRPr="00423FCC" w:rsidRDefault="005D1BE7" w:rsidP="00BB68EC">
            <w:pPr>
              <w:spacing w:after="0" w:line="240" w:lineRule="auto"/>
              <w:contextualSpacing/>
              <w:jc w:val="center"/>
              <w:rPr>
                <w:b/>
                <w:bCs/>
                <w:sz w:val="20"/>
                <w:szCs w:val="20"/>
              </w:rPr>
            </w:pPr>
            <w:r>
              <w:rPr>
                <w:b/>
                <w:bCs/>
                <w:sz w:val="20"/>
                <w:szCs w:val="20"/>
              </w:rPr>
              <w:t>Weight</w:t>
            </w:r>
          </w:p>
        </w:tc>
      </w:tr>
      <w:tr w:rsidR="00460AF2" w:rsidRPr="00423FCC" w:rsidTr="00460AF2">
        <w:trPr>
          <w:trHeight w:val="225"/>
        </w:trPr>
        <w:tc>
          <w:tcPr>
            <w:tcW w:w="1701" w:type="dxa"/>
            <w:vMerge w:val="restart"/>
            <w:shd w:val="clear" w:color="auto" w:fill="8DB3E2"/>
            <w:noWrap/>
          </w:tcPr>
          <w:p w:rsidR="005D1BE7" w:rsidRPr="00423FCC" w:rsidRDefault="005D1BE7" w:rsidP="00BB68EC">
            <w:pPr>
              <w:spacing w:after="0" w:line="240" w:lineRule="auto"/>
              <w:contextualSpacing/>
              <w:rPr>
                <w:rFonts w:eastAsia="Calibri" w:cs="Times New Roman"/>
                <w:sz w:val="20"/>
                <w:szCs w:val="20"/>
              </w:rPr>
            </w:pPr>
            <w:r w:rsidRPr="00423FCC">
              <w:rPr>
                <w:rFonts w:eastAsia="Calibri" w:cs="Times New Roman"/>
                <w:sz w:val="20"/>
                <w:szCs w:val="20"/>
              </w:rPr>
              <w:t>Commitment to aid transparency</w:t>
            </w:r>
          </w:p>
        </w:tc>
        <w:tc>
          <w:tcPr>
            <w:tcW w:w="1418" w:type="dxa"/>
            <w:vMerge w:val="restart"/>
            <w:shd w:val="clear" w:color="auto" w:fill="8DB3E2"/>
          </w:tcPr>
          <w:p w:rsidR="005D1BE7" w:rsidRPr="00423FCC" w:rsidRDefault="005D1BE7" w:rsidP="00BB68EC">
            <w:pPr>
              <w:spacing w:after="0" w:line="240" w:lineRule="auto"/>
              <w:contextualSpacing/>
              <w:rPr>
                <w:rFonts w:eastAsia="Calibri" w:cs="Times New Roman"/>
                <w:sz w:val="20"/>
                <w:szCs w:val="20"/>
              </w:rPr>
            </w:pPr>
            <w:r w:rsidRPr="00423FCC">
              <w:rPr>
                <w:rFonts w:eastAsia="Calibri" w:cs="Times New Roman"/>
                <w:sz w:val="20"/>
                <w:szCs w:val="20"/>
              </w:rPr>
              <w:t>Commitment</w:t>
            </w:r>
          </w:p>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8DB3E2"/>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Quality of FOI legislation</w:t>
            </w:r>
          </w:p>
        </w:tc>
        <w:tc>
          <w:tcPr>
            <w:tcW w:w="6520" w:type="dxa"/>
            <w:shd w:val="clear" w:color="auto" w:fill="8DB3E2"/>
          </w:tcPr>
          <w:p w:rsidR="005D1BE7" w:rsidRPr="00423FCC" w:rsidRDefault="005D1BE7" w:rsidP="00BB68EC">
            <w:pPr>
              <w:spacing w:after="0" w:line="240" w:lineRule="auto"/>
              <w:rPr>
                <w:sz w:val="20"/>
                <w:szCs w:val="20"/>
              </w:rPr>
            </w:pPr>
            <w:r w:rsidRPr="00423FCC">
              <w:rPr>
                <w:sz w:val="20"/>
                <w:szCs w:val="20"/>
              </w:rPr>
              <w:t xml:space="preserve">Graduated based on the score given in </w:t>
            </w:r>
            <w:r>
              <w:rPr>
                <w:sz w:val="20"/>
                <w:szCs w:val="20"/>
              </w:rPr>
              <w:t>Right To Information (</w:t>
            </w:r>
            <w:r w:rsidRPr="00423FCC">
              <w:rPr>
                <w:sz w:val="20"/>
                <w:szCs w:val="20"/>
              </w:rPr>
              <w:t>RTI</w:t>
            </w:r>
            <w:r>
              <w:rPr>
                <w:sz w:val="20"/>
                <w:szCs w:val="20"/>
              </w:rPr>
              <w:t>)</w:t>
            </w:r>
            <w:r w:rsidRPr="00423FCC">
              <w:rPr>
                <w:sz w:val="20"/>
                <w:szCs w:val="20"/>
              </w:rPr>
              <w:t xml:space="preserve"> Rating.</w:t>
            </w:r>
            <w:r>
              <w:rPr>
                <w:rStyle w:val="FootnoteReference"/>
                <w:sz w:val="20"/>
                <w:szCs w:val="20"/>
              </w:rPr>
              <w:footnoteReference w:id="13"/>
            </w:r>
          </w:p>
        </w:tc>
        <w:tc>
          <w:tcPr>
            <w:tcW w:w="1276" w:type="dxa"/>
            <w:shd w:val="clear" w:color="auto" w:fill="8DB3E2"/>
          </w:tcPr>
          <w:p w:rsidR="005D1BE7" w:rsidRPr="00423FCC" w:rsidRDefault="005D1BE7" w:rsidP="00BB68EC">
            <w:pPr>
              <w:spacing w:after="0" w:line="240" w:lineRule="auto"/>
              <w:rPr>
                <w:sz w:val="20"/>
                <w:szCs w:val="20"/>
              </w:rPr>
            </w:pPr>
            <w:r>
              <w:rPr>
                <w:sz w:val="20"/>
                <w:szCs w:val="20"/>
              </w:rPr>
              <w:t>3.33%</w:t>
            </w:r>
          </w:p>
        </w:tc>
      </w:tr>
      <w:tr w:rsidR="00460AF2" w:rsidRPr="00423FCC" w:rsidTr="00460AF2">
        <w:trPr>
          <w:trHeight w:val="225"/>
        </w:trPr>
        <w:tc>
          <w:tcPr>
            <w:tcW w:w="1701" w:type="dxa"/>
            <w:vMerge/>
            <w:shd w:val="clear" w:color="auto" w:fill="8DB3E2"/>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8DB3E2"/>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8DB3E2"/>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Implementation schedules</w:t>
            </w:r>
          </w:p>
        </w:tc>
        <w:tc>
          <w:tcPr>
            <w:tcW w:w="6520" w:type="dxa"/>
            <w:shd w:val="clear" w:color="auto" w:fill="8DB3E2"/>
          </w:tcPr>
          <w:p w:rsidR="005D1BE7" w:rsidRPr="00423FCC" w:rsidRDefault="005D1BE7" w:rsidP="00BB68EC">
            <w:pPr>
              <w:spacing w:after="0" w:line="240" w:lineRule="auto"/>
              <w:rPr>
                <w:sz w:val="20"/>
                <w:szCs w:val="20"/>
              </w:rPr>
            </w:pPr>
            <w:r w:rsidRPr="00423FCC">
              <w:rPr>
                <w:sz w:val="20"/>
                <w:szCs w:val="20"/>
              </w:rPr>
              <w:t>Graduated based on the total score received out of 100 based on analysis of Busan common standard/IATI implementation schedules.</w:t>
            </w:r>
          </w:p>
        </w:tc>
        <w:tc>
          <w:tcPr>
            <w:tcW w:w="1276" w:type="dxa"/>
            <w:shd w:val="clear" w:color="auto" w:fill="8DB3E2"/>
          </w:tcPr>
          <w:p w:rsidR="005D1BE7" w:rsidRPr="00423FCC" w:rsidRDefault="005D1BE7" w:rsidP="00BB68EC">
            <w:pPr>
              <w:spacing w:after="0" w:line="240" w:lineRule="auto"/>
              <w:rPr>
                <w:sz w:val="20"/>
                <w:szCs w:val="20"/>
              </w:rPr>
            </w:pPr>
            <w:r>
              <w:rPr>
                <w:sz w:val="20"/>
                <w:szCs w:val="20"/>
              </w:rPr>
              <w:t>3.33%</w:t>
            </w:r>
          </w:p>
        </w:tc>
      </w:tr>
      <w:tr w:rsidR="00460AF2" w:rsidRPr="00423FCC" w:rsidTr="00460AF2">
        <w:trPr>
          <w:trHeight w:val="225"/>
        </w:trPr>
        <w:tc>
          <w:tcPr>
            <w:tcW w:w="1701" w:type="dxa"/>
            <w:vMerge/>
            <w:tcBorders>
              <w:bottom w:val="single" w:sz="4" w:space="0" w:color="auto"/>
            </w:tcBorders>
            <w:shd w:val="clear" w:color="auto" w:fill="8DB3E2"/>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tcBorders>
              <w:bottom w:val="single" w:sz="4" w:space="0" w:color="auto"/>
            </w:tcBorders>
            <w:shd w:val="clear" w:color="auto" w:fill="8DB3E2"/>
          </w:tcPr>
          <w:p w:rsidR="005D1BE7" w:rsidRPr="00423FCC" w:rsidRDefault="005D1BE7" w:rsidP="00BB68EC">
            <w:pPr>
              <w:spacing w:after="0" w:line="240" w:lineRule="auto"/>
              <w:contextualSpacing/>
              <w:rPr>
                <w:rFonts w:eastAsia="Calibri" w:cs="Times New Roman"/>
                <w:sz w:val="20"/>
                <w:szCs w:val="20"/>
              </w:rPr>
            </w:pPr>
          </w:p>
        </w:tc>
        <w:tc>
          <w:tcPr>
            <w:tcW w:w="3402" w:type="dxa"/>
            <w:tcBorders>
              <w:bottom w:val="single" w:sz="4" w:space="0" w:color="auto"/>
            </w:tcBorders>
            <w:shd w:val="clear" w:color="auto" w:fill="8DB3E2"/>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 xml:space="preserve">Accessibility </w:t>
            </w:r>
          </w:p>
        </w:tc>
        <w:tc>
          <w:tcPr>
            <w:tcW w:w="6520" w:type="dxa"/>
            <w:tcBorders>
              <w:bottom w:val="single" w:sz="4" w:space="0" w:color="auto"/>
            </w:tcBorders>
            <w:shd w:val="clear" w:color="auto" w:fill="8DB3E2"/>
          </w:tcPr>
          <w:p w:rsidR="005D1BE7" w:rsidRPr="00423FCC" w:rsidRDefault="005D1BE7" w:rsidP="00BB68EC">
            <w:pPr>
              <w:tabs>
                <w:tab w:val="left" w:pos="3577"/>
              </w:tabs>
              <w:spacing w:after="0" w:line="240" w:lineRule="auto"/>
              <w:ind w:right="34"/>
              <w:rPr>
                <w:sz w:val="20"/>
                <w:szCs w:val="20"/>
              </w:rPr>
            </w:pPr>
            <w:r w:rsidRPr="00423FCC">
              <w:rPr>
                <w:sz w:val="20"/>
                <w:szCs w:val="20"/>
              </w:rPr>
              <w:t xml:space="preserve">Graduated </w:t>
            </w:r>
            <w:r>
              <w:rPr>
                <w:sz w:val="20"/>
                <w:szCs w:val="20"/>
              </w:rPr>
              <w:t>b</w:t>
            </w:r>
            <w:r w:rsidRPr="00423FCC">
              <w:rPr>
                <w:sz w:val="20"/>
                <w:szCs w:val="20"/>
              </w:rPr>
              <w:t xml:space="preserve">ased on three criteria: allows free bulk export of data; provides disaggregated, detailed data on activities; and data is released under an open licence. </w:t>
            </w:r>
          </w:p>
        </w:tc>
        <w:tc>
          <w:tcPr>
            <w:tcW w:w="1276" w:type="dxa"/>
            <w:tcBorders>
              <w:bottom w:val="single" w:sz="4" w:space="0" w:color="auto"/>
            </w:tcBorders>
            <w:shd w:val="clear" w:color="auto" w:fill="8DB3E2"/>
          </w:tcPr>
          <w:p w:rsidR="005D1BE7" w:rsidRPr="00423FCC" w:rsidRDefault="005D1BE7" w:rsidP="00BB68EC">
            <w:pPr>
              <w:tabs>
                <w:tab w:val="left" w:pos="3577"/>
              </w:tabs>
              <w:spacing w:after="0" w:line="240" w:lineRule="auto"/>
              <w:ind w:right="34"/>
              <w:rPr>
                <w:sz w:val="20"/>
                <w:szCs w:val="20"/>
              </w:rPr>
            </w:pPr>
            <w:r>
              <w:rPr>
                <w:sz w:val="20"/>
                <w:szCs w:val="20"/>
              </w:rPr>
              <w:t>3.33%</w:t>
            </w:r>
          </w:p>
        </w:tc>
      </w:tr>
      <w:tr w:rsidR="00460AF2" w:rsidRPr="00423FCC" w:rsidTr="00460AF2">
        <w:trPr>
          <w:trHeight w:val="225"/>
        </w:trPr>
        <w:tc>
          <w:tcPr>
            <w:tcW w:w="1701" w:type="dxa"/>
            <w:vMerge w:val="restart"/>
            <w:shd w:val="clear" w:color="auto" w:fill="C6D9F1"/>
            <w:noWrap/>
          </w:tcPr>
          <w:p w:rsidR="005D1BE7" w:rsidRPr="00423FCC" w:rsidRDefault="005D1BE7" w:rsidP="00BB68EC">
            <w:pPr>
              <w:spacing w:after="0" w:line="240" w:lineRule="auto"/>
              <w:contextualSpacing/>
              <w:rPr>
                <w:rFonts w:eastAsia="Calibri" w:cs="Times New Roman"/>
                <w:sz w:val="20"/>
                <w:szCs w:val="20"/>
              </w:rPr>
            </w:pPr>
            <w:r w:rsidRPr="00423FCC">
              <w:rPr>
                <w:sz w:val="20"/>
                <w:szCs w:val="20"/>
              </w:rPr>
              <w:t>Publication –</w:t>
            </w:r>
            <w:r w:rsidRPr="00423FCC">
              <w:rPr>
                <w:rFonts w:eastAsia="Calibri" w:cs="Times New Roman"/>
                <w:sz w:val="20"/>
                <w:szCs w:val="20"/>
              </w:rPr>
              <w:t xml:space="preserve"> Organisation level</w:t>
            </w:r>
          </w:p>
        </w:tc>
        <w:tc>
          <w:tcPr>
            <w:tcW w:w="1418" w:type="dxa"/>
            <w:vMerge w:val="restart"/>
            <w:shd w:val="clear" w:color="auto" w:fill="C6D9F1"/>
          </w:tcPr>
          <w:p w:rsidR="005D1BE7" w:rsidRPr="00423FCC" w:rsidRDefault="005D1BE7" w:rsidP="00BB68EC">
            <w:pPr>
              <w:spacing w:after="0" w:line="240" w:lineRule="auto"/>
              <w:contextualSpacing/>
              <w:rPr>
                <w:rFonts w:eastAsia="Calibri" w:cs="Times New Roman"/>
                <w:sz w:val="20"/>
                <w:szCs w:val="20"/>
              </w:rPr>
            </w:pPr>
            <w:r w:rsidRPr="00423FCC">
              <w:rPr>
                <w:rFonts w:eastAsia="Calibri" w:cs="Times New Roman"/>
                <w:sz w:val="20"/>
                <w:szCs w:val="20"/>
              </w:rPr>
              <w:t>Planning</w:t>
            </w:r>
          </w:p>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C6D9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Strategy</w:t>
            </w:r>
          </w:p>
        </w:tc>
        <w:tc>
          <w:tcPr>
            <w:tcW w:w="6520" w:type="dxa"/>
            <w:shd w:val="clear" w:color="auto" w:fill="C6D9F1"/>
          </w:tcPr>
          <w:p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C6D9F1"/>
          </w:tcPr>
          <w:p w:rsidR="005D1BE7" w:rsidRPr="00423FCC" w:rsidRDefault="005D1BE7" w:rsidP="00BB68EC">
            <w:pPr>
              <w:spacing w:after="0" w:line="240" w:lineRule="auto"/>
              <w:rPr>
                <w:sz w:val="20"/>
                <w:szCs w:val="20"/>
              </w:rPr>
            </w:pPr>
            <w:r>
              <w:rPr>
                <w:sz w:val="20"/>
                <w:szCs w:val="20"/>
              </w:rPr>
              <w:t>2.50%</w:t>
            </w:r>
          </w:p>
        </w:tc>
      </w:tr>
      <w:tr w:rsidR="00460AF2" w:rsidRPr="00423FCC" w:rsidTr="00460AF2">
        <w:trPr>
          <w:trHeight w:val="225"/>
        </w:trPr>
        <w:tc>
          <w:tcPr>
            <w:tcW w:w="1701" w:type="dxa"/>
            <w:vMerge/>
            <w:shd w:val="clear" w:color="auto" w:fill="C6D9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C6D9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C6D9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Annual report</w:t>
            </w:r>
          </w:p>
        </w:tc>
        <w:tc>
          <w:tcPr>
            <w:tcW w:w="6520" w:type="dxa"/>
            <w:shd w:val="clear" w:color="auto" w:fill="C6D9F1"/>
          </w:tcPr>
          <w:p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C6D9F1"/>
          </w:tcPr>
          <w:p w:rsidR="005D1BE7" w:rsidRPr="00423FCC" w:rsidRDefault="005D1BE7" w:rsidP="00BB68EC">
            <w:pPr>
              <w:spacing w:after="0" w:line="240" w:lineRule="auto"/>
              <w:rPr>
                <w:sz w:val="20"/>
                <w:szCs w:val="20"/>
              </w:rPr>
            </w:pPr>
            <w:r>
              <w:rPr>
                <w:sz w:val="20"/>
                <w:szCs w:val="20"/>
              </w:rPr>
              <w:t>2.50%</w:t>
            </w:r>
          </w:p>
        </w:tc>
      </w:tr>
      <w:tr w:rsidR="00460AF2" w:rsidRPr="00423FCC" w:rsidTr="00460AF2">
        <w:trPr>
          <w:trHeight w:val="225"/>
        </w:trPr>
        <w:tc>
          <w:tcPr>
            <w:tcW w:w="1701" w:type="dxa"/>
            <w:vMerge/>
            <w:shd w:val="clear" w:color="auto" w:fill="C6D9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C6D9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C6D9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Allocation policy</w:t>
            </w:r>
          </w:p>
        </w:tc>
        <w:tc>
          <w:tcPr>
            <w:tcW w:w="6520" w:type="dxa"/>
            <w:shd w:val="clear" w:color="auto" w:fill="C6D9F1"/>
          </w:tcPr>
          <w:p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C6D9F1"/>
          </w:tcPr>
          <w:p w:rsidR="005D1BE7" w:rsidRPr="00423FCC" w:rsidRDefault="005D1BE7" w:rsidP="00BB68EC">
            <w:pPr>
              <w:spacing w:after="0" w:line="240" w:lineRule="auto"/>
              <w:rPr>
                <w:sz w:val="20"/>
                <w:szCs w:val="20"/>
              </w:rPr>
            </w:pPr>
            <w:r>
              <w:rPr>
                <w:sz w:val="20"/>
                <w:szCs w:val="20"/>
              </w:rPr>
              <w:t>2.50%</w:t>
            </w:r>
          </w:p>
        </w:tc>
      </w:tr>
      <w:tr w:rsidR="00460AF2" w:rsidRPr="00423FCC" w:rsidTr="00460AF2">
        <w:trPr>
          <w:trHeight w:val="225"/>
        </w:trPr>
        <w:tc>
          <w:tcPr>
            <w:tcW w:w="1701" w:type="dxa"/>
            <w:vMerge/>
            <w:shd w:val="clear" w:color="auto" w:fill="C6D9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C6D9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C6D9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Procurement policy</w:t>
            </w:r>
          </w:p>
        </w:tc>
        <w:tc>
          <w:tcPr>
            <w:tcW w:w="6520" w:type="dxa"/>
            <w:shd w:val="clear" w:color="auto" w:fill="C6D9F1"/>
          </w:tcPr>
          <w:p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C6D9F1"/>
          </w:tcPr>
          <w:p w:rsidR="005D1BE7" w:rsidRPr="00423FCC" w:rsidRDefault="005D1BE7" w:rsidP="00BB68EC">
            <w:pPr>
              <w:spacing w:after="0" w:line="240" w:lineRule="auto"/>
              <w:rPr>
                <w:sz w:val="20"/>
                <w:szCs w:val="20"/>
              </w:rPr>
            </w:pPr>
            <w:r>
              <w:rPr>
                <w:sz w:val="20"/>
                <w:szCs w:val="20"/>
              </w:rPr>
              <w:t>2.50%</w:t>
            </w:r>
          </w:p>
        </w:tc>
      </w:tr>
      <w:tr w:rsidR="00460AF2" w:rsidRPr="00423FCC" w:rsidTr="00460AF2">
        <w:trPr>
          <w:trHeight w:val="225"/>
        </w:trPr>
        <w:tc>
          <w:tcPr>
            <w:tcW w:w="1701" w:type="dxa"/>
            <w:vMerge/>
            <w:shd w:val="clear" w:color="auto" w:fill="C6D9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C6D9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C6D9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Strategy (country</w:t>
            </w:r>
            <w:r w:rsidR="008822C0" w:rsidRPr="004D19B4">
              <w:rPr>
                <w:sz w:val="20"/>
                <w:szCs w:val="20"/>
              </w:rPr>
              <w:t xml:space="preserve"> / sector</w:t>
            </w:r>
            <w:r w:rsidRPr="004D19B4">
              <w:rPr>
                <w:sz w:val="20"/>
                <w:szCs w:val="20"/>
              </w:rPr>
              <w:t>)</w:t>
            </w:r>
          </w:p>
        </w:tc>
        <w:tc>
          <w:tcPr>
            <w:tcW w:w="6520" w:type="dxa"/>
            <w:shd w:val="clear" w:color="auto" w:fill="C6D9F1"/>
          </w:tcPr>
          <w:p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C6D9F1"/>
          </w:tcPr>
          <w:p w:rsidR="005D1BE7" w:rsidRPr="00423FCC" w:rsidRDefault="005D1BE7" w:rsidP="00BB68EC">
            <w:pPr>
              <w:spacing w:after="0" w:line="240" w:lineRule="auto"/>
              <w:rPr>
                <w:sz w:val="20"/>
                <w:szCs w:val="20"/>
              </w:rPr>
            </w:pPr>
            <w:r>
              <w:rPr>
                <w:sz w:val="20"/>
                <w:szCs w:val="20"/>
              </w:rPr>
              <w:t>2.50%</w:t>
            </w:r>
          </w:p>
        </w:tc>
      </w:tr>
      <w:tr w:rsidR="00460AF2" w:rsidRPr="00423FCC" w:rsidTr="00460AF2">
        <w:trPr>
          <w:trHeight w:val="225"/>
        </w:trPr>
        <w:tc>
          <w:tcPr>
            <w:tcW w:w="1701" w:type="dxa"/>
            <w:vMerge/>
            <w:shd w:val="clear" w:color="auto" w:fill="C6D9F1"/>
            <w:noWrap/>
          </w:tcPr>
          <w:p w:rsidR="005D1BE7" w:rsidRPr="00423FCC" w:rsidRDefault="005D1BE7" w:rsidP="00BB68EC">
            <w:pPr>
              <w:spacing w:after="0" w:line="240" w:lineRule="auto"/>
              <w:contextualSpacing/>
              <w:rPr>
                <w:rFonts w:eastAsia="Calibri" w:cs="Times New Roman"/>
                <w:sz w:val="20"/>
                <w:szCs w:val="20"/>
              </w:rPr>
            </w:pPr>
          </w:p>
        </w:tc>
        <w:tc>
          <w:tcPr>
            <w:tcW w:w="1418" w:type="dxa"/>
            <w:vMerge w:val="restart"/>
            <w:shd w:val="clear" w:color="auto" w:fill="C6D9F1"/>
          </w:tcPr>
          <w:p w:rsidR="005D1BE7" w:rsidRPr="00423FCC" w:rsidRDefault="005D1BE7" w:rsidP="00BB68EC">
            <w:pPr>
              <w:spacing w:after="0" w:line="240" w:lineRule="auto"/>
              <w:contextualSpacing/>
              <w:rPr>
                <w:rFonts w:eastAsia="Calibri" w:cs="Times New Roman"/>
                <w:sz w:val="20"/>
                <w:szCs w:val="20"/>
              </w:rPr>
            </w:pPr>
            <w:r w:rsidRPr="00423FCC">
              <w:rPr>
                <w:rFonts w:eastAsia="Calibri" w:cs="Times New Roman"/>
                <w:sz w:val="20"/>
                <w:szCs w:val="20"/>
              </w:rPr>
              <w:t>Financial</w:t>
            </w:r>
          </w:p>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C6D9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Total organisation budget</w:t>
            </w:r>
          </w:p>
        </w:tc>
        <w:tc>
          <w:tcPr>
            <w:tcW w:w="6520" w:type="dxa"/>
            <w:shd w:val="clear" w:color="auto" w:fill="C6D9F1"/>
          </w:tcPr>
          <w:p w:rsidR="005D1BE7" w:rsidRPr="00423FCC" w:rsidRDefault="005D1BE7" w:rsidP="00BB68EC">
            <w:pPr>
              <w:spacing w:after="0" w:line="240" w:lineRule="auto"/>
              <w:rPr>
                <w:sz w:val="20"/>
                <w:szCs w:val="20"/>
              </w:rPr>
            </w:pPr>
            <w:r w:rsidRPr="00423FCC">
              <w:rPr>
                <w:sz w:val="20"/>
                <w:szCs w:val="20"/>
              </w:rPr>
              <w:t>Graduated based on format and number of years for which data is provided</w:t>
            </w:r>
          </w:p>
        </w:tc>
        <w:tc>
          <w:tcPr>
            <w:tcW w:w="1276" w:type="dxa"/>
            <w:shd w:val="clear" w:color="auto" w:fill="C6D9F1"/>
          </w:tcPr>
          <w:p w:rsidR="005D1BE7" w:rsidRPr="00423FCC" w:rsidRDefault="005D1BE7" w:rsidP="00BB68EC">
            <w:pPr>
              <w:spacing w:after="0" w:line="240" w:lineRule="auto"/>
              <w:rPr>
                <w:sz w:val="20"/>
                <w:szCs w:val="20"/>
              </w:rPr>
            </w:pPr>
            <w:r>
              <w:rPr>
                <w:sz w:val="20"/>
                <w:szCs w:val="20"/>
              </w:rPr>
              <w:t>4.17%</w:t>
            </w:r>
          </w:p>
        </w:tc>
      </w:tr>
      <w:tr w:rsidR="00460AF2" w:rsidRPr="00423FCC" w:rsidTr="00460AF2">
        <w:trPr>
          <w:trHeight w:val="225"/>
        </w:trPr>
        <w:tc>
          <w:tcPr>
            <w:tcW w:w="1701" w:type="dxa"/>
            <w:vMerge/>
            <w:shd w:val="clear" w:color="auto" w:fill="C6D9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C6D9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C6D9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Disaggregated budget</w:t>
            </w:r>
          </w:p>
        </w:tc>
        <w:tc>
          <w:tcPr>
            <w:tcW w:w="6520" w:type="dxa"/>
            <w:shd w:val="clear" w:color="auto" w:fill="C6D9F1"/>
          </w:tcPr>
          <w:p w:rsidR="005D1BE7" w:rsidRPr="00423FCC" w:rsidRDefault="005D1BE7" w:rsidP="00BB68EC">
            <w:pPr>
              <w:spacing w:after="0" w:line="240" w:lineRule="auto"/>
              <w:rPr>
                <w:sz w:val="20"/>
                <w:szCs w:val="20"/>
              </w:rPr>
            </w:pPr>
            <w:r w:rsidRPr="00423FCC">
              <w:rPr>
                <w:sz w:val="20"/>
                <w:szCs w:val="20"/>
              </w:rPr>
              <w:t>Graduated based on format and number of years for which data is provided</w:t>
            </w:r>
          </w:p>
        </w:tc>
        <w:tc>
          <w:tcPr>
            <w:tcW w:w="1276" w:type="dxa"/>
            <w:shd w:val="clear" w:color="auto" w:fill="C6D9F1"/>
          </w:tcPr>
          <w:p w:rsidR="005D1BE7" w:rsidRPr="00423FCC" w:rsidRDefault="005D1BE7" w:rsidP="00BB68EC">
            <w:pPr>
              <w:spacing w:after="0" w:line="240" w:lineRule="auto"/>
              <w:rPr>
                <w:sz w:val="20"/>
                <w:szCs w:val="20"/>
              </w:rPr>
            </w:pPr>
            <w:r>
              <w:rPr>
                <w:sz w:val="20"/>
                <w:szCs w:val="20"/>
              </w:rPr>
              <w:t>4.17%</w:t>
            </w:r>
          </w:p>
        </w:tc>
      </w:tr>
      <w:tr w:rsidR="00460AF2" w:rsidRPr="00423FCC" w:rsidTr="00460AF2">
        <w:trPr>
          <w:trHeight w:val="225"/>
        </w:trPr>
        <w:tc>
          <w:tcPr>
            <w:tcW w:w="1701" w:type="dxa"/>
            <w:vMerge/>
            <w:tcBorders>
              <w:bottom w:val="single" w:sz="4" w:space="0" w:color="auto"/>
            </w:tcBorders>
            <w:shd w:val="clear" w:color="auto" w:fill="C6D9F1"/>
            <w:noWrap/>
          </w:tcPr>
          <w:p w:rsidR="005D1BE7" w:rsidRPr="00423FCC" w:rsidRDefault="005D1BE7" w:rsidP="00BB68EC">
            <w:pPr>
              <w:spacing w:after="0" w:line="240" w:lineRule="auto"/>
              <w:contextualSpacing/>
              <w:rPr>
                <w:rFonts w:eastAsia="Calibri" w:cs="Times New Roman"/>
                <w:sz w:val="20"/>
                <w:szCs w:val="20"/>
              </w:rPr>
            </w:pPr>
          </w:p>
        </w:tc>
        <w:tc>
          <w:tcPr>
            <w:tcW w:w="1418" w:type="dxa"/>
            <w:vMerge/>
            <w:tcBorders>
              <w:bottom w:val="single" w:sz="4" w:space="0" w:color="auto"/>
            </w:tcBorders>
            <w:shd w:val="clear" w:color="auto" w:fill="C6D9F1"/>
          </w:tcPr>
          <w:p w:rsidR="005D1BE7" w:rsidRPr="00423FCC" w:rsidRDefault="005D1BE7" w:rsidP="00BB68EC">
            <w:pPr>
              <w:spacing w:after="0" w:line="240" w:lineRule="auto"/>
              <w:contextualSpacing/>
              <w:rPr>
                <w:rFonts w:eastAsia="Calibri" w:cs="Times New Roman"/>
                <w:sz w:val="20"/>
                <w:szCs w:val="20"/>
              </w:rPr>
            </w:pPr>
          </w:p>
        </w:tc>
        <w:tc>
          <w:tcPr>
            <w:tcW w:w="3402" w:type="dxa"/>
            <w:tcBorders>
              <w:bottom w:val="single" w:sz="4" w:space="0" w:color="auto"/>
            </w:tcBorders>
            <w:shd w:val="clear" w:color="auto" w:fill="C6D9F1"/>
            <w:noWrap/>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Audit</w:t>
            </w:r>
          </w:p>
        </w:tc>
        <w:tc>
          <w:tcPr>
            <w:tcW w:w="6520" w:type="dxa"/>
            <w:tcBorders>
              <w:bottom w:val="single" w:sz="4" w:space="0" w:color="auto"/>
            </w:tcBorders>
            <w:shd w:val="clear" w:color="auto" w:fill="C6D9F1"/>
          </w:tcPr>
          <w:p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tcBorders>
              <w:bottom w:val="single" w:sz="4" w:space="0" w:color="auto"/>
            </w:tcBorders>
            <w:shd w:val="clear" w:color="auto" w:fill="C6D9F1"/>
          </w:tcPr>
          <w:p w:rsidR="005D1BE7" w:rsidRPr="00423FCC" w:rsidRDefault="005D1BE7" w:rsidP="00BB68EC">
            <w:pPr>
              <w:spacing w:after="0" w:line="240" w:lineRule="auto"/>
              <w:rPr>
                <w:sz w:val="20"/>
                <w:szCs w:val="20"/>
              </w:rPr>
            </w:pPr>
            <w:r>
              <w:rPr>
                <w:sz w:val="20"/>
                <w:szCs w:val="20"/>
              </w:rPr>
              <w:t>4.17%</w:t>
            </w:r>
          </w:p>
        </w:tc>
      </w:tr>
      <w:tr w:rsidR="00460AF2" w:rsidRPr="00423FCC" w:rsidTr="00460AF2">
        <w:trPr>
          <w:trHeight w:val="225"/>
        </w:trPr>
        <w:tc>
          <w:tcPr>
            <w:tcW w:w="1701" w:type="dxa"/>
            <w:vMerge w:val="restart"/>
            <w:shd w:val="clear" w:color="auto" w:fill="DBE5F1"/>
            <w:noWrap/>
          </w:tcPr>
          <w:p w:rsidR="005D1BE7" w:rsidRPr="00423FCC" w:rsidRDefault="005D1BE7" w:rsidP="00BB68EC">
            <w:pPr>
              <w:spacing w:after="0" w:line="240" w:lineRule="auto"/>
              <w:contextualSpacing/>
              <w:rPr>
                <w:rFonts w:eastAsia="Calibri" w:cs="Times New Roman"/>
                <w:sz w:val="20"/>
                <w:szCs w:val="20"/>
              </w:rPr>
            </w:pPr>
            <w:r w:rsidRPr="00423FCC">
              <w:rPr>
                <w:rFonts w:eastAsia="Calibri" w:cs="Times New Roman"/>
                <w:sz w:val="20"/>
                <w:szCs w:val="20"/>
              </w:rPr>
              <w:t xml:space="preserve">Publication – Activity level </w:t>
            </w:r>
          </w:p>
        </w:tc>
        <w:tc>
          <w:tcPr>
            <w:tcW w:w="1418" w:type="dxa"/>
            <w:vMerge w:val="restart"/>
            <w:shd w:val="clear" w:color="auto" w:fill="DBE5F1"/>
          </w:tcPr>
          <w:p w:rsidR="005D1BE7" w:rsidRPr="00423FCC" w:rsidRDefault="005D1BE7" w:rsidP="00BB68EC">
            <w:pPr>
              <w:spacing w:after="0" w:line="240" w:lineRule="auto"/>
              <w:contextualSpacing/>
              <w:rPr>
                <w:rFonts w:eastAsia="Calibri" w:cs="Times New Roman"/>
                <w:sz w:val="20"/>
                <w:szCs w:val="20"/>
              </w:rPr>
            </w:pPr>
            <w:r w:rsidRPr="00423FCC">
              <w:rPr>
                <w:sz w:val="20"/>
                <w:szCs w:val="20"/>
              </w:rPr>
              <w:t>Basic activity i</w:t>
            </w:r>
            <w:r w:rsidRPr="00423FCC">
              <w:rPr>
                <w:rFonts w:eastAsia="Calibri" w:cs="Times New Roman"/>
                <w:sz w:val="20"/>
                <w:szCs w:val="20"/>
              </w:rPr>
              <w:t>nformation</w:t>
            </w:r>
          </w:p>
        </w:tc>
        <w:tc>
          <w:tcPr>
            <w:tcW w:w="3402" w:type="dxa"/>
            <w:shd w:val="clear" w:color="auto" w:fill="DBE5F1"/>
            <w:noWrap/>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Implementer</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423FCC" w:rsidRDefault="005D1BE7" w:rsidP="00BB68EC">
            <w:pPr>
              <w:spacing w:after="0" w:line="240" w:lineRule="auto"/>
              <w:rPr>
                <w:sz w:val="20"/>
                <w:szCs w:val="20"/>
              </w:rPr>
            </w:pPr>
            <w:r>
              <w:rPr>
                <w:sz w:val="20"/>
                <w:szCs w:val="20"/>
              </w:rPr>
              <w:t>1.63%</w:t>
            </w:r>
          </w:p>
        </w:tc>
      </w:tr>
      <w:tr w:rsidR="00460AF2" w:rsidRPr="00423FCC" w:rsidTr="00460AF2">
        <w:trPr>
          <w:trHeight w:val="290"/>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Unique ID</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91214C" w:rsidRDefault="005D1BE7" w:rsidP="00BB68EC">
            <w:pPr>
              <w:spacing w:after="0" w:line="240" w:lineRule="auto"/>
              <w:rPr>
                <w:sz w:val="20"/>
                <w:szCs w:val="20"/>
              </w:rPr>
            </w:pPr>
            <w:r w:rsidRPr="001012F0">
              <w:rPr>
                <w:sz w:val="20"/>
                <w:szCs w:val="20"/>
              </w:rPr>
              <w:t>1.63%</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Title</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91214C" w:rsidRDefault="005D1BE7" w:rsidP="00BB68EC">
            <w:pPr>
              <w:spacing w:after="0" w:line="240" w:lineRule="auto"/>
              <w:rPr>
                <w:sz w:val="20"/>
                <w:szCs w:val="20"/>
              </w:rPr>
            </w:pPr>
            <w:r w:rsidRPr="001012F0">
              <w:rPr>
                <w:sz w:val="20"/>
                <w:szCs w:val="20"/>
              </w:rPr>
              <w:t>1.63%</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Description</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91214C" w:rsidRDefault="005D1BE7" w:rsidP="00BB68EC">
            <w:pPr>
              <w:spacing w:after="0" w:line="240" w:lineRule="auto"/>
              <w:rPr>
                <w:sz w:val="20"/>
                <w:szCs w:val="20"/>
              </w:rPr>
            </w:pPr>
            <w:r w:rsidRPr="001012F0">
              <w:rPr>
                <w:sz w:val="20"/>
                <w:szCs w:val="20"/>
              </w:rPr>
              <w:t>1.63%</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Planned dates</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91214C" w:rsidRDefault="005D1BE7" w:rsidP="00BB68EC">
            <w:pPr>
              <w:spacing w:after="0" w:line="240" w:lineRule="auto"/>
              <w:rPr>
                <w:sz w:val="20"/>
                <w:szCs w:val="20"/>
              </w:rPr>
            </w:pPr>
            <w:r w:rsidRPr="001012F0">
              <w:rPr>
                <w:sz w:val="20"/>
                <w:szCs w:val="20"/>
              </w:rPr>
              <w:t>1.63%</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Actual dates</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91214C" w:rsidRDefault="005D1BE7" w:rsidP="00BB68EC">
            <w:pPr>
              <w:spacing w:after="0" w:line="240" w:lineRule="auto"/>
              <w:rPr>
                <w:sz w:val="20"/>
                <w:szCs w:val="20"/>
              </w:rPr>
            </w:pPr>
            <w:r w:rsidRPr="001012F0">
              <w:rPr>
                <w:sz w:val="20"/>
                <w:szCs w:val="20"/>
              </w:rPr>
              <w:t>1.63%</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Current status</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91214C" w:rsidRDefault="005D1BE7" w:rsidP="00BB68EC">
            <w:pPr>
              <w:spacing w:after="0" w:line="240" w:lineRule="auto"/>
              <w:rPr>
                <w:sz w:val="20"/>
                <w:szCs w:val="20"/>
              </w:rPr>
            </w:pPr>
            <w:r w:rsidRPr="001012F0">
              <w:rPr>
                <w:sz w:val="20"/>
                <w:szCs w:val="20"/>
              </w:rPr>
              <w:t>1.63%</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Contact details</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91214C" w:rsidRDefault="005D1BE7" w:rsidP="00BB68EC">
            <w:pPr>
              <w:spacing w:after="0" w:line="240" w:lineRule="auto"/>
              <w:rPr>
                <w:sz w:val="20"/>
                <w:szCs w:val="20"/>
              </w:rPr>
            </w:pPr>
            <w:r w:rsidRPr="001012F0">
              <w:rPr>
                <w:sz w:val="20"/>
                <w:szCs w:val="20"/>
              </w:rPr>
              <w:t>1.63%</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val="restart"/>
            <w:shd w:val="clear" w:color="auto" w:fill="DBE5F1"/>
          </w:tcPr>
          <w:p w:rsidR="005D1BE7" w:rsidRPr="00423FCC" w:rsidRDefault="005D1BE7" w:rsidP="00BB68EC">
            <w:pPr>
              <w:spacing w:after="0" w:line="240" w:lineRule="auto"/>
              <w:contextualSpacing/>
              <w:rPr>
                <w:rFonts w:eastAsia="Calibri" w:cs="Times New Roman"/>
                <w:sz w:val="20"/>
                <w:szCs w:val="20"/>
              </w:rPr>
            </w:pPr>
            <w:r w:rsidRPr="00423FCC">
              <w:rPr>
                <w:rFonts w:eastAsia="Calibri" w:cs="Times New Roman"/>
                <w:sz w:val="20"/>
                <w:szCs w:val="20"/>
              </w:rPr>
              <w:t>Classifications</w:t>
            </w:r>
          </w:p>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Collaboration type</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423FCC" w:rsidRDefault="005D1BE7" w:rsidP="00BB68EC">
            <w:pPr>
              <w:spacing w:after="0" w:line="240" w:lineRule="auto"/>
              <w:rPr>
                <w:sz w:val="20"/>
                <w:szCs w:val="20"/>
              </w:rPr>
            </w:pPr>
            <w:r>
              <w:rPr>
                <w:sz w:val="20"/>
                <w:szCs w:val="20"/>
              </w:rPr>
              <w:t>1.86%</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Flow type</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91214C" w:rsidRDefault="005D1BE7" w:rsidP="00BB68EC">
            <w:pPr>
              <w:spacing w:after="0" w:line="240" w:lineRule="auto"/>
              <w:rPr>
                <w:sz w:val="20"/>
                <w:szCs w:val="20"/>
              </w:rPr>
            </w:pPr>
            <w:r w:rsidRPr="00075C22">
              <w:rPr>
                <w:sz w:val="20"/>
                <w:szCs w:val="20"/>
              </w:rPr>
              <w:t>1.86%</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Aid type</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91214C" w:rsidRDefault="005D1BE7" w:rsidP="00BB68EC">
            <w:pPr>
              <w:spacing w:after="0" w:line="240" w:lineRule="auto"/>
              <w:rPr>
                <w:sz w:val="20"/>
                <w:szCs w:val="20"/>
              </w:rPr>
            </w:pPr>
            <w:r w:rsidRPr="00075C22">
              <w:rPr>
                <w:sz w:val="20"/>
                <w:szCs w:val="20"/>
              </w:rPr>
              <w:t>1.86%</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Finance type</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91214C" w:rsidRDefault="005D1BE7" w:rsidP="00BB68EC">
            <w:pPr>
              <w:spacing w:after="0" w:line="240" w:lineRule="auto"/>
              <w:rPr>
                <w:sz w:val="20"/>
                <w:szCs w:val="20"/>
              </w:rPr>
            </w:pPr>
            <w:r w:rsidRPr="00075C22">
              <w:rPr>
                <w:sz w:val="20"/>
                <w:szCs w:val="20"/>
              </w:rPr>
              <w:t>1.86%</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Sectors</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91214C" w:rsidRDefault="005D1BE7" w:rsidP="00BB68EC">
            <w:pPr>
              <w:spacing w:after="0" w:line="240" w:lineRule="auto"/>
              <w:rPr>
                <w:sz w:val="20"/>
                <w:szCs w:val="20"/>
              </w:rPr>
            </w:pPr>
            <w:r w:rsidRPr="00075C22">
              <w:rPr>
                <w:sz w:val="20"/>
                <w:szCs w:val="20"/>
              </w:rPr>
              <w:t>1.86%</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Sub-national location</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91214C" w:rsidRDefault="005D1BE7" w:rsidP="00BB68EC">
            <w:pPr>
              <w:spacing w:after="0" w:line="240" w:lineRule="auto"/>
              <w:rPr>
                <w:sz w:val="20"/>
                <w:szCs w:val="20"/>
              </w:rPr>
            </w:pPr>
            <w:r w:rsidRPr="00075C22">
              <w:rPr>
                <w:sz w:val="20"/>
                <w:szCs w:val="20"/>
              </w:rPr>
              <w:t>1.86%</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Tied aid status</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91214C" w:rsidRDefault="005D1BE7" w:rsidP="00BB68EC">
            <w:pPr>
              <w:spacing w:after="0" w:line="240" w:lineRule="auto"/>
              <w:rPr>
                <w:sz w:val="20"/>
                <w:szCs w:val="20"/>
              </w:rPr>
            </w:pPr>
            <w:r w:rsidRPr="00075C22">
              <w:rPr>
                <w:sz w:val="20"/>
                <w:szCs w:val="20"/>
              </w:rPr>
              <w:t>1.86%</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val="restart"/>
            <w:shd w:val="clear" w:color="auto" w:fill="DBE5F1"/>
          </w:tcPr>
          <w:p w:rsidR="005D1BE7" w:rsidRPr="00423FCC" w:rsidRDefault="005D1BE7" w:rsidP="00BB68EC">
            <w:pPr>
              <w:spacing w:after="0" w:line="240" w:lineRule="auto"/>
              <w:contextualSpacing/>
              <w:rPr>
                <w:rFonts w:eastAsia="Calibri" w:cs="Times New Roman"/>
                <w:sz w:val="20"/>
                <w:szCs w:val="20"/>
              </w:rPr>
            </w:pPr>
            <w:r w:rsidRPr="00423FCC">
              <w:rPr>
                <w:rFonts w:eastAsia="Calibri" w:cs="Times New Roman"/>
                <w:sz w:val="20"/>
                <w:szCs w:val="20"/>
              </w:rPr>
              <w:t>Related documents</w:t>
            </w: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color w:val="000000"/>
                <w:sz w:val="20"/>
                <w:szCs w:val="20"/>
              </w:rPr>
              <w:t>Memorandum of Understanding</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 xml:space="preserve">Graduated based on accessibility </w:t>
            </w:r>
          </w:p>
        </w:tc>
        <w:tc>
          <w:tcPr>
            <w:tcW w:w="1276" w:type="dxa"/>
            <w:shd w:val="clear" w:color="auto" w:fill="DBE5F1"/>
          </w:tcPr>
          <w:p w:rsidR="005D1BE7" w:rsidRPr="00423FCC" w:rsidRDefault="005D1BE7" w:rsidP="00BB68EC">
            <w:pPr>
              <w:spacing w:after="0" w:line="240" w:lineRule="auto"/>
              <w:rPr>
                <w:sz w:val="20"/>
                <w:szCs w:val="20"/>
              </w:rPr>
            </w:pPr>
            <w:r>
              <w:rPr>
                <w:sz w:val="20"/>
                <w:szCs w:val="20"/>
              </w:rPr>
              <w:t>2.17%</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Evaluations</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DBE5F1"/>
          </w:tcPr>
          <w:p w:rsidR="005D1BE7" w:rsidRPr="0091214C" w:rsidRDefault="005D1BE7" w:rsidP="00BB68EC">
            <w:pPr>
              <w:spacing w:after="0" w:line="240" w:lineRule="auto"/>
              <w:rPr>
                <w:sz w:val="20"/>
                <w:szCs w:val="20"/>
              </w:rPr>
            </w:pPr>
            <w:r w:rsidRPr="000524C1">
              <w:rPr>
                <w:sz w:val="20"/>
                <w:szCs w:val="20"/>
              </w:rPr>
              <w:t>2.17%</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Objectives</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DBE5F1"/>
          </w:tcPr>
          <w:p w:rsidR="005D1BE7" w:rsidRPr="0091214C" w:rsidRDefault="005D1BE7" w:rsidP="00BB68EC">
            <w:pPr>
              <w:spacing w:after="0" w:line="240" w:lineRule="auto"/>
              <w:rPr>
                <w:sz w:val="20"/>
                <w:szCs w:val="20"/>
              </w:rPr>
            </w:pPr>
            <w:r w:rsidRPr="000524C1">
              <w:rPr>
                <w:sz w:val="20"/>
                <w:szCs w:val="20"/>
              </w:rPr>
              <w:t>2.17%</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Budget docs</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DBE5F1"/>
          </w:tcPr>
          <w:p w:rsidR="005D1BE7" w:rsidRPr="0091214C" w:rsidRDefault="005D1BE7" w:rsidP="00BB68EC">
            <w:pPr>
              <w:spacing w:after="0" w:line="240" w:lineRule="auto"/>
              <w:rPr>
                <w:sz w:val="20"/>
                <w:szCs w:val="20"/>
              </w:rPr>
            </w:pPr>
            <w:r w:rsidRPr="000524C1">
              <w:rPr>
                <w:sz w:val="20"/>
                <w:szCs w:val="20"/>
              </w:rPr>
              <w:t>2.17%</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Contracts</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DBE5F1"/>
          </w:tcPr>
          <w:p w:rsidR="005D1BE7" w:rsidRPr="0091214C" w:rsidRDefault="005D1BE7" w:rsidP="00BB68EC">
            <w:pPr>
              <w:spacing w:after="0" w:line="240" w:lineRule="auto"/>
              <w:rPr>
                <w:sz w:val="20"/>
                <w:szCs w:val="20"/>
              </w:rPr>
            </w:pPr>
            <w:r w:rsidRPr="000524C1">
              <w:rPr>
                <w:sz w:val="20"/>
                <w:szCs w:val="20"/>
              </w:rPr>
              <w:t>2.17%</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Tenders</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DBE5F1"/>
          </w:tcPr>
          <w:p w:rsidR="005D1BE7" w:rsidRPr="0091214C" w:rsidRDefault="005D1BE7" w:rsidP="00BB68EC">
            <w:pPr>
              <w:spacing w:after="0" w:line="240" w:lineRule="auto"/>
              <w:rPr>
                <w:sz w:val="20"/>
                <w:szCs w:val="20"/>
              </w:rPr>
            </w:pPr>
            <w:r w:rsidRPr="000524C1">
              <w:rPr>
                <w:sz w:val="20"/>
                <w:szCs w:val="20"/>
              </w:rPr>
              <w:t>2.17%</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val="restart"/>
            <w:shd w:val="clear" w:color="auto" w:fill="DBE5F1"/>
          </w:tcPr>
          <w:p w:rsidR="005D1BE7" w:rsidRPr="00423FCC" w:rsidRDefault="005D1BE7" w:rsidP="00BB68EC">
            <w:pPr>
              <w:spacing w:after="0" w:line="240" w:lineRule="auto"/>
              <w:contextualSpacing/>
              <w:rPr>
                <w:rFonts w:eastAsia="Calibri" w:cs="Times New Roman"/>
                <w:sz w:val="20"/>
                <w:szCs w:val="20"/>
              </w:rPr>
            </w:pPr>
            <w:r w:rsidRPr="00423FCC">
              <w:rPr>
                <w:rFonts w:eastAsia="Calibri" w:cs="Times New Roman"/>
                <w:sz w:val="20"/>
                <w:szCs w:val="20"/>
              </w:rPr>
              <w:t>Financial</w:t>
            </w:r>
          </w:p>
        </w:tc>
        <w:tc>
          <w:tcPr>
            <w:tcW w:w="3402" w:type="dxa"/>
            <w:shd w:val="clear" w:color="auto" w:fill="DBE5F1"/>
            <w:noWrap/>
            <w:hideMark/>
          </w:tcPr>
          <w:p w:rsidR="005D1BE7" w:rsidRPr="004D19B4" w:rsidRDefault="00D6013E" w:rsidP="004D19B4">
            <w:pPr>
              <w:pStyle w:val="ListParagraph"/>
              <w:numPr>
                <w:ilvl w:val="0"/>
                <w:numId w:val="48"/>
              </w:numPr>
              <w:spacing w:after="0" w:line="240" w:lineRule="auto"/>
              <w:ind w:left="346"/>
              <w:rPr>
                <w:sz w:val="20"/>
                <w:szCs w:val="20"/>
              </w:rPr>
            </w:pPr>
            <w:r w:rsidRPr="004D19B4">
              <w:rPr>
                <w:sz w:val="20"/>
                <w:szCs w:val="20"/>
              </w:rPr>
              <w:t>Budget</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423FCC" w:rsidRDefault="005D1BE7" w:rsidP="00BB68EC">
            <w:pPr>
              <w:spacing w:after="0" w:line="240" w:lineRule="auto"/>
              <w:rPr>
                <w:sz w:val="20"/>
                <w:szCs w:val="20"/>
              </w:rPr>
            </w:pPr>
            <w:r>
              <w:rPr>
                <w:sz w:val="20"/>
                <w:szCs w:val="20"/>
              </w:rPr>
              <w:t>3.25%</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Commitments</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91214C" w:rsidRDefault="005D1BE7" w:rsidP="00BB68EC">
            <w:pPr>
              <w:spacing w:after="0" w:line="240" w:lineRule="auto"/>
              <w:rPr>
                <w:sz w:val="20"/>
                <w:szCs w:val="20"/>
              </w:rPr>
            </w:pPr>
            <w:r w:rsidRPr="00B44C74">
              <w:rPr>
                <w:sz w:val="20"/>
                <w:szCs w:val="20"/>
              </w:rPr>
              <w:t>3.25%</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Disbursements &amp;</w:t>
            </w:r>
            <w:r w:rsidR="00345D43">
              <w:rPr>
                <w:sz w:val="20"/>
                <w:szCs w:val="20"/>
              </w:rPr>
              <w:t xml:space="preserve"> </w:t>
            </w:r>
            <w:r w:rsidRPr="004D19B4">
              <w:rPr>
                <w:sz w:val="20"/>
                <w:szCs w:val="20"/>
              </w:rPr>
              <w:t>expenditures</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91214C" w:rsidRDefault="005D1BE7" w:rsidP="00BB68EC">
            <w:pPr>
              <w:spacing w:after="0" w:line="240" w:lineRule="auto"/>
              <w:rPr>
                <w:sz w:val="20"/>
                <w:szCs w:val="20"/>
              </w:rPr>
            </w:pPr>
            <w:r w:rsidRPr="00B44C74">
              <w:rPr>
                <w:sz w:val="20"/>
                <w:szCs w:val="20"/>
              </w:rPr>
              <w:t>3.25%</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Budget ID</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91214C" w:rsidRDefault="005D1BE7" w:rsidP="00BB68EC">
            <w:pPr>
              <w:spacing w:after="0" w:line="240" w:lineRule="auto"/>
              <w:rPr>
                <w:sz w:val="20"/>
                <w:szCs w:val="20"/>
              </w:rPr>
            </w:pPr>
            <w:r w:rsidRPr="00B44C74">
              <w:rPr>
                <w:sz w:val="20"/>
                <w:szCs w:val="20"/>
              </w:rPr>
              <w:t>3.25%</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val="restart"/>
            <w:shd w:val="clear" w:color="auto" w:fill="DBE5F1"/>
          </w:tcPr>
          <w:p w:rsidR="005D1BE7" w:rsidRPr="00423FCC" w:rsidRDefault="005D1BE7" w:rsidP="00BB68EC">
            <w:pPr>
              <w:spacing w:after="0" w:line="240" w:lineRule="auto"/>
              <w:contextualSpacing/>
              <w:rPr>
                <w:rFonts w:eastAsia="Calibri" w:cs="Times New Roman"/>
                <w:sz w:val="20"/>
                <w:szCs w:val="20"/>
              </w:rPr>
            </w:pPr>
            <w:r w:rsidRPr="00423FCC">
              <w:rPr>
                <w:rFonts w:eastAsia="Calibri" w:cs="Times New Roman"/>
                <w:sz w:val="20"/>
                <w:szCs w:val="20"/>
              </w:rPr>
              <w:t>Performance</w:t>
            </w: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Results</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format</w:t>
            </w:r>
          </w:p>
        </w:tc>
        <w:tc>
          <w:tcPr>
            <w:tcW w:w="1276" w:type="dxa"/>
            <w:shd w:val="clear" w:color="auto" w:fill="DBE5F1"/>
          </w:tcPr>
          <w:p w:rsidR="005D1BE7" w:rsidRPr="00423FCC" w:rsidRDefault="005D1BE7" w:rsidP="00BB68EC">
            <w:pPr>
              <w:spacing w:after="0" w:line="240" w:lineRule="auto"/>
              <w:rPr>
                <w:sz w:val="20"/>
                <w:szCs w:val="20"/>
              </w:rPr>
            </w:pPr>
            <w:r>
              <w:rPr>
                <w:sz w:val="20"/>
                <w:szCs w:val="20"/>
              </w:rPr>
              <w:t>4.33%</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Impact appraisals</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DBE5F1"/>
          </w:tcPr>
          <w:p w:rsidR="005D1BE7" w:rsidRPr="00423FCC" w:rsidRDefault="005D1BE7" w:rsidP="00BB68EC">
            <w:pPr>
              <w:spacing w:after="0" w:line="240" w:lineRule="auto"/>
              <w:rPr>
                <w:sz w:val="20"/>
                <w:szCs w:val="20"/>
              </w:rPr>
            </w:pPr>
            <w:r>
              <w:rPr>
                <w:sz w:val="20"/>
                <w:szCs w:val="20"/>
              </w:rPr>
              <w:t>4.33%</w:t>
            </w:r>
          </w:p>
        </w:tc>
      </w:tr>
      <w:tr w:rsidR="00460AF2" w:rsidRPr="00423FCC" w:rsidTr="00460AF2">
        <w:trPr>
          <w:trHeight w:val="225"/>
        </w:trPr>
        <w:tc>
          <w:tcPr>
            <w:tcW w:w="1701" w:type="dxa"/>
            <w:vMerge/>
            <w:shd w:val="clear" w:color="auto" w:fill="DBE5F1"/>
            <w:noWrap/>
            <w:hideMark/>
          </w:tcPr>
          <w:p w:rsidR="005D1BE7" w:rsidRPr="00423FCC" w:rsidRDefault="005D1BE7" w:rsidP="00BB68EC">
            <w:pPr>
              <w:spacing w:after="0" w:line="240" w:lineRule="auto"/>
              <w:contextualSpacing/>
              <w:rPr>
                <w:rFonts w:eastAsia="Calibri" w:cs="Times New Roman"/>
                <w:sz w:val="20"/>
                <w:szCs w:val="20"/>
              </w:rPr>
            </w:pPr>
          </w:p>
        </w:tc>
        <w:tc>
          <w:tcPr>
            <w:tcW w:w="1418" w:type="dxa"/>
            <w:vMerge/>
            <w:shd w:val="clear" w:color="auto" w:fill="DBE5F1"/>
          </w:tcPr>
          <w:p w:rsidR="005D1BE7" w:rsidRPr="00423FCC" w:rsidRDefault="005D1BE7" w:rsidP="00BB68EC">
            <w:pPr>
              <w:spacing w:after="0" w:line="240" w:lineRule="auto"/>
              <w:contextualSpacing/>
              <w:rPr>
                <w:rFonts w:eastAsia="Calibri" w:cs="Times New Roman"/>
                <w:sz w:val="20"/>
                <w:szCs w:val="20"/>
              </w:rPr>
            </w:pPr>
          </w:p>
        </w:tc>
        <w:tc>
          <w:tcPr>
            <w:tcW w:w="3402" w:type="dxa"/>
            <w:shd w:val="clear" w:color="auto" w:fill="DBE5F1"/>
            <w:noWrap/>
            <w:hideMark/>
          </w:tcPr>
          <w:p w:rsidR="005D1BE7" w:rsidRPr="004D19B4" w:rsidRDefault="005D1BE7" w:rsidP="004D19B4">
            <w:pPr>
              <w:pStyle w:val="ListParagraph"/>
              <w:numPr>
                <w:ilvl w:val="0"/>
                <w:numId w:val="48"/>
              </w:numPr>
              <w:spacing w:after="0" w:line="240" w:lineRule="auto"/>
              <w:ind w:left="346"/>
              <w:rPr>
                <w:sz w:val="20"/>
                <w:szCs w:val="20"/>
              </w:rPr>
            </w:pPr>
            <w:r w:rsidRPr="004D19B4">
              <w:rPr>
                <w:sz w:val="20"/>
                <w:szCs w:val="20"/>
              </w:rPr>
              <w:t>Conditions</w:t>
            </w:r>
          </w:p>
        </w:tc>
        <w:tc>
          <w:tcPr>
            <w:tcW w:w="6520" w:type="dxa"/>
            <w:shd w:val="clear" w:color="auto" w:fill="DBE5F1"/>
          </w:tcPr>
          <w:p w:rsidR="005D1BE7" w:rsidRPr="00423FCC" w:rsidRDefault="005D1BE7" w:rsidP="00BB68EC">
            <w:pPr>
              <w:spacing w:after="0" w:line="240" w:lineRule="auto"/>
              <w:rPr>
                <w:sz w:val="20"/>
                <w:szCs w:val="20"/>
              </w:rPr>
            </w:pPr>
            <w:r w:rsidRPr="00423FCC">
              <w:rPr>
                <w:sz w:val="20"/>
                <w:szCs w:val="20"/>
              </w:rPr>
              <w:t>Graduated based on accessibility</w:t>
            </w:r>
          </w:p>
        </w:tc>
        <w:tc>
          <w:tcPr>
            <w:tcW w:w="1276" w:type="dxa"/>
            <w:shd w:val="clear" w:color="auto" w:fill="DBE5F1"/>
          </w:tcPr>
          <w:p w:rsidR="005D1BE7" w:rsidRPr="00423FCC" w:rsidRDefault="005D1BE7" w:rsidP="00BB68EC">
            <w:pPr>
              <w:spacing w:after="0" w:line="240" w:lineRule="auto"/>
              <w:rPr>
                <w:sz w:val="20"/>
                <w:szCs w:val="20"/>
              </w:rPr>
            </w:pPr>
            <w:r>
              <w:rPr>
                <w:sz w:val="20"/>
                <w:szCs w:val="20"/>
              </w:rPr>
              <w:t>4.33%</w:t>
            </w:r>
          </w:p>
        </w:tc>
      </w:tr>
    </w:tbl>
    <w:p w:rsidR="00FE2E28" w:rsidRPr="00423FCC" w:rsidRDefault="00FE2E28" w:rsidP="00935A49">
      <w:pPr>
        <w:spacing w:after="0" w:line="240" w:lineRule="auto"/>
        <w:contextualSpacing/>
        <w:rPr>
          <w:b/>
        </w:rPr>
      </w:pPr>
    </w:p>
    <w:p w:rsidR="004D4D52" w:rsidRPr="00C428DA" w:rsidRDefault="004D4D52" w:rsidP="00C428DA">
      <w:pPr>
        <w:pStyle w:val="ColorfulList-Accent11"/>
        <w:spacing w:after="0"/>
        <w:ind w:left="0"/>
        <w:contextualSpacing w:val="0"/>
        <w:rPr>
          <w:rFonts w:eastAsiaTheme="majorEastAsia" w:cstheme="majorBidi"/>
          <w:b/>
          <w:bCs/>
          <w:iCs/>
          <w:color w:val="4F81BD" w:themeColor="accent1"/>
          <w:sz w:val="22"/>
          <w:szCs w:val="22"/>
          <w:lang w:bidi="en-US"/>
        </w:rPr>
      </w:pPr>
      <w:r w:rsidRPr="00C428DA">
        <w:rPr>
          <w:rFonts w:eastAsiaTheme="majorEastAsia" w:cstheme="majorBidi"/>
          <w:b/>
          <w:bCs/>
          <w:iCs/>
          <w:color w:val="4F81BD" w:themeColor="accent1"/>
          <w:sz w:val="22"/>
          <w:szCs w:val="22"/>
          <w:lang w:bidi="en-US"/>
        </w:rPr>
        <w:t xml:space="preserve">Reweighting tool on the Index </w:t>
      </w:r>
      <w:r w:rsidR="001661A1" w:rsidRPr="00C428DA">
        <w:rPr>
          <w:rFonts w:eastAsiaTheme="majorEastAsia" w:cstheme="majorBidi"/>
          <w:b/>
          <w:bCs/>
          <w:iCs/>
          <w:color w:val="4F81BD" w:themeColor="accent1"/>
          <w:sz w:val="22"/>
          <w:szCs w:val="22"/>
          <w:lang w:bidi="en-US"/>
        </w:rPr>
        <w:t>website</w:t>
      </w:r>
    </w:p>
    <w:p w:rsidR="006F2947" w:rsidRPr="001661A1" w:rsidRDefault="00F935B3" w:rsidP="00935A49">
      <w:pPr>
        <w:spacing w:after="0" w:line="240" w:lineRule="auto"/>
        <w:contextualSpacing/>
        <w:rPr>
          <w:rFonts w:cstheme="minorHAnsi"/>
        </w:rPr>
      </w:pPr>
      <w:r w:rsidRPr="001B3A49">
        <w:t>A re-weighting tool is provided on the ATI website which allows users to test different weighting options and see the effect on the scores</w:t>
      </w:r>
      <w:r>
        <w:t xml:space="preserve">: </w:t>
      </w:r>
      <w:hyperlink r:id="rId15" w:history="1">
        <w:r w:rsidRPr="006A21CF">
          <w:rPr>
            <w:rStyle w:val="Hyperlink"/>
          </w:rPr>
          <w:t>http://ati.publishwhatyoufund.org/</w:t>
        </w:r>
      </w:hyperlink>
      <w:r>
        <w:t xml:space="preserve"> </w:t>
      </w:r>
    </w:p>
    <w:p w:rsidR="00913ED9" w:rsidRPr="00423FCC" w:rsidRDefault="00913ED9" w:rsidP="00935A49">
      <w:pPr>
        <w:spacing w:after="0" w:line="240" w:lineRule="auto"/>
        <w:contextualSpacing/>
        <w:rPr>
          <w:color w:val="FF0000"/>
        </w:rPr>
      </w:pPr>
    </w:p>
    <w:p w:rsidR="006A08C0" w:rsidRPr="00553543" w:rsidRDefault="006A08C0" w:rsidP="00935A49">
      <w:pPr>
        <w:pStyle w:val="Heading4"/>
        <w:spacing w:before="0" w:line="240" w:lineRule="auto"/>
        <w:contextualSpacing/>
        <w:rPr>
          <w:rFonts w:ascii="Cambria" w:eastAsia="Calibri" w:hAnsi="Cambria" w:cs="Times New Roman"/>
          <w:i w:val="0"/>
          <w:iCs w:val="0"/>
          <w:color w:val="4F81BD"/>
          <w:sz w:val="28"/>
          <w:szCs w:val="26"/>
        </w:rPr>
      </w:pPr>
      <w:r w:rsidRPr="00553543">
        <w:rPr>
          <w:rFonts w:ascii="Cambria" w:eastAsia="Calibri" w:hAnsi="Cambria" w:cs="Times New Roman"/>
          <w:i w:val="0"/>
          <w:iCs w:val="0"/>
          <w:color w:val="4F81BD"/>
          <w:sz w:val="28"/>
          <w:szCs w:val="26"/>
        </w:rPr>
        <w:t xml:space="preserve">Ranking and performance </w:t>
      </w:r>
      <w:r w:rsidR="00E135D8" w:rsidRPr="00553543">
        <w:rPr>
          <w:rFonts w:ascii="Cambria" w:eastAsia="Calibri" w:hAnsi="Cambria" w:cs="Times New Roman"/>
          <w:i w:val="0"/>
          <w:iCs w:val="0"/>
          <w:color w:val="4F81BD"/>
          <w:sz w:val="28"/>
          <w:szCs w:val="26"/>
        </w:rPr>
        <w:t>categories</w:t>
      </w:r>
    </w:p>
    <w:p w:rsidR="00553543" w:rsidRDefault="00553543" w:rsidP="00935A49">
      <w:pPr>
        <w:spacing w:after="0" w:line="240" w:lineRule="auto"/>
        <w:contextualSpacing/>
      </w:pPr>
    </w:p>
    <w:p w:rsidR="00F935B3" w:rsidRDefault="00F935B3" w:rsidP="00F935B3">
      <w:pPr>
        <w:spacing w:after="0" w:line="240" w:lineRule="auto"/>
        <w:contextualSpacing/>
      </w:pPr>
      <w:r>
        <w:t xml:space="preserve">The final results are expressed as a percentage score for each organisation and a rank in relation to others. As in previous years, because the ATI covers a large number of organisations, five categories are used for comparing performance: </w:t>
      </w:r>
      <w:r w:rsidRPr="00192F1B">
        <w:t>V</w:t>
      </w:r>
      <w:r>
        <w:t xml:space="preserve">ery Good (80–100%), Good (60–79%), Fair (40–59%), Poor (20–39%) and Very Poor (0–19%). As with any range, it is worth noting that there may not be much difference in the overall performance between organisations at the top end of a performance category and those at the lower end of the previous category. </w:t>
      </w:r>
    </w:p>
    <w:p w:rsidR="000445AB" w:rsidRDefault="000445AB" w:rsidP="001661A1">
      <w:pPr>
        <w:pStyle w:val="Heading1"/>
        <w:pBdr>
          <w:bottom w:val="single" w:sz="4" w:space="1" w:color="auto"/>
        </w:pBdr>
        <w:spacing w:before="0" w:line="240" w:lineRule="auto"/>
        <w:rPr>
          <w:sz w:val="36"/>
        </w:rPr>
        <w:sectPr w:rsidR="000445AB" w:rsidSect="002B2AC5">
          <w:pgSz w:w="16838" w:h="11906" w:orient="landscape"/>
          <w:pgMar w:top="1021" w:right="1021" w:bottom="1021" w:left="1021" w:header="709" w:footer="709" w:gutter="0"/>
          <w:cols w:space="708"/>
          <w:docGrid w:linePitch="360"/>
        </w:sectPr>
      </w:pPr>
    </w:p>
    <w:p w:rsidR="003B3906" w:rsidRPr="000445AB" w:rsidRDefault="00F95552" w:rsidP="00F95552">
      <w:pPr>
        <w:pStyle w:val="Heading1"/>
        <w:pBdr>
          <w:bottom w:val="single" w:sz="4" w:space="1" w:color="auto"/>
        </w:pBdr>
        <w:spacing w:before="0" w:line="240" w:lineRule="auto"/>
        <w:rPr>
          <w:sz w:val="36"/>
        </w:rPr>
      </w:pPr>
      <w:bookmarkStart w:id="15" w:name="_Toc399168589"/>
      <w:r>
        <w:rPr>
          <w:sz w:val="36"/>
        </w:rPr>
        <w:lastRenderedPageBreak/>
        <w:t xml:space="preserve">Section 4. </w:t>
      </w:r>
      <w:r w:rsidR="00FD2C62" w:rsidRPr="000445AB">
        <w:rPr>
          <w:sz w:val="36"/>
        </w:rPr>
        <w:t>Data collection</w:t>
      </w:r>
      <w:bookmarkEnd w:id="15"/>
    </w:p>
    <w:p w:rsidR="00C9490D" w:rsidRDefault="00C9490D" w:rsidP="00935A49">
      <w:pPr>
        <w:pStyle w:val="Heading4"/>
        <w:spacing w:before="0" w:line="240" w:lineRule="auto"/>
        <w:rPr>
          <w:rFonts w:asciiTheme="minorHAnsi" w:hAnsiTheme="minorHAnsi"/>
        </w:rPr>
      </w:pPr>
    </w:p>
    <w:p w:rsidR="00061A20" w:rsidRPr="00553543" w:rsidRDefault="00040928" w:rsidP="00935A49">
      <w:pPr>
        <w:pStyle w:val="Heading4"/>
        <w:spacing w:before="0" w:line="240" w:lineRule="auto"/>
        <w:rPr>
          <w:rFonts w:ascii="Cambria" w:eastAsia="Calibri" w:hAnsi="Cambria" w:cs="Times New Roman"/>
          <w:i w:val="0"/>
          <w:iCs w:val="0"/>
          <w:color w:val="4F81BD"/>
          <w:sz w:val="28"/>
          <w:szCs w:val="26"/>
        </w:rPr>
      </w:pPr>
      <w:r>
        <w:rPr>
          <w:rFonts w:ascii="Cambria" w:eastAsia="Calibri" w:hAnsi="Cambria" w:cs="Times New Roman"/>
          <w:i w:val="0"/>
          <w:iCs w:val="0"/>
          <w:color w:val="4F81BD"/>
          <w:sz w:val="28"/>
          <w:szCs w:val="26"/>
        </w:rPr>
        <w:t>The Aid Transparency Tracker</w:t>
      </w:r>
    </w:p>
    <w:p w:rsidR="00553543" w:rsidRDefault="00553543" w:rsidP="00935A49">
      <w:pPr>
        <w:spacing w:after="0" w:line="240" w:lineRule="auto"/>
      </w:pPr>
    </w:p>
    <w:p w:rsidR="00160BB5" w:rsidRPr="00423FCC" w:rsidRDefault="00460AF2" w:rsidP="00935A49">
      <w:pPr>
        <w:spacing w:after="0" w:line="240" w:lineRule="auto"/>
        <w:rPr>
          <w:rFonts w:cstheme="minorHAnsi"/>
          <w:color w:val="000000"/>
        </w:rPr>
      </w:pPr>
      <w:r>
        <w:t>An online platform</w:t>
      </w:r>
      <w:r w:rsidR="00FD2C62" w:rsidRPr="00423FCC">
        <w:t xml:space="preserve">, the </w:t>
      </w:r>
      <w:hyperlink r:id="rId16" w:history="1">
        <w:r w:rsidR="00FD2C62" w:rsidRPr="00423FCC">
          <w:rPr>
            <w:rStyle w:val="Hyperlink"/>
            <w:rFonts w:cstheme="minorBidi"/>
          </w:rPr>
          <w:t>Aid Transparency Tracker</w:t>
        </w:r>
      </w:hyperlink>
      <w:r w:rsidR="00FD2C62" w:rsidRPr="00423FCC">
        <w:t xml:space="preserve">, </w:t>
      </w:r>
      <w:r>
        <w:t xml:space="preserve">is used </w:t>
      </w:r>
      <w:r w:rsidR="00FD2C62" w:rsidRPr="00423FCC">
        <w:t xml:space="preserve">to collect and share the data included in the </w:t>
      </w:r>
      <w:r>
        <w:t>ATI</w:t>
      </w:r>
      <w:r w:rsidR="00FD2C62" w:rsidRPr="00423FCC">
        <w:t>.</w:t>
      </w:r>
      <w:r w:rsidR="00FD2C62" w:rsidRPr="00423FCC">
        <w:rPr>
          <w:rStyle w:val="FootnoteReference"/>
        </w:rPr>
        <w:footnoteReference w:id="14"/>
      </w:r>
      <w:r w:rsidR="00FD2C62" w:rsidRPr="00423FCC">
        <w:t xml:space="preserve"> </w:t>
      </w:r>
      <w:r w:rsidR="00FD2C62" w:rsidRPr="00423FCC">
        <w:rPr>
          <w:rFonts w:cstheme="minorHAnsi"/>
          <w:color w:val="000000"/>
        </w:rPr>
        <w:t xml:space="preserve">The </w:t>
      </w:r>
      <w:r w:rsidR="00FD2C62" w:rsidRPr="00423FCC">
        <w:rPr>
          <w:rFonts w:cstheme="minorHAnsi"/>
        </w:rPr>
        <w:t>Tracker</w:t>
      </w:r>
      <w:r w:rsidR="00FD2C62" w:rsidRPr="00423FCC">
        <w:rPr>
          <w:rFonts w:cstheme="minorHAnsi"/>
          <w:color w:val="000000"/>
        </w:rPr>
        <w:t xml:space="preserve"> is </w:t>
      </w:r>
      <w:r>
        <w:rPr>
          <w:rFonts w:cstheme="minorHAnsi"/>
          <w:color w:val="000000"/>
        </w:rPr>
        <w:t>used</w:t>
      </w:r>
      <w:r w:rsidR="00DD3C4D" w:rsidRPr="00423FCC">
        <w:rPr>
          <w:rFonts w:cstheme="minorHAnsi"/>
          <w:color w:val="000000"/>
        </w:rPr>
        <w:t xml:space="preserve"> </w:t>
      </w:r>
      <w:r w:rsidR="00DD3C4D" w:rsidRPr="00423FCC">
        <w:rPr>
          <w:rFonts w:eastAsia="Times New Roman" w:cs="Arial"/>
          <w:color w:val="222222"/>
          <w:lang w:val="en-SG" w:eastAsia="en-SG"/>
        </w:rPr>
        <w:t>to monitor progress made by organisations in making their aid information more transparent</w:t>
      </w:r>
      <w:r w:rsidR="00C34B56" w:rsidRPr="00423FCC">
        <w:rPr>
          <w:rFonts w:cstheme="minorHAnsi"/>
          <w:color w:val="000000"/>
        </w:rPr>
        <w:t>.</w:t>
      </w:r>
      <w:r w:rsidR="00863863">
        <w:rPr>
          <w:rFonts w:cstheme="minorHAnsi"/>
          <w:color w:val="000000"/>
        </w:rPr>
        <w:t xml:space="preserve"> It</w:t>
      </w:r>
      <w:r w:rsidR="00FD2C62" w:rsidRPr="00423FCC">
        <w:rPr>
          <w:rFonts w:cstheme="minorHAnsi"/>
          <w:color w:val="000000"/>
        </w:rPr>
        <w:t xml:space="preserve"> includes three components</w:t>
      </w:r>
      <w:r w:rsidR="00160BB5" w:rsidRPr="00423FCC">
        <w:rPr>
          <w:rFonts w:cstheme="minorHAnsi"/>
          <w:color w:val="000000"/>
        </w:rPr>
        <w:t>:</w:t>
      </w:r>
    </w:p>
    <w:p w:rsidR="00160BB5" w:rsidRPr="00423FCC" w:rsidRDefault="00655993" w:rsidP="00935A49">
      <w:pPr>
        <w:pStyle w:val="ListParagraph"/>
        <w:numPr>
          <w:ilvl w:val="0"/>
          <w:numId w:val="10"/>
        </w:numPr>
        <w:spacing w:after="0" w:line="240" w:lineRule="auto"/>
        <w:rPr>
          <w:rFonts w:cstheme="minorHAnsi"/>
          <w:color w:val="000000"/>
        </w:rPr>
      </w:pPr>
      <w:r>
        <w:rPr>
          <w:rFonts w:cstheme="minorHAnsi"/>
          <w:color w:val="000000"/>
        </w:rPr>
        <w:t>A</w:t>
      </w:r>
      <w:r w:rsidR="00FD2C62" w:rsidRPr="00423FCC">
        <w:rPr>
          <w:rFonts w:cstheme="minorHAnsi"/>
          <w:color w:val="000000"/>
        </w:rPr>
        <w:t xml:space="preserve">n automated </w:t>
      </w:r>
      <w:r w:rsidR="004F5C34" w:rsidRPr="00423FCC">
        <w:rPr>
          <w:rFonts w:cstheme="minorHAnsi"/>
          <w:b/>
          <w:color w:val="000000"/>
        </w:rPr>
        <w:t>data quality assessment tool</w:t>
      </w:r>
      <w:r w:rsidR="004F5C34" w:rsidRPr="00423FCC">
        <w:rPr>
          <w:rFonts w:cstheme="minorHAnsi"/>
          <w:color w:val="000000"/>
        </w:rPr>
        <w:t xml:space="preserve"> </w:t>
      </w:r>
      <w:r w:rsidR="004F5C34" w:rsidRPr="00423FCC">
        <w:rPr>
          <w:rFonts w:eastAsia="Times New Roman" w:cs="Arial"/>
          <w:color w:val="222222"/>
          <w:lang w:eastAsia="en-SG"/>
        </w:rPr>
        <w:t xml:space="preserve">which assesses the quality </w:t>
      </w:r>
      <w:r>
        <w:rPr>
          <w:rFonts w:eastAsia="Times New Roman" w:cs="Arial"/>
          <w:color w:val="222222"/>
          <w:lang w:eastAsia="en-SG"/>
        </w:rPr>
        <w:t xml:space="preserve">of data being published </w:t>
      </w:r>
      <w:r w:rsidR="00460AF2">
        <w:rPr>
          <w:rFonts w:eastAsia="Times New Roman" w:cs="Arial"/>
          <w:color w:val="222222"/>
          <w:lang w:eastAsia="en-SG"/>
        </w:rPr>
        <w:t>to the IATI Registry</w:t>
      </w:r>
      <w:r>
        <w:rPr>
          <w:rFonts w:eastAsia="Times New Roman" w:cs="Arial"/>
          <w:color w:val="222222"/>
          <w:lang w:eastAsia="en-SG"/>
        </w:rPr>
        <w:t>.</w:t>
      </w:r>
    </w:p>
    <w:p w:rsidR="00D339E7" w:rsidRPr="00423FCC" w:rsidRDefault="00655993" w:rsidP="00935A49">
      <w:pPr>
        <w:pStyle w:val="ListParagraph"/>
        <w:numPr>
          <w:ilvl w:val="0"/>
          <w:numId w:val="10"/>
        </w:numPr>
        <w:spacing w:after="0" w:line="240" w:lineRule="auto"/>
        <w:rPr>
          <w:rFonts w:cstheme="minorHAnsi"/>
          <w:color w:val="000000"/>
          <w:lang w:val="en-SG"/>
        </w:rPr>
      </w:pPr>
      <w:r>
        <w:rPr>
          <w:rFonts w:cstheme="minorHAnsi"/>
          <w:color w:val="000000"/>
        </w:rPr>
        <w:t>A</w:t>
      </w:r>
      <w:r w:rsidR="00FD2C62" w:rsidRPr="00423FCC">
        <w:rPr>
          <w:rFonts w:cstheme="minorHAnsi"/>
          <w:color w:val="000000"/>
        </w:rPr>
        <w:t xml:space="preserve">n online </w:t>
      </w:r>
      <w:r w:rsidR="00FD2C62" w:rsidRPr="00423FCC">
        <w:rPr>
          <w:rFonts w:cstheme="minorHAnsi"/>
          <w:b/>
          <w:color w:val="000000"/>
        </w:rPr>
        <w:t>survey</w:t>
      </w:r>
      <w:r w:rsidR="00D339E7" w:rsidRPr="00423FCC">
        <w:rPr>
          <w:rFonts w:cstheme="minorHAnsi"/>
          <w:color w:val="000000"/>
        </w:rPr>
        <w:t xml:space="preserve"> tool</w:t>
      </w:r>
      <w:r w:rsidR="00FD2C62" w:rsidRPr="00423FCC">
        <w:rPr>
          <w:rFonts w:cstheme="minorHAnsi"/>
          <w:color w:val="000000"/>
        </w:rPr>
        <w:t xml:space="preserve"> </w:t>
      </w:r>
      <w:r w:rsidR="00D339E7" w:rsidRPr="00423FCC">
        <w:rPr>
          <w:rFonts w:cstheme="minorHAnsi"/>
          <w:color w:val="000000"/>
        </w:rPr>
        <w:t>which assesses aid information published by organisati</w:t>
      </w:r>
      <w:r>
        <w:rPr>
          <w:rFonts w:cstheme="minorHAnsi"/>
          <w:color w:val="000000"/>
        </w:rPr>
        <w:t xml:space="preserve">ons, in formats other than IATI </w:t>
      </w:r>
      <w:r w:rsidR="00D339E7" w:rsidRPr="00423FCC">
        <w:rPr>
          <w:rFonts w:cstheme="minorHAnsi"/>
          <w:color w:val="000000"/>
        </w:rPr>
        <w:t>XML, based on survey data collected manually for the Index.</w:t>
      </w:r>
    </w:p>
    <w:p w:rsidR="00160BB5" w:rsidRPr="00423FCC" w:rsidRDefault="00655993" w:rsidP="00935A49">
      <w:pPr>
        <w:pStyle w:val="ListParagraph"/>
        <w:numPr>
          <w:ilvl w:val="0"/>
          <w:numId w:val="10"/>
        </w:numPr>
        <w:spacing w:after="0" w:line="240" w:lineRule="auto"/>
        <w:rPr>
          <w:rFonts w:cstheme="minorHAnsi"/>
          <w:color w:val="000000"/>
        </w:rPr>
      </w:pPr>
      <w:r>
        <w:rPr>
          <w:rFonts w:cstheme="minorHAnsi"/>
          <w:color w:val="000000"/>
        </w:rPr>
        <w:t>A</w:t>
      </w:r>
      <w:r w:rsidR="00FD2C62" w:rsidRPr="00423FCC">
        <w:rPr>
          <w:rFonts w:cstheme="minorHAnsi"/>
          <w:color w:val="000000"/>
        </w:rPr>
        <w:t>n</w:t>
      </w:r>
      <w:r w:rsidR="00D339E7" w:rsidRPr="00423FCC">
        <w:rPr>
          <w:rFonts w:cstheme="minorHAnsi"/>
          <w:color w:val="000000"/>
        </w:rPr>
        <w:t xml:space="preserve"> </w:t>
      </w:r>
      <w:r w:rsidR="00D339E7" w:rsidRPr="00655993">
        <w:rPr>
          <w:rFonts w:cstheme="minorHAnsi"/>
          <w:b/>
          <w:color w:val="000000"/>
        </w:rPr>
        <w:t>implementation schedules tool</w:t>
      </w:r>
      <w:r>
        <w:rPr>
          <w:rFonts w:cstheme="minorHAnsi"/>
          <w:color w:val="000000"/>
        </w:rPr>
        <w:t xml:space="preserve"> which assesses all IATI/common s</w:t>
      </w:r>
      <w:r w:rsidR="00D339E7" w:rsidRPr="00423FCC">
        <w:rPr>
          <w:rFonts w:cstheme="minorHAnsi"/>
          <w:color w:val="000000"/>
        </w:rPr>
        <w:t xml:space="preserve">tandard schedules published to date by organisations as part of their commitment to publish aid information to a common standard by the end of 2015. </w:t>
      </w:r>
    </w:p>
    <w:p w:rsidR="00C9490D" w:rsidRDefault="00C9490D" w:rsidP="00935A49">
      <w:pPr>
        <w:spacing w:after="0" w:line="240" w:lineRule="auto"/>
      </w:pPr>
    </w:p>
    <w:p w:rsidR="00061A20" w:rsidRPr="00423FCC" w:rsidRDefault="00FD2C62" w:rsidP="00935A49">
      <w:pPr>
        <w:spacing w:after="0" w:line="240" w:lineRule="auto"/>
      </w:pPr>
      <w:r w:rsidRPr="00423FCC">
        <w:t>The Tracker highlights what information donor</w:t>
      </w:r>
      <w:r w:rsidR="00460AF2">
        <w:t xml:space="preserve"> organisation</w:t>
      </w:r>
      <w:r w:rsidRPr="00423FCC">
        <w:t>s have committed to publish in their implementation schedules, as well as what</w:t>
      </w:r>
      <w:r w:rsidR="00B915D6" w:rsidRPr="00423FCC">
        <w:t xml:space="preserve"> they are currently publishing.</w:t>
      </w:r>
      <w:r w:rsidR="00D339E7" w:rsidRPr="00423FCC">
        <w:t xml:space="preserve"> While the analysis derived from all three tools feeds into the Aid Transparency Index, the implementation schedules tool and the data quality tool are designed to be ‘living tools’ that continue to monitor and reflect changes in organisations’ plans or publication beyond the annual Index process.</w:t>
      </w:r>
      <w:r w:rsidR="0085148D" w:rsidRPr="00423FCC">
        <w:t xml:space="preserve"> For more details on each of these tools, visit: </w:t>
      </w:r>
      <w:hyperlink r:id="rId17" w:history="1">
        <w:r w:rsidR="00BD0891" w:rsidRPr="00640364">
          <w:rPr>
            <w:rStyle w:val="Hyperlink"/>
            <w:rFonts w:cstheme="minorBidi"/>
          </w:rPr>
          <w:t>http://tracker.publishwhatyoufund.org</w:t>
        </w:r>
      </w:hyperlink>
      <w:r w:rsidR="00BD0891">
        <w:t xml:space="preserve"> </w:t>
      </w:r>
    </w:p>
    <w:p w:rsidR="00553543" w:rsidRDefault="00553543" w:rsidP="00935A49">
      <w:pPr>
        <w:pStyle w:val="Heading4"/>
        <w:spacing w:before="0" w:line="240" w:lineRule="auto"/>
        <w:rPr>
          <w:rFonts w:asciiTheme="minorHAnsi" w:hAnsiTheme="minorHAnsi"/>
        </w:rPr>
      </w:pPr>
    </w:p>
    <w:p w:rsidR="00061A20" w:rsidRPr="007D3871" w:rsidRDefault="00061A20" w:rsidP="00935A49">
      <w:pPr>
        <w:pStyle w:val="Heading4"/>
        <w:spacing w:before="0" w:line="240" w:lineRule="auto"/>
        <w:rPr>
          <w:rFonts w:ascii="Cambria" w:eastAsia="Calibri" w:hAnsi="Cambria" w:cs="Times New Roman"/>
          <w:i w:val="0"/>
          <w:iCs w:val="0"/>
          <w:color w:val="4F81BD"/>
          <w:sz w:val="28"/>
          <w:szCs w:val="26"/>
        </w:rPr>
      </w:pPr>
      <w:r w:rsidRPr="007D3871">
        <w:rPr>
          <w:rFonts w:ascii="Cambria" w:eastAsia="Calibri" w:hAnsi="Cambria" w:cs="Times New Roman"/>
          <w:i w:val="0"/>
          <w:iCs w:val="0"/>
          <w:color w:val="4F81BD"/>
          <w:sz w:val="28"/>
          <w:szCs w:val="26"/>
        </w:rPr>
        <w:t>Data sources</w:t>
      </w:r>
    </w:p>
    <w:p w:rsidR="007D3871" w:rsidRDefault="007D3871" w:rsidP="00935A49">
      <w:pPr>
        <w:spacing w:after="0" w:line="240" w:lineRule="auto"/>
        <w:rPr>
          <w:rFonts w:cstheme="minorHAnsi"/>
          <w:color w:val="000000"/>
        </w:rPr>
      </w:pPr>
    </w:p>
    <w:p w:rsidR="00655993" w:rsidRDefault="00FD2C62" w:rsidP="00935A49">
      <w:pPr>
        <w:spacing w:after="0" w:line="240" w:lineRule="auto"/>
        <w:rPr>
          <w:color w:val="000000"/>
        </w:rPr>
      </w:pPr>
      <w:r w:rsidRPr="00423FCC">
        <w:rPr>
          <w:rFonts w:cstheme="minorHAnsi"/>
          <w:color w:val="000000"/>
        </w:rPr>
        <w:t xml:space="preserve">Most information included in the </w:t>
      </w:r>
      <w:r w:rsidR="00460AF2">
        <w:rPr>
          <w:rFonts w:cstheme="minorHAnsi"/>
          <w:color w:val="000000"/>
        </w:rPr>
        <w:t>ATI</w:t>
      </w:r>
      <w:r w:rsidRPr="00423FCC">
        <w:rPr>
          <w:rFonts w:cstheme="minorHAnsi"/>
          <w:color w:val="000000"/>
        </w:rPr>
        <w:t xml:space="preserve"> is gathered from what is published online by each organisa</w:t>
      </w:r>
      <w:r w:rsidR="00691CE4" w:rsidRPr="00423FCC">
        <w:rPr>
          <w:rFonts w:cstheme="minorHAnsi"/>
          <w:color w:val="000000"/>
        </w:rPr>
        <w:t>tion – either on their website</w:t>
      </w:r>
      <w:r w:rsidRPr="00423FCC">
        <w:rPr>
          <w:rFonts w:cstheme="minorHAnsi"/>
          <w:color w:val="000000"/>
        </w:rPr>
        <w:t xml:space="preserve">, national platforms such as the U.S. Foreign Assistance </w:t>
      </w:r>
      <w:r w:rsidRPr="00655993">
        <w:rPr>
          <w:rFonts w:cstheme="minorHAnsi"/>
          <w:color w:val="000000"/>
        </w:rPr>
        <w:t>Dashboard</w:t>
      </w:r>
      <w:r w:rsidR="00691CE4" w:rsidRPr="00655993">
        <w:rPr>
          <w:rFonts w:cstheme="minorHAnsi"/>
          <w:color w:val="000000"/>
        </w:rPr>
        <w:t xml:space="preserve">, </w:t>
      </w:r>
      <w:r w:rsidRPr="00655993">
        <w:rPr>
          <w:rFonts w:cstheme="minorHAnsi"/>
          <w:color w:val="000000"/>
        </w:rPr>
        <w:t>the OECD common standard website (for implementation schedules)</w:t>
      </w:r>
      <w:r w:rsidR="00691CE4" w:rsidRPr="00655993">
        <w:rPr>
          <w:rFonts w:cstheme="minorHAnsi"/>
          <w:color w:val="000000"/>
        </w:rPr>
        <w:t xml:space="preserve"> or the IATI Registry</w:t>
      </w:r>
      <w:r w:rsidRPr="00655993">
        <w:rPr>
          <w:rFonts w:cstheme="minorHAnsi"/>
          <w:color w:val="000000"/>
        </w:rPr>
        <w:t xml:space="preserve">. One indicator uses a </w:t>
      </w:r>
      <w:r w:rsidR="00DA48C0" w:rsidRPr="00655993">
        <w:rPr>
          <w:rFonts w:cstheme="minorHAnsi"/>
          <w:color w:val="000000"/>
        </w:rPr>
        <w:t>secondary</w:t>
      </w:r>
      <w:r w:rsidRPr="00655993">
        <w:rPr>
          <w:rFonts w:cstheme="minorHAnsi"/>
          <w:color w:val="000000"/>
        </w:rPr>
        <w:t xml:space="preserve"> data source</w:t>
      </w:r>
      <w:r w:rsidR="00655993">
        <w:rPr>
          <w:rFonts w:cstheme="minorHAnsi"/>
          <w:color w:val="000000"/>
        </w:rPr>
        <w:t xml:space="preserve">, the </w:t>
      </w:r>
      <w:r w:rsidR="00655993" w:rsidRPr="00655993">
        <w:rPr>
          <w:rFonts w:cstheme="minorHAnsi"/>
          <w:color w:val="000000"/>
        </w:rPr>
        <w:t>Global Right to Information (RTI) Rating</w:t>
      </w:r>
      <w:r w:rsidR="00655993">
        <w:rPr>
          <w:rFonts w:cstheme="minorHAnsi"/>
          <w:color w:val="000000"/>
        </w:rPr>
        <w:t>,</w:t>
      </w:r>
      <w:r w:rsidRPr="00655993">
        <w:rPr>
          <w:rFonts w:cstheme="minorHAnsi"/>
          <w:color w:val="000000"/>
        </w:rPr>
        <w:t xml:space="preserve"> to assess the quality of Freedom of Information legislation.</w:t>
      </w:r>
      <w:r w:rsidR="00655993" w:rsidRPr="00655993">
        <w:rPr>
          <w:color w:val="000000"/>
        </w:rPr>
        <w:t xml:space="preserve"> </w:t>
      </w:r>
    </w:p>
    <w:p w:rsidR="00655993" w:rsidRDefault="00655993" w:rsidP="00935A49">
      <w:pPr>
        <w:spacing w:after="0" w:line="240" w:lineRule="auto"/>
        <w:rPr>
          <w:color w:val="000000"/>
        </w:rPr>
      </w:pPr>
    </w:p>
    <w:p w:rsidR="00FD2C62" w:rsidRPr="00423FCC" w:rsidRDefault="00655993" w:rsidP="00935A49">
      <w:pPr>
        <w:spacing w:after="0" w:line="240" w:lineRule="auto"/>
        <w:rPr>
          <w:rFonts w:cstheme="minorHAnsi"/>
          <w:color w:val="000000"/>
        </w:rPr>
      </w:pPr>
      <w:r w:rsidRPr="00655993">
        <w:rPr>
          <w:color w:val="000000"/>
        </w:rPr>
        <w:t>T</w:t>
      </w:r>
      <w:r w:rsidRPr="00655993">
        <w:rPr>
          <w:rFonts w:cstheme="minorHAnsi"/>
          <w:color w:val="000000"/>
        </w:rPr>
        <w:t xml:space="preserve">he </w:t>
      </w:r>
      <w:r w:rsidR="007D57C4">
        <w:rPr>
          <w:rFonts w:cstheme="minorHAnsi"/>
          <w:color w:val="000000"/>
        </w:rPr>
        <w:t xml:space="preserve">Global </w:t>
      </w:r>
      <w:r>
        <w:rPr>
          <w:rFonts w:cstheme="minorHAnsi"/>
          <w:color w:val="000000"/>
        </w:rPr>
        <w:t>RTI</w:t>
      </w:r>
      <w:r w:rsidRPr="00655993">
        <w:rPr>
          <w:rFonts w:cstheme="minorHAnsi"/>
          <w:color w:val="000000"/>
        </w:rPr>
        <w:t xml:space="preserve"> Rating </w:t>
      </w:r>
      <w:r w:rsidRPr="00655993">
        <w:t>scores the strength of the legal framework in guaranteeing the right to information in a country. Based on a 61 indicator survey, the legislation is graded on a 150-point scale.</w:t>
      </w:r>
      <w:r>
        <w:rPr>
          <w:rStyle w:val="FootnoteReference"/>
        </w:rPr>
        <w:footnoteReference w:id="15"/>
      </w:r>
      <w:r w:rsidRPr="00655993">
        <w:t xml:space="preserve"> This has been adapted to a three point framework for the Index indicator. A second scale was developed </w:t>
      </w:r>
      <w:r w:rsidR="00460AF2">
        <w:t xml:space="preserve">in 2012 </w:t>
      </w:r>
      <w:r w:rsidRPr="00655993">
        <w:t xml:space="preserve">to score disclosure policies for non-bilaterals. This was guided by the principle that, while non-bilateral donors may not be legally obliged to disclose their information, many of them have disclosure policies and these should be taken into consideration rather than having a data gap or awarding </w:t>
      </w:r>
      <w:r w:rsidRPr="004514D7">
        <w:t xml:space="preserve">them an average score for this indicator. </w:t>
      </w:r>
      <w:r w:rsidR="00874013" w:rsidRPr="004514D7">
        <w:t xml:space="preserve">There has been a simplification in the criteria used for assessing disclosure policies in 2014. </w:t>
      </w:r>
      <w:r w:rsidR="00B942FD" w:rsidRPr="004514D7">
        <w:t>For more detail</w:t>
      </w:r>
      <w:r w:rsidR="00874013" w:rsidRPr="004514D7">
        <w:t>s</w:t>
      </w:r>
      <w:r w:rsidR="00B942FD" w:rsidRPr="004514D7">
        <w:t xml:space="preserve"> on </w:t>
      </w:r>
      <w:r w:rsidR="00874013" w:rsidRPr="004514D7">
        <w:t>the methodology, see</w:t>
      </w:r>
      <w:r w:rsidR="00B942FD" w:rsidRPr="004514D7">
        <w:t xml:space="preserve"> </w:t>
      </w:r>
      <w:r w:rsidR="006F07C4" w:rsidRPr="004514D7">
        <w:t>b</w:t>
      </w:r>
      <w:r w:rsidR="00B942FD" w:rsidRPr="004514D7">
        <w:t xml:space="preserve">ox 2 </w:t>
      </w:r>
      <w:r w:rsidR="00216D75" w:rsidRPr="004514D7">
        <w:t>on p.</w:t>
      </w:r>
      <w:r w:rsidR="00394D03" w:rsidRPr="004514D7">
        <w:t>19</w:t>
      </w:r>
      <w:r w:rsidR="00B942FD" w:rsidRPr="004514D7">
        <w:t>.</w:t>
      </w:r>
    </w:p>
    <w:p w:rsidR="00B942FD" w:rsidRPr="00374B2A" w:rsidRDefault="00B942FD" w:rsidP="00374B2A">
      <w:pPr>
        <w:pStyle w:val="Heading5"/>
        <w:spacing w:before="0" w:line="240" w:lineRule="auto"/>
        <w:rPr>
          <w:rStyle w:val="IntenseEmphasis"/>
          <w:rFonts w:asciiTheme="minorHAnsi" w:hAnsiTheme="minorHAnsi"/>
          <w:i w:val="0"/>
          <w:color w:val="auto"/>
        </w:rPr>
      </w:pPr>
    </w:p>
    <w:p w:rsidR="00863863" w:rsidRDefault="00863863">
      <w:pPr>
        <w:rPr>
          <w:rFonts w:eastAsia="Times New Roman" w:cstheme="majorBidi"/>
          <w:b/>
          <w:bCs/>
          <w:color w:val="4F81BD" w:themeColor="accent1"/>
          <w:lang w:eastAsia="en-GB"/>
        </w:rPr>
      </w:pPr>
      <w:r>
        <w:rPr>
          <w:rFonts w:eastAsia="Times New Roman" w:cstheme="majorBidi"/>
          <w:b/>
          <w:bCs/>
          <w:color w:val="4F81BD" w:themeColor="accent1"/>
          <w:lang w:eastAsia="en-GB"/>
        </w:rPr>
        <w:br w:type="page"/>
      </w:r>
    </w:p>
    <w:p w:rsidR="00061A20" w:rsidRPr="00C428DA" w:rsidRDefault="00061A20" w:rsidP="00374B2A">
      <w:pPr>
        <w:pStyle w:val="ListBullet"/>
        <w:numPr>
          <w:ilvl w:val="0"/>
          <w:numId w:val="0"/>
        </w:numPr>
        <w:spacing w:after="0" w:line="240" w:lineRule="auto"/>
        <w:rPr>
          <w:rFonts w:ascii="Cambria" w:eastAsiaTheme="majorEastAsia" w:hAnsi="Cambria" w:cstheme="majorBidi"/>
          <w:b/>
          <w:bCs/>
          <w:iCs/>
          <w:color w:val="4F81BD" w:themeColor="accent1"/>
          <w:lang w:val="en-GB" w:eastAsia="en-US" w:bidi="en-US"/>
        </w:rPr>
      </w:pPr>
      <w:r w:rsidRPr="00C428DA">
        <w:rPr>
          <w:rFonts w:ascii="Cambria" w:eastAsiaTheme="majorEastAsia" w:hAnsi="Cambria" w:cstheme="majorBidi"/>
          <w:b/>
          <w:bCs/>
          <w:iCs/>
          <w:color w:val="4F81BD" w:themeColor="accent1"/>
          <w:lang w:val="en-GB" w:eastAsia="en-US" w:bidi="en-US"/>
        </w:rPr>
        <w:lastRenderedPageBreak/>
        <w:t>IATI XML data and the IATI Registry</w:t>
      </w:r>
    </w:p>
    <w:p w:rsidR="00061A20" w:rsidRPr="00423FCC" w:rsidRDefault="00061A20" w:rsidP="00935A49">
      <w:pPr>
        <w:spacing w:after="0" w:line="240" w:lineRule="auto"/>
      </w:pPr>
      <w:r w:rsidRPr="00423FCC">
        <w:t xml:space="preserve">The IATI Registry is an important component of IATI publication, as it makes data discoverable and easier to access. IATI publishers "register" their IATI XML data, providing links back to the original source data – which remains on donors' own websites – and other useful metadata. </w:t>
      </w:r>
    </w:p>
    <w:p w:rsidR="00154052" w:rsidRDefault="00154052" w:rsidP="00935A49">
      <w:pPr>
        <w:spacing w:after="0" w:line="240" w:lineRule="auto"/>
      </w:pPr>
    </w:p>
    <w:p w:rsidR="00061A20" w:rsidRDefault="00061A20" w:rsidP="00935A49">
      <w:pPr>
        <w:spacing w:after="0" w:line="240" w:lineRule="auto"/>
      </w:pPr>
      <w:r w:rsidRPr="00423FCC">
        <w:t>For the purposes of the 2013 Index, some donors</w:t>
      </w:r>
      <w:r w:rsidRPr="00423FCC">
        <w:rPr>
          <w:rStyle w:val="FootnoteReference"/>
        </w:rPr>
        <w:footnoteReference w:id="16"/>
      </w:r>
      <w:r w:rsidRPr="00423FCC">
        <w:t xml:space="preserve"> were unable to register their IATI XML data with the Registry by the data collection deadline. </w:t>
      </w:r>
      <w:r w:rsidR="00BB68EC" w:rsidRPr="00423FCC">
        <w:t xml:space="preserve">Given that </w:t>
      </w:r>
      <w:r w:rsidR="00BB68EC">
        <w:t>a new methodology was being used for the first time in 2013</w:t>
      </w:r>
      <w:r w:rsidR="00BB68EC" w:rsidRPr="00423FCC">
        <w:t xml:space="preserve">, it was felt it would be unfair to penalise these organisations. </w:t>
      </w:r>
      <w:r w:rsidRPr="00423FCC">
        <w:t xml:space="preserve">Publish What You Fund accepted IATI XML data from the donors' own websites, even if it was not registered with the IATI Registry, on the understanding that it would be in the near future. All four organisations were strongly encouraged to register their data with the IATI Registry and </w:t>
      </w:r>
      <w:r w:rsidR="00BD0891">
        <w:t>all</w:t>
      </w:r>
      <w:r w:rsidR="00BD0891" w:rsidRPr="00423FCC">
        <w:t xml:space="preserve"> </w:t>
      </w:r>
      <w:r w:rsidRPr="00423FCC">
        <w:t xml:space="preserve">have since done this. </w:t>
      </w:r>
    </w:p>
    <w:p w:rsidR="00374B2A" w:rsidRDefault="00374B2A" w:rsidP="00935A49">
      <w:pPr>
        <w:spacing w:after="0" w:line="240" w:lineRule="auto"/>
      </w:pPr>
    </w:p>
    <w:p w:rsidR="00863863" w:rsidRDefault="00061A20" w:rsidP="00935A49">
      <w:pPr>
        <w:spacing w:after="0" w:line="240" w:lineRule="auto"/>
      </w:pPr>
      <w:r w:rsidRPr="00423FCC">
        <w:t>In 2014</w:t>
      </w:r>
      <w:r w:rsidRPr="00BB68EC">
        <w:t>,</w:t>
      </w:r>
      <w:r w:rsidR="00BB68EC">
        <w:t xml:space="preserve"> the IATI publication approach </w:t>
      </w:r>
      <w:r w:rsidR="00874013">
        <w:t>is</w:t>
      </w:r>
      <w:r w:rsidR="00BB68EC">
        <w:t xml:space="preserve"> interpreted more strictly, </w:t>
      </w:r>
      <w:r w:rsidR="00BB68EC" w:rsidRPr="00587195">
        <w:t>meaning that</w:t>
      </w:r>
      <w:r w:rsidRPr="00587195">
        <w:t xml:space="preserve"> </w:t>
      </w:r>
      <w:r w:rsidR="00DD1AED" w:rsidRPr="00587195">
        <w:t>IATI XML data needs to be available via the IATI Registry for it to be taken into account.</w:t>
      </w:r>
      <w:r w:rsidRPr="00587195">
        <w:t xml:space="preserve"> </w:t>
      </w:r>
      <w:r w:rsidR="00BB68EC" w:rsidRPr="00587195">
        <w:t>IA</w:t>
      </w:r>
      <w:r w:rsidR="00BB68EC" w:rsidRPr="00807CCC">
        <w:t xml:space="preserve">TI XML data that is not on the Registry </w:t>
      </w:r>
      <w:r w:rsidR="00874013">
        <w:t>is</w:t>
      </w:r>
      <w:r w:rsidR="00BB68EC" w:rsidRPr="00807CCC">
        <w:t xml:space="preserve"> scored the same as other machine-readable data.</w:t>
      </w:r>
      <w:r w:rsidR="00A956B1">
        <w:t xml:space="preserve"> </w:t>
      </w:r>
    </w:p>
    <w:p w:rsidR="00874013" w:rsidRDefault="00874013" w:rsidP="00935A49">
      <w:pPr>
        <w:spacing w:after="0" w:line="240" w:lineRule="auto"/>
      </w:pPr>
    </w:p>
    <w:p w:rsidR="00863863" w:rsidRPr="00553543" w:rsidRDefault="00863863" w:rsidP="00863863">
      <w:pPr>
        <w:pStyle w:val="Heading4"/>
        <w:spacing w:before="0" w:line="240" w:lineRule="auto"/>
        <w:rPr>
          <w:rFonts w:ascii="Cambria" w:eastAsia="Calibri" w:hAnsi="Cambria" w:cs="Times New Roman"/>
          <w:i w:val="0"/>
          <w:iCs w:val="0"/>
          <w:color w:val="4F81BD"/>
          <w:sz w:val="28"/>
          <w:szCs w:val="26"/>
        </w:rPr>
      </w:pPr>
      <w:r w:rsidRPr="00553543">
        <w:rPr>
          <w:rFonts w:ascii="Cambria" w:eastAsia="Calibri" w:hAnsi="Cambria" w:cs="Times New Roman"/>
          <w:i w:val="0"/>
          <w:iCs w:val="0"/>
          <w:color w:val="4F81BD"/>
          <w:sz w:val="28"/>
          <w:szCs w:val="26"/>
        </w:rPr>
        <w:t>Timeline and process</w:t>
      </w:r>
    </w:p>
    <w:p w:rsidR="00863863" w:rsidRDefault="00863863" w:rsidP="00863863">
      <w:pPr>
        <w:pStyle w:val="ListBullet"/>
        <w:numPr>
          <w:ilvl w:val="0"/>
          <w:numId w:val="0"/>
        </w:numPr>
        <w:spacing w:after="0" w:line="240" w:lineRule="auto"/>
        <w:rPr>
          <w:rFonts w:cstheme="minorHAnsi"/>
          <w:color w:val="000000"/>
        </w:rPr>
      </w:pPr>
    </w:p>
    <w:p w:rsidR="00863863" w:rsidRPr="00423FCC" w:rsidRDefault="00863863" w:rsidP="00863863">
      <w:pPr>
        <w:pStyle w:val="ListBullet"/>
        <w:numPr>
          <w:ilvl w:val="0"/>
          <w:numId w:val="0"/>
        </w:numPr>
        <w:spacing w:after="0" w:line="240" w:lineRule="auto"/>
      </w:pPr>
      <w:r w:rsidRPr="00423FCC">
        <w:rPr>
          <w:rFonts w:cstheme="minorHAnsi"/>
          <w:color w:val="000000"/>
        </w:rPr>
        <w:t xml:space="preserve">There </w:t>
      </w:r>
      <w:r w:rsidR="00BB68EC">
        <w:rPr>
          <w:rFonts w:cstheme="minorHAnsi"/>
          <w:color w:val="000000"/>
        </w:rPr>
        <w:t>i</w:t>
      </w:r>
      <w:r w:rsidRPr="00423FCC">
        <w:rPr>
          <w:rFonts w:cstheme="minorHAnsi"/>
          <w:color w:val="000000"/>
        </w:rPr>
        <w:t xml:space="preserve">s a defined data collection period (1 </w:t>
      </w:r>
      <w:r w:rsidR="00BB68EC">
        <w:rPr>
          <w:rFonts w:cstheme="minorHAnsi"/>
          <w:color w:val="000000"/>
        </w:rPr>
        <w:t>April–30 June 2014</w:t>
      </w:r>
      <w:r w:rsidRPr="00423FCC">
        <w:rPr>
          <w:rFonts w:cstheme="minorHAnsi"/>
          <w:color w:val="000000"/>
        </w:rPr>
        <w:t xml:space="preserve">) to ensure that all organisations are compared fairly at the same period in time. </w:t>
      </w:r>
      <w:r w:rsidRPr="00423FCC">
        <w:t xml:space="preserve">If the organisation is not an IATI publisher then all the information </w:t>
      </w:r>
      <w:r w:rsidR="00BB68EC">
        <w:t>i</w:t>
      </w:r>
      <w:r w:rsidRPr="00423FCC">
        <w:t xml:space="preserve">s collected via the survey. Surveys </w:t>
      </w:r>
      <w:r w:rsidR="00BB68EC">
        <w:t>a</w:t>
      </w:r>
      <w:r w:rsidRPr="00423FCC">
        <w:t xml:space="preserve">re completed in-house by Publish What You Fund as per the methodology described in the general scoring guidelines in Section 2. </w:t>
      </w:r>
      <w:r w:rsidR="00BB68EC">
        <w:t>D</w:t>
      </w:r>
      <w:r w:rsidRPr="00423FCC">
        <w:t>onor</w:t>
      </w:r>
      <w:r w:rsidR="00BB68EC">
        <w:t xml:space="preserve"> organisation</w:t>
      </w:r>
      <w:r w:rsidRPr="00423FCC">
        <w:t xml:space="preserve">s and partner CSOs </w:t>
      </w:r>
      <w:r w:rsidR="00BB68EC">
        <w:t>a</w:t>
      </w:r>
      <w:r w:rsidRPr="00423FCC">
        <w:t xml:space="preserve">re invited to review the surveys and provide any updates or corrections as necessary. </w:t>
      </w:r>
    </w:p>
    <w:p w:rsidR="00863863" w:rsidRPr="00423FCC" w:rsidRDefault="00863863" w:rsidP="00863863">
      <w:pPr>
        <w:pStyle w:val="ListBullet"/>
        <w:numPr>
          <w:ilvl w:val="0"/>
          <w:numId w:val="0"/>
        </w:numPr>
        <w:spacing w:after="0" w:line="240" w:lineRule="auto"/>
      </w:pPr>
    </w:p>
    <w:p w:rsidR="00BB68EC" w:rsidRPr="00423FCC" w:rsidRDefault="00BB68EC" w:rsidP="00BB68EC">
      <w:pPr>
        <w:pStyle w:val="ListBullet"/>
        <w:numPr>
          <w:ilvl w:val="0"/>
          <w:numId w:val="0"/>
        </w:numPr>
        <w:spacing w:after="0" w:line="240" w:lineRule="auto"/>
      </w:pPr>
      <w:r w:rsidRPr="00423FCC">
        <w:t xml:space="preserve">For organisations that are publishing </w:t>
      </w:r>
      <w:r>
        <w:t>to the IATI Registry</w:t>
      </w:r>
      <w:r w:rsidRPr="00423FCC">
        <w:t>, data collection follows a two-step process:</w:t>
      </w:r>
    </w:p>
    <w:p w:rsidR="00BB68EC" w:rsidRPr="00423FCC" w:rsidRDefault="00BB68EC" w:rsidP="00BB68EC">
      <w:pPr>
        <w:numPr>
          <w:ilvl w:val="0"/>
          <w:numId w:val="3"/>
        </w:numPr>
        <w:spacing w:after="0" w:line="240" w:lineRule="auto"/>
      </w:pPr>
      <w:r w:rsidRPr="00423FCC">
        <w:t xml:space="preserve">First, their data is run through the </w:t>
      </w:r>
      <w:r w:rsidRPr="005D50D0">
        <w:rPr>
          <w:rFonts w:cs="Times New Roman"/>
        </w:rPr>
        <w:t>data quality tool</w:t>
      </w:r>
      <w:r w:rsidRPr="00423FCC">
        <w:t>, which is designed to run automated checks and tests on each organisation’s data, providing both a comparative view across organisations and granular details on each organisation’s data. These tests are aggregated to produce scores for indicators to which they are relevant.</w:t>
      </w:r>
      <w:r w:rsidRPr="00423FCC">
        <w:rPr>
          <w:rStyle w:val="FootnoteReference"/>
        </w:rPr>
        <w:footnoteReference w:id="17"/>
      </w:r>
      <w:r w:rsidRPr="00423FCC">
        <w:t xml:space="preserve"> </w:t>
      </w:r>
    </w:p>
    <w:p w:rsidR="00BB68EC" w:rsidRDefault="00BB68EC" w:rsidP="00BB68EC">
      <w:pPr>
        <w:numPr>
          <w:ilvl w:val="0"/>
          <w:numId w:val="3"/>
        </w:numPr>
        <w:spacing w:after="0" w:line="240" w:lineRule="auto"/>
      </w:pPr>
      <w:r w:rsidRPr="00423FCC">
        <w:t xml:space="preserve">Next, for those indicators for which information is not published in </w:t>
      </w:r>
      <w:r>
        <w:t>to the IATI Registry</w:t>
      </w:r>
      <w:r w:rsidRPr="00423FCC">
        <w:t xml:space="preserve"> or does not pass the necessary tests, the data is collected via the survey.</w:t>
      </w:r>
      <w:r w:rsidR="00345D43">
        <w:t xml:space="preserve"> </w:t>
      </w:r>
    </w:p>
    <w:p w:rsidR="00863863" w:rsidRPr="00423FCC" w:rsidRDefault="00863863" w:rsidP="00863863">
      <w:pPr>
        <w:pStyle w:val="ListBullet"/>
        <w:numPr>
          <w:ilvl w:val="0"/>
          <w:numId w:val="0"/>
        </w:numPr>
        <w:spacing w:after="0" w:line="240" w:lineRule="auto"/>
      </w:pPr>
    </w:p>
    <w:p w:rsidR="00863863" w:rsidRPr="00423FCC" w:rsidRDefault="00863863" w:rsidP="00863863">
      <w:pPr>
        <w:pStyle w:val="ListBullet"/>
        <w:numPr>
          <w:ilvl w:val="0"/>
          <w:numId w:val="0"/>
        </w:numPr>
        <w:spacing w:after="0" w:line="240" w:lineRule="auto"/>
      </w:pPr>
      <w:r w:rsidRPr="00423FCC">
        <w:t xml:space="preserve">The initial assessment </w:t>
      </w:r>
      <w:r w:rsidR="00874013">
        <w:t xml:space="preserve">was </w:t>
      </w:r>
      <w:r w:rsidRPr="00423FCC">
        <w:t xml:space="preserve">made available to donors via the Tracker in </w:t>
      </w:r>
      <w:r w:rsidR="00BB68EC">
        <w:t>April 2014</w:t>
      </w:r>
      <w:r w:rsidRPr="00423FCC">
        <w:t xml:space="preserve"> and remain</w:t>
      </w:r>
      <w:r w:rsidR="00874013">
        <w:t>ed</w:t>
      </w:r>
      <w:r w:rsidRPr="00423FCC">
        <w:t xml:space="preserve"> available for review and comment for until </w:t>
      </w:r>
      <w:r w:rsidR="00BD0891">
        <w:t>30</w:t>
      </w:r>
      <w:r w:rsidR="00BD0891" w:rsidRPr="004D19B4">
        <w:rPr>
          <w:vertAlign w:val="superscript"/>
        </w:rPr>
        <w:t>th</w:t>
      </w:r>
      <w:r w:rsidR="00BD0891">
        <w:t xml:space="preserve"> </w:t>
      </w:r>
      <w:r w:rsidRPr="00423FCC">
        <w:t>Ju</w:t>
      </w:r>
      <w:r w:rsidR="00BB68EC">
        <w:t>ne</w:t>
      </w:r>
      <w:r w:rsidRPr="00423FCC">
        <w:t xml:space="preserve">. The final set of IATI data </w:t>
      </w:r>
      <w:r w:rsidR="00874013">
        <w:t>was</w:t>
      </w:r>
      <w:r w:rsidRPr="00423FCC">
        <w:t xml:space="preserve"> automatically collected </w:t>
      </w:r>
      <w:r w:rsidR="00BD0891">
        <w:t>shortly after the end of the data collection on 30</w:t>
      </w:r>
      <w:r w:rsidR="00BD0891" w:rsidRPr="004D19B4">
        <w:rPr>
          <w:vertAlign w:val="superscript"/>
        </w:rPr>
        <w:t>th</w:t>
      </w:r>
      <w:r w:rsidR="00BD0891">
        <w:t xml:space="preserve"> June</w:t>
      </w:r>
      <w:r w:rsidRPr="00423FCC">
        <w:t xml:space="preserve">, so any improvements or changes to an organisation’s IATI data during that period </w:t>
      </w:r>
      <w:r w:rsidR="00874013">
        <w:t>were</w:t>
      </w:r>
      <w:r w:rsidRPr="00423FCC">
        <w:t xml:space="preserve"> reflected in the final dataset used to compile the Index. </w:t>
      </w:r>
    </w:p>
    <w:p w:rsidR="00874013" w:rsidRDefault="00874013" w:rsidP="00863863">
      <w:pPr>
        <w:pStyle w:val="ListParagraph"/>
        <w:spacing w:after="0" w:line="240" w:lineRule="auto"/>
        <w:ind w:left="0"/>
      </w:pPr>
    </w:p>
    <w:p w:rsidR="00863863" w:rsidRPr="00423FCC" w:rsidRDefault="00863863" w:rsidP="00863863">
      <w:pPr>
        <w:pStyle w:val="ListParagraph"/>
        <w:spacing w:after="0" w:line="240" w:lineRule="auto"/>
        <w:ind w:left="0"/>
      </w:pPr>
      <w:r w:rsidRPr="00423FCC">
        <w:lastRenderedPageBreak/>
        <w:t xml:space="preserve">Only IATI data is collected and assessed automatically. The tests used to assess the data were designed by Publish What You Fund </w:t>
      </w:r>
      <w:r w:rsidR="00FA1A44">
        <w:t>after</w:t>
      </w:r>
      <w:r w:rsidR="00FA1A44" w:rsidRPr="00423FCC">
        <w:t xml:space="preserve"> </w:t>
      </w:r>
      <w:r w:rsidRPr="00423FCC">
        <w:t>consult</w:t>
      </w:r>
      <w:r w:rsidR="00FA1A44">
        <w:t>ing</w:t>
      </w:r>
      <w:r w:rsidRPr="00423FCC">
        <w:t xml:space="preserve"> with IATI data experts</w:t>
      </w:r>
      <w:r w:rsidR="004D19B4">
        <w:t xml:space="preserve"> and</w:t>
      </w:r>
      <w:r w:rsidR="00BB68EC">
        <w:t xml:space="preserve"> </w:t>
      </w:r>
      <w:r w:rsidR="00040928">
        <w:t>Index peer reviewers</w:t>
      </w:r>
      <w:r w:rsidR="004D19B4">
        <w:t xml:space="preserve">. </w:t>
      </w:r>
      <w:r w:rsidRPr="00423FCC">
        <w:t>Several donors also provided feedback on the tests. As in previous years, all organisations are assessed against the same indicators, meaning that a mixture of automatically and manually collected data can be used for IATI publishers included in 201</w:t>
      </w:r>
      <w:r w:rsidR="00BB68EC">
        <w:t>4</w:t>
      </w:r>
      <w:r w:rsidRPr="00423FCC">
        <w:t>.</w:t>
      </w:r>
      <w:r w:rsidRPr="00423FCC">
        <w:rPr>
          <w:rStyle w:val="FootnoteReference"/>
        </w:rPr>
        <w:footnoteReference w:id="18"/>
      </w:r>
    </w:p>
    <w:p w:rsidR="006514E5" w:rsidRPr="006514E5" w:rsidRDefault="00863863" w:rsidP="006514E5">
      <w:pPr>
        <w:spacing w:after="0" w:line="240" w:lineRule="auto"/>
        <w:rPr>
          <w:rFonts w:cstheme="minorHAnsi"/>
          <w:b/>
          <w:sz w:val="20"/>
          <w:szCs w:val="20"/>
        </w:rPr>
      </w:pPr>
      <w:r w:rsidRPr="00423FCC">
        <w:t xml:space="preserve">After the end of data collection, all surveys </w:t>
      </w:r>
      <w:r w:rsidR="00BB68EC">
        <w:t>are</w:t>
      </w:r>
      <w:r w:rsidRPr="00423FCC">
        <w:t xml:space="preserve"> subject to a process of verification and standardisation. This </w:t>
      </w:r>
      <w:r w:rsidR="00D64AC3">
        <w:t>i</w:t>
      </w:r>
      <w:r w:rsidRPr="00423FCC">
        <w:t xml:space="preserve">s to ensure that what </w:t>
      </w:r>
      <w:r w:rsidR="00D64AC3">
        <w:t>is</w:t>
      </w:r>
      <w:r w:rsidRPr="00423FCC">
        <w:t xml:space="preserve"> a</w:t>
      </w:r>
      <w:r w:rsidR="00D64AC3">
        <w:t>ccepted for scoring responses i</w:t>
      </w:r>
      <w:r w:rsidRPr="00423FCC">
        <w:t>s consistent across all 6</w:t>
      </w:r>
      <w:r w:rsidR="00D64AC3">
        <w:t>8</w:t>
      </w:r>
      <w:r w:rsidRPr="00423FCC">
        <w:t xml:space="preserve"> surveys and to take into account feedback received both from donor</w:t>
      </w:r>
      <w:r w:rsidR="00874013">
        <w:t xml:space="preserve"> organisations</w:t>
      </w:r>
      <w:r w:rsidRPr="00423FCC">
        <w:t xml:space="preserve"> and independent reviewers.</w:t>
      </w:r>
      <w:r w:rsidR="00A956B1">
        <w:t xml:space="preserve"> </w:t>
      </w:r>
    </w:p>
    <w:p w:rsidR="003C5058" w:rsidRDefault="00D81462" w:rsidP="003C5058">
      <w:pPr>
        <w:spacing w:after="0" w:line="240" w:lineRule="auto"/>
        <w:rPr>
          <w:color w:val="FF0000"/>
        </w:rPr>
      </w:pPr>
      <w:r>
        <w:rPr>
          <w:i/>
          <w:iCs/>
          <w:noProof/>
          <w:color w:val="4F81BD" w:themeColor="accent1"/>
          <w:lang w:eastAsia="en-GB" w:bidi="ar-SA"/>
        </w:rPr>
        <mc:AlternateContent>
          <mc:Choice Requires="wps">
            <w:drawing>
              <wp:anchor distT="0" distB="0" distL="114300" distR="114300" simplePos="0" relativeHeight="251660288" behindDoc="0" locked="0" layoutInCell="1" allowOverlap="1">
                <wp:simplePos x="0" y="0"/>
                <wp:positionH relativeFrom="margin">
                  <wp:posOffset>9525</wp:posOffset>
                </wp:positionH>
                <wp:positionV relativeFrom="paragraph">
                  <wp:posOffset>182245</wp:posOffset>
                </wp:positionV>
                <wp:extent cx="9210675" cy="4829175"/>
                <wp:effectExtent l="0" t="0" r="28575" b="28575"/>
                <wp:wrapSquare wrapText="bothSides"/>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0675" cy="4829175"/>
                        </a:xfrm>
                        <a:prstGeom prst="rect">
                          <a:avLst/>
                        </a:prstGeom>
                        <a:solidFill>
                          <a:srgbClr val="FFFFFF"/>
                        </a:solidFill>
                        <a:ln w="9525">
                          <a:solidFill>
                            <a:srgbClr val="000000"/>
                          </a:solidFill>
                          <a:miter lim="800000"/>
                          <a:headEnd/>
                          <a:tailEnd/>
                        </a:ln>
                      </wps:spPr>
                      <wps:txbx>
                        <w:txbxContent>
                          <w:p w:rsidR="009F49BC" w:rsidRPr="00EF1B7E" w:rsidRDefault="009F49BC" w:rsidP="006514E5">
                            <w:pPr>
                              <w:spacing w:line="240" w:lineRule="auto"/>
                              <w:rPr>
                                <w:rFonts w:cstheme="minorHAnsi"/>
                                <w:b/>
                                <w:sz w:val="20"/>
                                <w:szCs w:val="20"/>
                              </w:rPr>
                            </w:pPr>
                            <w:r>
                              <w:rPr>
                                <w:rFonts w:cstheme="minorHAnsi"/>
                                <w:b/>
                                <w:sz w:val="20"/>
                                <w:szCs w:val="20"/>
                              </w:rPr>
                              <w:t>Box 2.</w:t>
                            </w:r>
                            <w:r w:rsidRPr="00EF1B7E">
                              <w:rPr>
                                <w:rFonts w:cstheme="minorHAnsi"/>
                                <w:b/>
                                <w:sz w:val="20"/>
                                <w:szCs w:val="20"/>
                              </w:rPr>
                              <w:t xml:space="preserve"> </w:t>
                            </w:r>
                            <w:r>
                              <w:rPr>
                                <w:rFonts w:cstheme="minorHAnsi"/>
                                <w:b/>
                                <w:sz w:val="20"/>
                                <w:szCs w:val="20"/>
                              </w:rPr>
                              <w:t>Approach to assessing and scoring FOIA quality</w:t>
                            </w:r>
                          </w:p>
                          <w:p w:rsidR="009F49BC" w:rsidRPr="00FD297C" w:rsidRDefault="009F49BC" w:rsidP="006514E5">
                            <w:pPr>
                              <w:spacing w:after="0" w:line="240" w:lineRule="auto"/>
                              <w:rPr>
                                <w:sz w:val="20"/>
                                <w:szCs w:val="20"/>
                              </w:rPr>
                            </w:pPr>
                            <w:r w:rsidRPr="00FD297C">
                              <w:rPr>
                                <w:sz w:val="20"/>
                                <w:szCs w:val="20"/>
                              </w:rPr>
                              <w:t xml:space="preserve">The </w:t>
                            </w:r>
                            <w:r>
                              <w:rPr>
                                <w:sz w:val="20"/>
                                <w:szCs w:val="20"/>
                              </w:rPr>
                              <w:t xml:space="preserve">Global </w:t>
                            </w:r>
                            <w:r w:rsidRPr="00FD297C">
                              <w:rPr>
                                <w:sz w:val="20"/>
                                <w:szCs w:val="20"/>
                              </w:rPr>
                              <w:t xml:space="preserve">RTI Rating scores the strength of </w:t>
                            </w:r>
                            <w:r w:rsidRPr="00DF4027">
                              <w:rPr>
                                <w:sz w:val="20"/>
                                <w:szCs w:val="20"/>
                              </w:rPr>
                              <w:t>the legal framework in guaranteeing the right to information in a country</w:t>
                            </w:r>
                            <w:r>
                              <w:rPr>
                                <w:sz w:val="20"/>
                                <w:szCs w:val="20"/>
                              </w:rPr>
                              <w:t xml:space="preserve">. </w:t>
                            </w:r>
                            <w:r w:rsidRPr="00DF4027">
                              <w:rPr>
                                <w:sz w:val="20"/>
                                <w:szCs w:val="20"/>
                              </w:rPr>
                              <w:t>Using a 61-indicator survey,</w:t>
                            </w:r>
                            <w:r w:rsidRPr="00FD297C">
                              <w:rPr>
                                <w:sz w:val="20"/>
                                <w:szCs w:val="20"/>
                              </w:rPr>
                              <w:t xml:space="preserve"> </w:t>
                            </w:r>
                            <w:r>
                              <w:rPr>
                                <w:sz w:val="20"/>
                                <w:szCs w:val="20"/>
                              </w:rPr>
                              <w:t>the legislation is</w:t>
                            </w:r>
                            <w:r w:rsidRPr="00FD297C">
                              <w:rPr>
                                <w:sz w:val="20"/>
                                <w:szCs w:val="20"/>
                              </w:rPr>
                              <w:t xml:space="preserve"> graded on a 150-point scale. This has been adapted to the </w:t>
                            </w:r>
                            <w:r>
                              <w:rPr>
                                <w:sz w:val="20"/>
                                <w:szCs w:val="20"/>
                              </w:rPr>
                              <w:t>100-</w:t>
                            </w:r>
                            <w:r w:rsidRPr="00FD297C">
                              <w:rPr>
                                <w:sz w:val="20"/>
                                <w:szCs w:val="20"/>
                              </w:rPr>
                              <w:t xml:space="preserve">point </w:t>
                            </w:r>
                            <w:r>
                              <w:rPr>
                                <w:sz w:val="20"/>
                                <w:szCs w:val="20"/>
                              </w:rPr>
                              <w:t>scale</w:t>
                            </w:r>
                            <w:r w:rsidRPr="00FD297C">
                              <w:rPr>
                                <w:sz w:val="20"/>
                                <w:szCs w:val="20"/>
                              </w:rPr>
                              <w:t xml:space="preserve"> used </w:t>
                            </w:r>
                            <w:r>
                              <w:rPr>
                                <w:sz w:val="20"/>
                                <w:szCs w:val="20"/>
                              </w:rPr>
                              <w:t>in the ATI</w:t>
                            </w:r>
                            <w:r w:rsidRPr="00FD297C">
                              <w:rPr>
                                <w:sz w:val="20"/>
                                <w:szCs w:val="20"/>
                              </w:rPr>
                              <w:t xml:space="preserve">. Ideally, adapting the 150-scale to our </w:t>
                            </w:r>
                            <w:r>
                              <w:rPr>
                                <w:sz w:val="20"/>
                                <w:szCs w:val="20"/>
                              </w:rPr>
                              <w:t>100</w:t>
                            </w:r>
                            <w:r w:rsidRPr="00FD297C">
                              <w:rPr>
                                <w:sz w:val="20"/>
                                <w:szCs w:val="20"/>
                              </w:rPr>
                              <w:t xml:space="preserve"> point score would entail dividing the scale evenly into </w:t>
                            </w:r>
                            <w:r>
                              <w:rPr>
                                <w:sz w:val="20"/>
                                <w:szCs w:val="20"/>
                              </w:rPr>
                              <w:t xml:space="preserve">thirds </w:t>
                            </w:r>
                            <w:r w:rsidRPr="00FD297C">
                              <w:rPr>
                                <w:sz w:val="20"/>
                                <w:szCs w:val="20"/>
                              </w:rPr>
                              <w:t>(</w:t>
                            </w:r>
                            <w:r>
                              <w:rPr>
                                <w:sz w:val="20"/>
                                <w:szCs w:val="20"/>
                              </w:rPr>
                              <w:t>33.33</w:t>
                            </w:r>
                            <w:r w:rsidRPr="00FD297C">
                              <w:rPr>
                                <w:sz w:val="20"/>
                                <w:szCs w:val="20"/>
                              </w:rPr>
                              <w:t xml:space="preserve">=1–50; </w:t>
                            </w:r>
                            <w:r>
                              <w:rPr>
                                <w:sz w:val="20"/>
                                <w:szCs w:val="20"/>
                              </w:rPr>
                              <w:t>66.66</w:t>
                            </w:r>
                            <w:r w:rsidRPr="00FD297C">
                              <w:rPr>
                                <w:sz w:val="20"/>
                                <w:szCs w:val="20"/>
                              </w:rPr>
                              <w:t xml:space="preserve">=51–100; and </w:t>
                            </w:r>
                            <w:r>
                              <w:rPr>
                                <w:sz w:val="20"/>
                                <w:szCs w:val="20"/>
                              </w:rPr>
                              <w:t>100</w:t>
                            </w:r>
                            <w:r w:rsidRPr="00FD297C">
                              <w:rPr>
                                <w:sz w:val="20"/>
                                <w:szCs w:val="20"/>
                              </w:rPr>
                              <w:t xml:space="preserve">=101–150). However, this </w:t>
                            </w:r>
                            <w:r>
                              <w:rPr>
                                <w:sz w:val="20"/>
                                <w:szCs w:val="20"/>
                              </w:rPr>
                              <w:t>does not</w:t>
                            </w:r>
                            <w:r w:rsidRPr="00FD297C">
                              <w:rPr>
                                <w:sz w:val="20"/>
                                <w:szCs w:val="20"/>
                              </w:rPr>
                              <w:t xml:space="preserve"> capture the diversity of the RTI Rating, </w:t>
                            </w:r>
                            <w:r>
                              <w:rPr>
                                <w:sz w:val="20"/>
                                <w:szCs w:val="20"/>
                              </w:rPr>
                              <w:t>because</w:t>
                            </w:r>
                            <w:r w:rsidRPr="00FD297C">
                              <w:rPr>
                                <w:sz w:val="20"/>
                                <w:szCs w:val="20"/>
                              </w:rPr>
                              <w:t xml:space="preserve"> at the time of writing, </w:t>
                            </w:r>
                            <w:r>
                              <w:rPr>
                                <w:sz w:val="20"/>
                                <w:szCs w:val="20"/>
                              </w:rPr>
                              <w:t>only one</w:t>
                            </w:r>
                            <w:r w:rsidRPr="00FD297C">
                              <w:rPr>
                                <w:sz w:val="20"/>
                                <w:szCs w:val="20"/>
                              </w:rPr>
                              <w:t xml:space="preserve"> FOIA has scored 1–39 or 136–150 on the RTI scale, meaning that much of the substantive difference </w:t>
                            </w:r>
                            <w:r>
                              <w:rPr>
                                <w:sz w:val="20"/>
                                <w:szCs w:val="20"/>
                              </w:rPr>
                              <w:t>among legislation i</w:t>
                            </w:r>
                            <w:r w:rsidRPr="00FD297C">
                              <w:rPr>
                                <w:sz w:val="20"/>
                                <w:szCs w:val="20"/>
                              </w:rPr>
                              <w:t xml:space="preserve">s lost by simply dividing the scale </w:t>
                            </w:r>
                            <w:r>
                              <w:rPr>
                                <w:sz w:val="20"/>
                                <w:szCs w:val="20"/>
                              </w:rPr>
                              <w:t xml:space="preserve">evenly </w:t>
                            </w:r>
                            <w:r w:rsidRPr="00FD297C">
                              <w:rPr>
                                <w:sz w:val="20"/>
                                <w:szCs w:val="20"/>
                              </w:rPr>
                              <w:t xml:space="preserve">into thirds. </w:t>
                            </w:r>
                          </w:p>
                          <w:p w:rsidR="009F49BC" w:rsidRPr="00FD297C" w:rsidRDefault="009F49BC" w:rsidP="006514E5">
                            <w:pPr>
                              <w:spacing w:after="0" w:line="240" w:lineRule="auto"/>
                              <w:rPr>
                                <w:sz w:val="20"/>
                                <w:szCs w:val="20"/>
                              </w:rPr>
                            </w:pPr>
                          </w:p>
                          <w:p w:rsidR="009F49BC" w:rsidRPr="00FD297C" w:rsidRDefault="009F49BC" w:rsidP="006514E5">
                            <w:pPr>
                              <w:spacing w:after="0" w:line="240" w:lineRule="auto"/>
                              <w:rPr>
                                <w:sz w:val="20"/>
                                <w:szCs w:val="20"/>
                              </w:rPr>
                            </w:pPr>
                            <w:r w:rsidRPr="00FD297C">
                              <w:rPr>
                                <w:sz w:val="20"/>
                                <w:szCs w:val="20"/>
                              </w:rPr>
                              <w:t xml:space="preserve">To resolve this, the </w:t>
                            </w:r>
                            <w:r>
                              <w:rPr>
                                <w:sz w:val="20"/>
                                <w:szCs w:val="20"/>
                              </w:rPr>
                              <w:t>three</w:t>
                            </w:r>
                            <w:r w:rsidRPr="00FD297C">
                              <w:rPr>
                                <w:sz w:val="20"/>
                                <w:szCs w:val="20"/>
                              </w:rPr>
                              <w:t xml:space="preserve">-point scale </w:t>
                            </w:r>
                            <w:r>
                              <w:rPr>
                                <w:sz w:val="20"/>
                                <w:szCs w:val="20"/>
                              </w:rPr>
                              <w:t>has been</w:t>
                            </w:r>
                            <w:r w:rsidRPr="00FD297C">
                              <w:rPr>
                                <w:sz w:val="20"/>
                                <w:szCs w:val="20"/>
                              </w:rPr>
                              <w:t xml:space="preserve"> altered by reducing the range of the </w:t>
                            </w:r>
                            <w:r>
                              <w:rPr>
                                <w:sz w:val="20"/>
                                <w:szCs w:val="20"/>
                              </w:rPr>
                              <w:t>’66.66</w:t>
                            </w:r>
                            <w:r w:rsidRPr="00FD297C">
                              <w:rPr>
                                <w:sz w:val="20"/>
                                <w:szCs w:val="20"/>
                              </w:rPr>
                              <w:t xml:space="preserve">’ scoring option and increasing the ranges of the </w:t>
                            </w:r>
                            <w:r>
                              <w:rPr>
                                <w:sz w:val="20"/>
                                <w:szCs w:val="20"/>
                              </w:rPr>
                              <w:t>’33.33</w:t>
                            </w:r>
                            <w:r w:rsidRPr="00FD297C">
                              <w:rPr>
                                <w:sz w:val="20"/>
                                <w:szCs w:val="20"/>
                              </w:rPr>
                              <w:t>’ and ‘</w:t>
                            </w:r>
                            <w:r>
                              <w:rPr>
                                <w:sz w:val="20"/>
                                <w:szCs w:val="20"/>
                              </w:rPr>
                              <w:t>100</w:t>
                            </w:r>
                            <w:r w:rsidRPr="00FD297C">
                              <w:rPr>
                                <w:sz w:val="20"/>
                                <w:szCs w:val="20"/>
                              </w:rPr>
                              <w:t>’ options (</w:t>
                            </w:r>
                            <w:r>
                              <w:rPr>
                                <w:sz w:val="20"/>
                                <w:szCs w:val="20"/>
                              </w:rPr>
                              <w:t>0</w:t>
                            </w:r>
                            <w:r w:rsidRPr="00FD297C">
                              <w:rPr>
                                <w:sz w:val="20"/>
                                <w:szCs w:val="20"/>
                              </w:rPr>
                              <w:t xml:space="preserve">=no legislation; </w:t>
                            </w:r>
                            <w:r>
                              <w:rPr>
                                <w:sz w:val="20"/>
                                <w:szCs w:val="20"/>
                              </w:rPr>
                              <w:t>33.33</w:t>
                            </w:r>
                            <w:r w:rsidRPr="00FD297C">
                              <w:rPr>
                                <w:sz w:val="20"/>
                                <w:szCs w:val="20"/>
                              </w:rPr>
                              <w:t xml:space="preserve">=1–60; </w:t>
                            </w:r>
                            <w:r>
                              <w:rPr>
                                <w:sz w:val="20"/>
                                <w:szCs w:val="20"/>
                              </w:rPr>
                              <w:t>66.66</w:t>
                            </w:r>
                            <w:r w:rsidRPr="00FD297C">
                              <w:rPr>
                                <w:sz w:val="20"/>
                                <w:szCs w:val="20"/>
                              </w:rPr>
                              <w:t xml:space="preserve">=61–90; and </w:t>
                            </w:r>
                            <w:r>
                              <w:rPr>
                                <w:sz w:val="20"/>
                                <w:szCs w:val="20"/>
                              </w:rPr>
                              <w:t>100</w:t>
                            </w:r>
                            <w:r w:rsidRPr="00FD297C">
                              <w:rPr>
                                <w:sz w:val="20"/>
                                <w:szCs w:val="20"/>
                              </w:rPr>
                              <w:t>=91–150). Using this scale allow</w:t>
                            </w:r>
                            <w:r>
                              <w:rPr>
                                <w:sz w:val="20"/>
                                <w:szCs w:val="20"/>
                              </w:rPr>
                              <w:t>s</w:t>
                            </w:r>
                            <w:r w:rsidRPr="00FD297C">
                              <w:rPr>
                                <w:sz w:val="20"/>
                                <w:szCs w:val="20"/>
                              </w:rPr>
                              <w:t xml:space="preserve"> for greater diversity in the results while maintaining a replicable scoring system that reward</w:t>
                            </w:r>
                            <w:r>
                              <w:rPr>
                                <w:sz w:val="20"/>
                                <w:szCs w:val="20"/>
                              </w:rPr>
                              <w:t>s</w:t>
                            </w:r>
                            <w:r w:rsidRPr="00FD297C">
                              <w:rPr>
                                <w:sz w:val="20"/>
                                <w:szCs w:val="20"/>
                              </w:rPr>
                              <w:t xml:space="preserve"> objective progress. Though scoring donors on a relative scale was considered, given that both the Aid Transparency Index and the RTI Rating score donors based on objective measures, it </w:t>
                            </w:r>
                            <w:r>
                              <w:rPr>
                                <w:sz w:val="20"/>
                                <w:szCs w:val="20"/>
                              </w:rPr>
                              <w:t>i</w:t>
                            </w:r>
                            <w:r w:rsidRPr="00FD297C">
                              <w:rPr>
                                <w:sz w:val="20"/>
                                <w:szCs w:val="20"/>
                              </w:rPr>
                              <w:t xml:space="preserve">s not suitable to score organisations based on their performance relative to other organisations for this indicator alone. </w:t>
                            </w:r>
                          </w:p>
                          <w:p w:rsidR="009F49BC" w:rsidRPr="00FD297C" w:rsidRDefault="009F49BC" w:rsidP="006514E5">
                            <w:pPr>
                              <w:spacing w:after="0" w:line="240" w:lineRule="auto"/>
                              <w:rPr>
                                <w:sz w:val="20"/>
                                <w:szCs w:val="20"/>
                              </w:rPr>
                            </w:pPr>
                          </w:p>
                          <w:p w:rsidR="009F49BC" w:rsidRPr="00FD297C" w:rsidRDefault="009F49BC" w:rsidP="006514E5">
                            <w:pPr>
                              <w:spacing w:after="0" w:line="240" w:lineRule="auto"/>
                              <w:rPr>
                                <w:sz w:val="20"/>
                                <w:szCs w:val="20"/>
                              </w:rPr>
                            </w:pPr>
                            <w:r w:rsidRPr="00FD297C">
                              <w:rPr>
                                <w:sz w:val="20"/>
                                <w:szCs w:val="20"/>
                              </w:rPr>
                              <w:t>As the RTI Rating covers FOI legislation only, this mean</w:t>
                            </w:r>
                            <w:r>
                              <w:rPr>
                                <w:sz w:val="20"/>
                                <w:szCs w:val="20"/>
                              </w:rPr>
                              <w:t>s</w:t>
                            </w:r>
                            <w:r w:rsidRPr="00FD297C">
                              <w:rPr>
                                <w:sz w:val="20"/>
                                <w:szCs w:val="20"/>
                              </w:rPr>
                              <w:t xml:space="preserve"> there </w:t>
                            </w:r>
                            <w:r>
                              <w:rPr>
                                <w:sz w:val="20"/>
                                <w:szCs w:val="20"/>
                              </w:rPr>
                              <w:t>i</w:t>
                            </w:r>
                            <w:r w:rsidRPr="00FD297C">
                              <w:rPr>
                                <w:sz w:val="20"/>
                                <w:szCs w:val="20"/>
                              </w:rPr>
                              <w:t>s a data gap for non-bilateral donors with disclosure policies.</w:t>
                            </w:r>
                            <w:r>
                              <w:rPr>
                                <w:sz w:val="20"/>
                                <w:szCs w:val="20"/>
                              </w:rPr>
                              <w:t xml:space="preserve"> Publish What You Fund has therefore developed</w:t>
                            </w:r>
                            <w:r w:rsidRPr="00FD297C">
                              <w:rPr>
                                <w:sz w:val="20"/>
                                <w:szCs w:val="20"/>
                              </w:rPr>
                              <w:t xml:space="preserve"> a second </w:t>
                            </w:r>
                            <w:r>
                              <w:rPr>
                                <w:sz w:val="20"/>
                                <w:szCs w:val="20"/>
                              </w:rPr>
                              <w:t>three</w:t>
                            </w:r>
                            <w:r w:rsidRPr="00FD297C">
                              <w:rPr>
                                <w:sz w:val="20"/>
                                <w:szCs w:val="20"/>
                              </w:rPr>
                              <w:t xml:space="preserve"> point scale</w:t>
                            </w:r>
                            <w:r>
                              <w:rPr>
                                <w:sz w:val="20"/>
                                <w:szCs w:val="20"/>
                              </w:rPr>
                              <w:t xml:space="preserve">, </w:t>
                            </w:r>
                            <w:r w:rsidRPr="00FD297C">
                              <w:rPr>
                                <w:sz w:val="20"/>
                                <w:szCs w:val="20"/>
                              </w:rPr>
                              <w:t>guided by the principle that</w:t>
                            </w:r>
                            <w:r>
                              <w:rPr>
                                <w:sz w:val="20"/>
                                <w:szCs w:val="20"/>
                              </w:rPr>
                              <w:t>,</w:t>
                            </w:r>
                            <w:r w:rsidRPr="00FD297C">
                              <w:rPr>
                                <w:sz w:val="20"/>
                                <w:szCs w:val="20"/>
                              </w:rPr>
                              <w:t xml:space="preserve"> while non-bilateral donors </w:t>
                            </w:r>
                            <w:r>
                              <w:rPr>
                                <w:sz w:val="20"/>
                                <w:szCs w:val="20"/>
                              </w:rPr>
                              <w:t xml:space="preserve">may not be legally obliged to disclose their information, many of them have disclosure policies and that these should be taken into consideration, rather than having a data gap or awarding them an average score for this indicator. </w:t>
                            </w:r>
                          </w:p>
                          <w:p w:rsidR="009F49BC" w:rsidRPr="00FD297C" w:rsidRDefault="009F49BC" w:rsidP="006514E5">
                            <w:pPr>
                              <w:spacing w:after="0" w:line="240" w:lineRule="auto"/>
                              <w:rPr>
                                <w:sz w:val="20"/>
                                <w:szCs w:val="20"/>
                              </w:rPr>
                            </w:pPr>
                          </w:p>
                          <w:p w:rsidR="009F49BC" w:rsidRPr="00FD297C" w:rsidRDefault="009F49BC" w:rsidP="006514E5">
                            <w:pPr>
                              <w:spacing w:after="0" w:line="240" w:lineRule="auto"/>
                              <w:rPr>
                                <w:sz w:val="20"/>
                                <w:szCs w:val="20"/>
                              </w:rPr>
                            </w:pPr>
                            <w:r w:rsidRPr="00FD297C">
                              <w:rPr>
                                <w:sz w:val="20"/>
                                <w:szCs w:val="20"/>
                              </w:rPr>
                              <w:t>The scoring system</w:t>
                            </w:r>
                            <w:r>
                              <w:rPr>
                                <w:sz w:val="20"/>
                                <w:szCs w:val="20"/>
                              </w:rPr>
                              <w:t xml:space="preserve"> used for disclosure policies in 2014 </w:t>
                            </w:r>
                            <w:r w:rsidRPr="00FD297C">
                              <w:rPr>
                                <w:sz w:val="20"/>
                                <w:szCs w:val="20"/>
                              </w:rPr>
                              <w:t xml:space="preserve">is a cumulative measure of three key indicators. If a donor’s policy has all three, </w:t>
                            </w:r>
                            <w:r>
                              <w:rPr>
                                <w:sz w:val="20"/>
                                <w:szCs w:val="20"/>
                              </w:rPr>
                              <w:t>100</w:t>
                            </w:r>
                            <w:r w:rsidRPr="00FD297C">
                              <w:rPr>
                                <w:sz w:val="20"/>
                                <w:szCs w:val="20"/>
                              </w:rPr>
                              <w:t xml:space="preserve"> is scored, if a donor’s disclosure policy has none of the three, or no disclosure policy at all, </w:t>
                            </w:r>
                            <w:r>
                              <w:rPr>
                                <w:sz w:val="20"/>
                                <w:szCs w:val="20"/>
                              </w:rPr>
                              <w:t>it scores 0</w:t>
                            </w:r>
                            <w:r w:rsidRPr="00FD297C">
                              <w:rPr>
                                <w:sz w:val="20"/>
                                <w:szCs w:val="20"/>
                              </w:rPr>
                              <w:t xml:space="preserve">. The indicators are: </w:t>
                            </w:r>
                          </w:p>
                          <w:p w:rsidR="009F49BC" w:rsidRPr="00863863" w:rsidRDefault="009F49BC" w:rsidP="006514E5">
                            <w:pPr>
                              <w:pStyle w:val="ListParagraph"/>
                              <w:numPr>
                                <w:ilvl w:val="0"/>
                                <w:numId w:val="29"/>
                              </w:numPr>
                              <w:spacing w:after="0" w:line="240" w:lineRule="auto"/>
                              <w:rPr>
                                <w:sz w:val="20"/>
                                <w:szCs w:val="20"/>
                              </w:rPr>
                            </w:pPr>
                            <w:r w:rsidRPr="00863863">
                              <w:rPr>
                                <w:b/>
                                <w:sz w:val="20"/>
                                <w:szCs w:val="20"/>
                              </w:rPr>
                              <w:t xml:space="preserve">Presumption of disclosure: </w:t>
                            </w:r>
                            <w:r w:rsidRPr="00863863">
                              <w:rPr>
                                <w:sz w:val="20"/>
                                <w:szCs w:val="20"/>
                              </w:rPr>
                              <w:t>To score for this indicator, a disclosure policy must have a specific clause that states disclosure as the rule, thereby requiring a compel</w:t>
                            </w:r>
                            <w:r>
                              <w:rPr>
                                <w:sz w:val="20"/>
                                <w:szCs w:val="20"/>
                              </w:rPr>
                              <w:t>ling reason for non-disclosure (33.33 points).</w:t>
                            </w:r>
                          </w:p>
                          <w:p w:rsidR="009F49BC" w:rsidRPr="00863863" w:rsidRDefault="009F49BC" w:rsidP="006514E5">
                            <w:pPr>
                              <w:pStyle w:val="ListParagraph"/>
                              <w:numPr>
                                <w:ilvl w:val="0"/>
                                <w:numId w:val="29"/>
                              </w:numPr>
                              <w:spacing w:after="0" w:line="240" w:lineRule="auto"/>
                              <w:rPr>
                                <w:sz w:val="20"/>
                                <w:szCs w:val="20"/>
                              </w:rPr>
                            </w:pPr>
                            <w:r w:rsidRPr="00863863">
                              <w:rPr>
                                <w:b/>
                                <w:sz w:val="20"/>
                                <w:szCs w:val="20"/>
                              </w:rPr>
                              <w:t>Limitations on commercially sensitive and third party information</w:t>
                            </w:r>
                            <w:r>
                              <w:rPr>
                                <w:b/>
                                <w:sz w:val="20"/>
                                <w:szCs w:val="20"/>
                              </w:rPr>
                              <w:t xml:space="preserve"> and internal deliberations</w:t>
                            </w:r>
                            <w:r w:rsidRPr="00863863">
                              <w:rPr>
                                <w:b/>
                                <w:sz w:val="20"/>
                                <w:szCs w:val="20"/>
                              </w:rPr>
                              <w:t xml:space="preserve">: </w:t>
                            </w:r>
                            <w:r w:rsidRPr="00863863">
                              <w:rPr>
                                <w:sz w:val="20"/>
                                <w:szCs w:val="20"/>
                              </w:rPr>
                              <w:t xml:space="preserve">To score on this indicator, non-disclosure clauses related to these matters must be (a) defined clearly, (b) </w:t>
                            </w:r>
                            <w:r>
                              <w:rPr>
                                <w:sz w:val="20"/>
                                <w:szCs w:val="20"/>
                              </w:rPr>
                              <w:t>be subject to a harm test</w:t>
                            </w:r>
                            <w:r w:rsidRPr="00863863">
                              <w:rPr>
                                <w:sz w:val="20"/>
                                <w:szCs w:val="20"/>
                              </w:rPr>
                              <w:t>, and (c) be subject to a public interest override</w:t>
                            </w:r>
                            <w:r>
                              <w:rPr>
                                <w:sz w:val="20"/>
                                <w:szCs w:val="20"/>
                              </w:rPr>
                              <w:t xml:space="preserve"> (33.33 points)</w:t>
                            </w:r>
                            <w:r w:rsidRPr="00863863">
                              <w:rPr>
                                <w:sz w:val="20"/>
                                <w:szCs w:val="20"/>
                              </w:rPr>
                              <w:t xml:space="preserve">. </w:t>
                            </w:r>
                            <w:r>
                              <w:rPr>
                                <w:sz w:val="20"/>
                                <w:szCs w:val="20"/>
                              </w:rPr>
                              <w:t>To score on this indicator all three sub-criteria must be met.</w:t>
                            </w:r>
                          </w:p>
                          <w:p w:rsidR="009F49BC" w:rsidRPr="00863863" w:rsidRDefault="009F49BC" w:rsidP="006514E5">
                            <w:pPr>
                              <w:pStyle w:val="ListParagraph"/>
                              <w:numPr>
                                <w:ilvl w:val="0"/>
                                <w:numId w:val="29"/>
                              </w:numPr>
                              <w:spacing w:after="0" w:line="240" w:lineRule="auto"/>
                              <w:rPr>
                                <w:sz w:val="20"/>
                                <w:szCs w:val="20"/>
                              </w:rPr>
                            </w:pPr>
                            <w:r>
                              <w:rPr>
                                <w:b/>
                                <w:sz w:val="20"/>
                                <w:szCs w:val="20"/>
                              </w:rPr>
                              <w:t>Independent appeals process</w:t>
                            </w:r>
                            <w:r w:rsidRPr="00863863">
                              <w:rPr>
                                <w:b/>
                                <w:sz w:val="20"/>
                                <w:szCs w:val="20"/>
                              </w:rPr>
                              <w:t xml:space="preserve">: </w:t>
                            </w:r>
                            <w:r w:rsidRPr="00863863">
                              <w:rPr>
                                <w:sz w:val="20"/>
                                <w:szCs w:val="20"/>
                              </w:rPr>
                              <w:t xml:space="preserve">To score for this indicator, non-disclosure clauses </w:t>
                            </w:r>
                            <w:r>
                              <w:rPr>
                                <w:sz w:val="20"/>
                                <w:szCs w:val="20"/>
                              </w:rPr>
                              <w:t>must include an independent appeals process and the appeals body must include individuals that are independent from the organisation (33.33 points)</w:t>
                            </w:r>
                            <w:r w:rsidRPr="00863863">
                              <w:rPr>
                                <w:sz w:val="20"/>
                                <w:szCs w:val="20"/>
                              </w:rPr>
                              <w:t xml:space="preserve">. </w:t>
                            </w:r>
                          </w:p>
                          <w:p w:rsidR="009F49BC" w:rsidRPr="00F726E7" w:rsidRDefault="009F49BC" w:rsidP="006514E5">
                            <w:pPr>
                              <w:spacing w:after="0" w:line="240" w:lineRule="auto"/>
                              <w:rPr>
                                <w:sz w:val="20"/>
                                <w:szCs w:val="20"/>
                              </w:rPr>
                            </w:pPr>
                          </w:p>
                          <w:p w:rsidR="009F49BC" w:rsidRPr="00F726E7" w:rsidRDefault="009F49BC" w:rsidP="006514E5">
                            <w:pPr>
                              <w:spacing w:after="0" w:line="240" w:lineRule="auto"/>
                              <w:rPr>
                                <w:sz w:val="20"/>
                                <w:szCs w:val="20"/>
                              </w:rPr>
                            </w:pPr>
                            <w:r w:rsidRPr="00F726E7">
                              <w:rPr>
                                <w:sz w:val="20"/>
                                <w:szCs w:val="20"/>
                              </w:rPr>
                              <w:t>While relatively simple, this indicator reflects international best practice in maximi</w:t>
                            </w:r>
                            <w:r>
                              <w:rPr>
                                <w:sz w:val="20"/>
                                <w:szCs w:val="20"/>
                              </w:rPr>
                              <w:t>s</w:t>
                            </w:r>
                            <w:r w:rsidRPr="00F726E7">
                              <w:rPr>
                                <w:sz w:val="20"/>
                                <w:szCs w:val="20"/>
                              </w:rPr>
                              <w:t>ing the right to information with the acknowledgement that donors are required not to disclose certain types of information.</w:t>
                            </w:r>
                            <w:r>
                              <w:rPr>
                                <w:sz w:val="20"/>
                                <w:szCs w:val="20"/>
                              </w:rPr>
                              <w:t xml:space="preserve"> Note that</w:t>
                            </w:r>
                            <w:r w:rsidRPr="00F726E7">
                              <w:rPr>
                                <w:sz w:val="20"/>
                                <w:szCs w:val="20"/>
                              </w:rPr>
                              <w:t xml:space="preserve"> </w:t>
                            </w:r>
                            <w:r>
                              <w:rPr>
                                <w:sz w:val="20"/>
                                <w:szCs w:val="20"/>
                              </w:rPr>
                              <w:t xml:space="preserve">in previous years, the limitations on third party information and internal deliberations were listed as separate criteria and appeals were assessed as part of the public interest override clause within each of these. The simplification in the grouping of criteria in 2014 was made based on advice received from </w:t>
                            </w:r>
                            <w:r w:rsidR="005B5D00">
                              <w:rPr>
                                <w:sz w:val="20"/>
                                <w:szCs w:val="20"/>
                              </w:rPr>
                              <w:t xml:space="preserve">FOI </w:t>
                            </w:r>
                            <w:r>
                              <w:rPr>
                                <w:sz w:val="20"/>
                                <w:szCs w:val="20"/>
                              </w:rPr>
                              <w:t>experts</w:t>
                            </w:r>
                            <w:r w:rsidR="005B5D00">
                              <w:rPr>
                                <w:sz w:val="20"/>
                                <w:szCs w:val="20"/>
                              </w:rPr>
                              <w:t xml:space="preserve"> in </w:t>
                            </w:r>
                            <w:r>
                              <w:rPr>
                                <w:sz w:val="20"/>
                                <w:szCs w:val="20"/>
                              </w:rPr>
                              <w:t>FOI legislation.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75pt;margin-top:14.35pt;width:725.25pt;height:380.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b00KwIAAFg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">
                <v:textbox>
                  <w:txbxContent>
                    <w:p w:rsidR="009F49BC" w:rsidRPr="00EF1B7E" w:rsidRDefault="009F49BC" w:rsidP="006514E5">
                      <w:pPr>
                        <w:spacing w:line="240" w:lineRule="auto"/>
                        <w:rPr>
                          <w:rFonts w:cstheme="minorHAnsi"/>
                          <w:b/>
                          <w:sz w:val="20"/>
                          <w:szCs w:val="20"/>
                        </w:rPr>
                      </w:pPr>
                      <w:r>
                        <w:rPr>
                          <w:rFonts w:cstheme="minorHAnsi"/>
                          <w:b/>
                          <w:sz w:val="20"/>
                          <w:szCs w:val="20"/>
                        </w:rPr>
                        <w:t>Box 2.</w:t>
                      </w:r>
                      <w:r w:rsidRPr="00EF1B7E">
                        <w:rPr>
                          <w:rFonts w:cstheme="minorHAnsi"/>
                          <w:b/>
                          <w:sz w:val="20"/>
                          <w:szCs w:val="20"/>
                        </w:rPr>
                        <w:t xml:space="preserve"> </w:t>
                      </w:r>
                      <w:r>
                        <w:rPr>
                          <w:rFonts w:cstheme="minorHAnsi"/>
                          <w:b/>
                          <w:sz w:val="20"/>
                          <w:szCs w:val="20"/>
                        </w:rPr>
                        <w:t>Approach to assessing and scoring FOIA quality</w:t>
                      </w:r>
                    </w:p>
                    <w:p w:rsidR="009F49BC" w:rsidRPr="00FD297C" w:rsidRDefault="009F49BC" w:rsidP="006514E5">
                      <w:pPr>
                        <w:spacing w:after="0" w:line="240" w:lineRule="auto"/>
                        <w:rPr>
                          <w:sz w:val="20"/>
                          <w:szCs w:val="20"/>
                        </w:rPr>
                      </w:pPr>
                      <w:r w:rsidRPr="00FD297C">
                        <w:rPr>
                          <w:sz w:val="20"/>
                          <w:szCs w:val="20"/>
                        </w:rPr>
                        <w:t xml:space="preserve">The </w:t>
                      </w:r>
                      <w:r>
                        <w:rPr>
                          <w:sz w:val="20"/>
                          <w:szCs w:val="20"/>
                        </w:rPr>
                        <w:t xml:space="preserve">Global </w:t>
                      </w:r>
                      <w:r w:rsidRPr="00FD297C">
                        <w:rPr>
                          <w:sz w:val="20"/>
                          <w:szCs w:val="20"/>
                        </w:rPr>
                        <w:t xml:space="preserve">RTI Rating scores the strength of </w:t>
                      </w:r>
                      <w:r w:rsidRPr="00DF4027">
                        <w:rPr>
                          <w:sz w:val="20"/>
                          <w:szCs w:val="20"/>
                        </w:rPr>
                        <w:t>the legal framework in guaranteeing the right to information in a country</w:t>
                      </w:r>
                      <w:r>
                        <w:rPr>
                          <w:sz w:val="20"/>
                          <w:szCs w:val="20"/>
                        </w:rPr>
                        <w:t xml:space="preserve">. </w:t>
                      </w:r>
                      <w:r w:rsidRPr="00DF4027">
                        <w:rPr>
                          <w:sz w:val="20"/>
                          <w:szCs w:val="20"/>
                        </w:rPr>
                        <w:t>Using a 61-indicator survey,</w:t>
                      </w:r>
                      <w:r w:rsidRPr="00FD297C">
                        <w:rPr>
                          <w:sz w:val="20"/>
                          <w:szCs w:val="20"/>
                        </w:rPr>
                        <w:t xml:space="preserve"> </w:t>
                      </w:r>
                      <w:r>
                        <w:rPr>
                          <w:sz w:val="20"/>
                          <w:szCs w:val="20"/>
                        </w:rPr>
                        <w:t>the legislation is</w:t>
                      </w:r>
                      <w:r w:rsidRPr="00FD297C">
                        <w:rPr>
                          <w:sz w:val="20"/>
                          <w:szCs w:val="20"/>
                        </w:rPr>
                        <w:t xml:space="preserve"> graded on a 150-point scale. This has been adapted to the </w:t>
                      </w:r>
                      <w:r>
                        <w:rPr>
                          <w:sz w:val="20"/>
                          <w:szCs w:val="20"/>
                        </w:rPr>
                        <w:t>100-</w:t>
                      </w:r>
                      <w:r w:rsidRPr="00FD297C">
                        <w:rPr>
                          <w:sz w:val="20"/>
                          <w:szCs w:val="20"/>
                        </w:rPr>
                        <w:t xml:space="preserve">point </w:t>
                      </w:r>
                      <w:r>
                        <w:rPr>
                          <w:sz w:val="20"/>
                          <w:szCs w:val="20"/>
                        </w:rPr>
                        <w:t>scale</w:t>
                      </w:r>
                      <w:r w:rsidRPr="00FD297C">
                        <w:rPr>
                          <w:sz w:val="20"/>
                          <w:szCs w:val="20"/>
                        </w:rPr>
                        <w:t xml:space="preserve"> used </w:t>
                      </w:r>
                      <w:r>
                        <w:rPr>
                          <w:sz w:val="20"/>
                          <w:szCs w:val="20"/>
                        </w:rPr>
                        <w:t>in the ATI</w:t>
                      </w:r>
                      <w:r w:rsidRPr="00FD297C">
                        <w:rPr>
                          <w:sz w:val="20"/>
                          <w:szCs w:val="20"/>
                        </w:rPr>
                        <w:t xml:space="preserve">. Ideally, adapting the 150-scale to our </w:t>
                      </w:r>
                      <w:r>
                        <w:rPr>
                          <w:sz w:val="20"/>
                          <w:szCs w:val="20"/>
                        </w:rPr>
                        <w:t>100</w:t>
                      </w:r>
                      <w:r w:rsidRPr="00FD297C">
                        <w:rPr>
                          <w:sz w:val="20"/>
                          <w:szCs w:val="20"/>
                        </w:rPr>
                        <w:t xml:space="preserve"> point score would entail dividing the scale evenly into </w:t>
                      </w:r>
                      <w:r>
                        <w:rPr>
                          <w:sz w:val="20"/>
                          <w:szCs w:val="20"/>
                        </w:rPr>
                        <w:t xml:space="preserve">thirds </w:t>
                      </w:r>
                      <w:r w:rsidRPr="00FD297C">
                        <w:rPr>
                          <w:sz w:val="20"/>
                          <w:szCs w:val="20"/>
                        </w:rPr>
                        <w:t>(</w:t>
                      </w:r>
                      <w:r>
                        <w:rPr>
                          <w:sz w:val="20"/>
                          <w:szCs w:val="20"/>
                        </w:rPr>
                        <w:t>33.33</w:t>
                      </w:r>
                      <w:r w:rsidRPr="00FD297C">
                        <w:rPr>
                          <w:sz w:val="20"/>
                          <w:szCs w:val="20"/>
                        </w:rPr>
                        <w:t xml:space="preserve">=1–50; </w:t>
                      </w:r>
                      <w:r>
                        <w:rPr>
                          <w:sz w:val="20"/>
                          <w:szCs w:val="20"/>
                        </w:rPr>
                        <w:t>66.66</w:t>
                      </w:r>
                      <w:r w:rsidRPr="00FD297C">
                        <w:rPr>
                          <w:sz w:val="20"/>
                          <w:szCs w:val="20"/>
                        </w:rPr>
                        <w:t xml:space="preserve">=51–100; and </w:t>
                      </w:r>
                      <w:r>
                        <w:rPr>
                          <w:sz w:val="20"/>
                          <w:szCs w:val="20"/>
                        </w:rPr>
                        <w:t>100</w:t>
                      </w:r>
                      <w:r w:rsidRPr="00FD297C">
                        <w:rPr>
                          <w:sz w:val="20"/>
                          <w:szCs w:val="20"/>
                        </w:rPr>
                        <w:t xml:space="preserve">=101–150). However, this </w:t>
                      </w:r>
                      <w:r>
                        <w:rPr>
                          <w:sz w:val="20"/>
                          <w:szCs w:val="20"/>
                        </w:rPr>
                        <w:t>does not</w:t>
                      </w:r>
                      <w:r w:rsidRPr="00FD297C">
                        <w:rPr>
                          <w:sz w:val="20"/>
                          <w:szCs w:val="20"/>
                        </w:rPr>
                        <w:t xml:space="preserve"> capture the diversity of the RTI Rating, </w:t>
                      </w:r>
                      <w:r>
                        <w:rPr>
                          <w:sz w:val="20"/>
                          <w:szCs w:val="20"/>
                        </w:rPr>
                        <w:t>because</w:t>
                      </w:r>
                      <w:r w:rsidRPr="00FD297C">
                        <w:rPr>
                          <w:sz w:val="20"/>
                          <w:szCs w:val="20"/>
                        </w:rPr>
                        <w:t xml:space="preserve"> at the time of writing, </w:t>
                      </w:r>
                      <w:r>
                        <w:rPr>
                          <w:sz w:val="20"/>
                          <w:szCs w:val="20"/>
                        </w:rPr>
                        <w:t>only one</w:t>
                      </w:r>
                      <w:r w:rsidRPr="00FD297C">
                        <w:rPr>
                          <w:sz w:val="20"/>
                          <w:szCs w:val="20"/>
                        </w:rPr>
                        <w:t xml:space="preserve"> FOIA has scored 1–39 or 136–150 on the RTI scale, meaning that much of the substantive difference </w:t>
                      </w:r>
                      <w:r>
                        <w:rPr>
                          <w:sz w:val="20"/>
                          <w:szCs w:val="20"/>
                        </w:rPr>
                        <w:t>among legislation i</w:t>
                      </w:r>
                      <w:r w:rsidRPr="00FD297C">
                        <w:rPr>
                          <w:sz w:val="20"/>
                          <w:szCs w:val="20"/>
                        </w:rPr>
                        <w:t xml:space="preserve">s lost by simply dividing the scale </w:t>
                      </w:r>
                      <w:r>
                        <w:rPr>
                          <w:sz w:val="20"/>
                          <w:szCs w:val="20"/>
                        </w:rPr>
                        <w:t xml:space="preserve">evenly </w:t>
                      </w:r>
                      <w:r w:rsidRPr="00FD297C">
                        <w:rPr>
                          <w:sz w:val="20"/>
                          <w:szCs w:val="20"/>
                        </w:rPr>
                        <w:t xml:space="preserve">into thirds. </w:t>
                      </w:r>
                    </w:p>
                    <w:p w:rsidR="009F49BC" w:rsidRPr="00FD297C" w:rsidRDefault="009F49BC" w:rsidP="006514E5">
                      <w:pPr>
                        <w:spacing w:after="0" w:line="240" w:lineRule="auto"/>
                        <w:rPr>
                          <w:sz w:val="20"/>
                          <w:szCs w:val="20"/>
                        </w:rPr>
                      </w:pPr>
                    </w:p>
                    <w:p w:rsidR="009F49BC" w:rsidRPr="00FD297C" w:rsidRDefault="009F49BC" w:rsidP="006514E5">
                      <w:pPr>
                        <w:spacing w:after="0" w:line="240" w:lineRule="auto"/>
                        <w:rPr>
                          <w:sz w:val="20"/>
                          <w:szCs w:val="20"/>
                        </w:rPr>
                      </w:pPr>
                      <w:r w:rsidRPr="00FD297C">
                        <w:rPr>
                          <w:sz w:val="20"/>
                          <w:szCs w:val="20"/>
                        </w:rPr>
                        <w:t xml:space="preserve">To resolve this, the </w:t>
                      </w:r>
                      <w:r>
                        <w:rPr>
                          <w:sz w:val="20"/>
                          <w:szCs w:val="20"/>
                        </w:rPr>
                        <w:t>three</w:t>
                      </w:r>
                      <w:r w:rsidRPr="00FD297C">
                        <w:rPr>
                          <w:sz w:val="20"/>
                          <w:szCs w:val="20"/>
                        </w:rPr>
                        <w:t xml:space="preserve">-point scale </w:t>
                      </w:r>
                      <w:r>
                        <w:rPr>
                          <w:sz w:val="20"/>
                          <w:szCs w:val="20"/>
                        </w:rPr>
                        <w:t>has been</w:t>
                      </w:r>
                      <w:r w:rsidRPr="00FD297C">
                        <w:rPr>
                          <w:sz w:val="20"/>
                          <w:szCs w:val="20"/>
                        </w:rPr>
                        <w:t xml:space="preserve"> altered by reducing the range of the </w:t>
                      </w:r>
                      <w:r>
                        <w:rPr>
                          <w:sz w:val="20"/>
                          <w:szCs w:val="20"/>
                        </w:rPr>
                        <w:t>’66.66</w:t>
                      </w:r>
                      <w:r w:rsidRPr="00FD297C">
                        <w:rPr>
                          <w:sz w:val="20"/>
                          <w:szCs w:val="20"/>
                        </w:rPr>
                        <w:t xml:space="preserve">’ scoring option and increasing the ranges of the </w:t>
                      </w:r>
                      <w:r>
                        <w:rPr>
                          <w:sz w:val="20"/>
                          <w:szCs w:val="20"/>
                        </w:rPr>
                        <w:t>’33.33</w:t>
                      </w:r>
                      <w:r w:rsidRPr="00FD297C">
                        <w:rPr>
                          <w:sz w:val="20"/>
                          <w:szCs w:val="20"/>
                        </w:rPr>
                        <w:t>’ and ‘</w:t>
                      </w:r>
                      <w:r>
                        <w:rPr>
                          <w:sz w:val="20"/>
                          <w:szCs w:val="20"/>
                        </w:rPr>
                        <w:t>100</w:t>
                      </w:r>
                      <w:r w:rsidRPr="00FD297C">
                        <w:rPr>
                          <w:sz w:val="20"/>
                          <w:szCs w:val="20"/>
                        </w:rPr>
                        <w:t>’ options (</w:t>
                      </w:r>
                      <w:r>
                        <w:rPr>
                          <w:sz w:val="20"/>
                          <w:szCs w:val="20"/>
                        </w:rPr>
                        <w:t>0</w:t>
                      </w:r>
                      <w:r w:rsidRPr="00FD297C">
                        <w:rPr>
                          <w:sz w:val="20"/>
                          <w:szCs w:val="20"/>
                        </w:rPr>
                        <w:t xml:space="preserve">=no legislation; </w:t>
                      </w:r>
                      <w:r>
                        <w:rPr>
                          <w:sz w:val="20"/>
                          <w:szCs w:val="20"/>
                        </w:rPr>
                        <w:t>33.33</w:t>
                      </w:r>
                      <w:r w:rsidRPr="00FD297C">
                        <w:rPr>
                          <w:sz w:val="20"/>
                          <w:szCs w:val="20"/>
                        </w:rPr>
                        <w:t xml:space="preserve">=1–60; </w:t>
                      </w:r>
                      <w:r>
                        <w:rPr>
                          <w:sz w:val="20"/>
                          <w:szCs w:val="20"/>
                        </w:rPr>
                        <w:t>66.66</w:t>
                      </w:r>
                      <w:r w:rsidRPr="00FD297C">
                        <w:rPr>
                          <w:sz w:val="20"/>
                          <w:szCs w:val="20"/>
                        </w:rPr>
                        <w:t xml:space="preserve">=61–90; and </w:t>
                      </w:r>
                      <w:r>
                        <w:rPr>
                          <w:sz w:val="20"/>
                          <w:szCs w:val="20"/>
                        </w:rPr>
                        <w:t>100</w:t>
                      </w:r>
                      <w:r w:rsidRPr="00FD297C">
                        <w:rPr>
                          <w:sz w:val="20"/>
                          <w:szCs w:val="20"/>
                        </w:rPr>
                        <w:t>=91–150). Using this scale allow</w:t>
                      </w:r>
                      <w:r>
                        <w:rPr>
                          <w:sz w:val="20"/>
                          <w:szCs w:val="20"/>
                        </w:rPr>
                        <w:t>s</w:t>
                      </w:r>
                      <w:r w:rsidRPr="00FD297C">
                        <w:rPr>
                          <w:sz w:val="20"/>
                          <w:szCs w:val="20"/>
                        </w:rPr>
                        <w:t xml:space="preserve"> for greater diversity in the results while maintaining a replicable scoring system that reward</w:t>
                      </w:r>
                      <w:r>
                        <w:rPr>
                          <w:sz w:val="20"/>
                          <w:szCs w:val="20"/>
                        </w:rPr>
                        <w:t>s</w:t>
                      </w:r>
                      <w:r w:rsidRPr="00FD297C">
                        <w:rPr>
                          <w:sz w:val="20"/>
                          <w:szCs w:val="20"/>
                        </w:rPr>
                        <w:t xml:space="preserve"> objective progress. Though scoring donors on a relative scale was considered, given that both the Aid Transparency Index and the RTI Rating score donors based on objective measures, it </w:t>
                      </w:r>
                      <w:r>
                        <w:rPr>
                          <w:sz w:val="20"/>
                          <w:szCs w:val="20"/>
                        </w:rPr>
                        <w:t>i</w:t>
                      </w:r>
                      <w:r w:rsidRPr="00FD297C">
                        <w:rPr>
                          <w:sz w:val="20"/>
                          <w:szCs w:val="20"/>
                        </w:rPr>
                        <w:t xml:space="preserve">s not suitable to score organisations based on their performance relative to other organisations for this indicator alone. </w:t>
                      </w:r>
                    </w:p>
                    <w:p w:rsidR="009F49BC" w:rsidRPr="00FD297C" w:rsidRDefault="009F49BC" w:rsidP="006514E5">
                      <w:pPr>
                        <w:spacing w:after="0" w:line="240" w:lineRule="auto"/>
                        <w:rPr>
                          <w:sz w:val="20"/>
                          <w:szCs w:val="20"/>
                        </w:rPr>
                      </w:pPr>
                    </w:p>
                    <w:p w:rsidR="009F49BC" w:rsidRPr="00FD297C" w:rsidRDefault="009F49BC" w:rsidP="006514E5">
                      <w:pPr>
                        <w:spacing w:after="0" w:line="240" w:lineRule="auto"/>
                        <w:rPr>
                          <w:sz w:val="20"/>
                          <w:szCs w:val="20"/>
                        </w:rPr>
                      </w:pPr>
                      <w:r w:rsidRPr="00FD297C">
                        <w:rPr>
                          <w:sz w:val="20"/>
                          <w:szCs w:val="20"/>
                        </w:rPr>
                        <w:t>As the RTI Rating covers FOI legislation only, this mean</w:t>
                      </w:r>
                      <w:r>
                        <w:rPr>
                          <w:sz w:val="20"/>
                          <w:szCs w:val="20"/>
                        </w:rPr>
                        <w:t>s</w:t>
                      </w:r>
                      <w:r w:rsidRPr="00FD297C">
                        <w:rPr>
                          <w:sz w:val="20"/>
                          <w:szCs w:val="20"/>
                        </w:rPr>
                        <w:t xml:space="preserve"> there </w:t>
                      </w:r>
                      <w:r>
                        <w:rPr>
                          <w:sz w:val="20"/>
                          <w:szCs w:val="20"/>
                        </w:rPr>
                        <w:t>i</w:t>
                      </w:r>
                      <w:r w:rsidRPr="00FD297C">
                        <w:rPr>
                          <w:sz w:val="20"/>
                          <w:szCs w:val="20"/>
                        </w:rPr>
                        <w:t>s a data gap for non-bilateral donors with disclosure policies.</w:t>
                      </w:r>
                      <w:r>
                        <w:rPr>
                          <w:sz w:val="20"/>
                          <w:szCs w:val="20"/>
                        </w:rPr>
                        <w:t xml:space="preserve"> Publish What You Fund has therefore developed</w:t>
                      </w:r>
                      <w:r w:rsidRPr="00FD297C">
                        <w:rPr>
                          <w:sz w:val="20"/>
                          <w:szCs w:val="20"/>
                        </w:rPr>
                        <w:t xml:space="preserve"> a second </w:t>
                      </w:r>
                      <w:r>
                        <w:rPr>
                          <w:sz w:val="20"/>
                          <w:szCs w:val="20"/>
                        </w:rPr>
                        <w:t>three</w:t>
                      </w:r>
                      <w:r w:rsidRPr="00FD297C">
                        <w:rPr>
                          <w:sz w:val="20"/>
                          <w:szCs w:val="20"/>
                        </w:rPr>
                        <w:t xml:space="preserve"> point scale</w:t>
                      </w:r>
                      <w:r>
                        <w:rPr>
                          <w:sz w:val="20"/>
                          <w:szCs w:val="20"/>
                        </w:rPr>
                        <w:t xml:space="preserve">, </w:t>
                      </w:r>
                      <w:r w:rsidRPr="00FD297C">
                        <w:rPr>
                          <w:sz w:val="20"/>
                          <w:szCs w:val="20"/>
                        </w:rPr>
                        <w:t>guided by the principle that</w:t>
                      </w:r>
                      <w:r>
                        <w:rPr>
                          <w:sz w:val="20"/>
                          <w:szCs w:val="20"/>
                        </w:rPr>
                        <w:t>,</w:t>
                      </w:r>
                      <w:r w:rsidRPr="00FD297C">
                        <w:rPr>
                          <w:sz w:val="20"/>
                          <w:szCs w:val="20"/>
                        </w:rPr>
                        <w:t xml:space="preserve"> while non-bilateral donors </w:t>
                      </w:r>
                      <w:r>
                        <w:rPr>
                          <w:sz w:val="20"/>
                          <w:szCs w:val="20"/>
                        </w:rPr>
                        <w:t xml:space="preserve">may not be legally obliged to disclose their information, many of them have disclosure policies and that these should be taken into consideration, rather than having a data gap or awarding them an average score for this indicator. </w:t>
                      </w:r>
                    </w:p>
                    <w:p w:rsidR="009F49BC" w:rsidRPr="00FD297C" w:rsidRDefault="009F49BC" w:rsidP="006514E5">
                      <w:pPr>
                        <w:spacing w:after="0" w:line="240" w:lineRule="auto"/>
                        <w:rPr>
                          <w:sz w:val="20"/>
                          <w:szCs w:val="20"/>
                        </w:rPr>
                      </w:pPr>
                    </w:p>
                    <w:p w:rsidR="009F49BC" w:rsidRPr="00FD297C" w:rsidRDefault="009F49BC" w:rsidP="006514E5">
                      <w:pPr>
                        <w:spacing w:after="0" w:line="240" w:lineRule="auto"/>
                        <w:rPr>
                          <w:sz w:val="20"/>
                          <w:szCs w:val="20"/>
                        </w:rPr>
                      </w:pPr>
                      <w:r w:rsidRPr="00FD297C">
                        <w:rPr>
                          <w:sz w:val="20"/>
                          <w:szCs w:val="20"/>
                        </w:rPr>
                        <w:t>The scoring system</w:t>
                      </w:r>
                      <w:r>
                        <w:rPr>
                          <w:sz w:val="20"/>
                          <w:szCs w:val="20"/>
                        </w:rPr>
                        <w:t xml:space="preserve"> used for disclosure policies in 2014 </w:t>
                      </w:r>
                      <w:r w:rsidRPr="00FD297C">
                        <w:rPr>
                          <w:sz w:val="20"/>
                          <w:szCs w:val="20"/>
                        </w:rPr>
                        <w:t xml:space="preserve">is a cumulative measure of three key indicators. If a donor’s policy has all three, </w:t>
                      </w:r>
                      <w:r>
                        <w:rPr>
                          <w:sz w:val="20"/>
                          <w:szCs w:val="20"/>
                        </w:rPr>
                        <w:t>100</w:t>
                      </w:r>
                      <w:r w:rsidRPr="00FD297C">
                        <w:rPr>
                          <w:sz w:val="20"/>
                          <w:szCs w:val="20"/>
                        </w:rPr>
                        <w:t xml:space="preserve"> is scored, if a donor’s disclosure policy has none of the three, or no disclosure policy at all, </w:t>
                      </w:r>
                      <w:r>
                        <w:rPr>
                          <w:sz w:val="20"/>
                          <w:szCs w:val="20"/>
                        </w:rPr>
                        <w:t>it scores 0</w:t>
                      </w:r>
                      <w:r w:rsidRPr="00FD297C">
                        <w:rPr>
                          <w:sz w:val="20"/>
                          <w:szCs w:val="20"/>
                        </w:rPr>
                        <w:t xml:space="preserve">. The indicators are: </w:t>
                      </w:r>
                    </w:p>
                    <w:p w:rsidR="009F49BC" w:rsidRPr="00863863" w:rsidRDefault="009F49BC" w:rsidP="006514E5">
                      <w:pPr>
                        <w:pStyle w:val="ListParagraph"/>
                        <w:numPr>
                          <w:ilvl w:val="0"/>
                          <w:numId w:val="29"/>
                        </w:numPr>
                        <w:spacing w:after="0" w:line="240" w:lineRule="auto"/>
                        <w:rPr>
                          <w:sz w:val="20"/>
                          <w:szCs w:val="20"/>
                        </w:rPr>
                      </w:pPr>
                      <w:r w:rsidRPr="00863863">
                        <w:rPr>
                          <w:b/>
                          <w:sz w:val="20"/>
                          <w:szCs w:val="20"/>
                        </w:rPr>
                        <w:t xml:space="preserve">Presumption of disclosure: </w:t>
                      </w:r>
                      <w:r w:rsidRPr="00863863">
                        <w:rPr>
                          <w:sz w:val="20"/>
                          <w:szCs w:val="20"/>
                        </w:rPr>
                        <w:t>To score for this indicator, a disclosure policy must have a specific clause that states disclosure as the rule, thereby requiring a compel</w:t>
                      </w:r>
                      <w:r>
                        <w:rPr>
                          <w:sz w:val="20"/>
                          <w:szCs w:val="20"/>
                        </w:rPr>
                        <w:t>ling reason for non-disclosure (33.33 points).</w:t>
                      </w:r>
                    </w:p>
                    <w:p w:rsidR="009F49BC" w:rsidRPr="00863863" w:rsidRDefault="009F49BC" w:rsidP="006514E5">
                      <w:pPr>
                        <w:pStyle w:val="ListParagraph"/>
                        <w:numPr>
                          <w:ilvl w:val="0"/>
                          <w:numId w:val="29"/>
                        </w:numPr>
                        <w:spacing w:after="0" w:line="240" w:lineRule="auto"/>
                        <w:rPr>
                          <w:sz w:val="20"/>
                          <w:szCs w:val="20"/>
                        </w:rPr>
                      </w:pPr>
                      <w:r w:rsidRPr="00863863">
                        <w:rPr>
                          <w:b/>
                          <w:sz w:val="20"/>
                          <w:szCs w:val="20"/>
                        </w:rPr>
                        <w:t>Limitations on commercially sensitive and third party information</w:t>
                      </w:r>
                      <w:r>
                        <w:rPr>
                          <w:b/>
                          <w:sz w:val="20"/>
                          <w:szCs w:val="20"/>
                        </w:rPr>
                        <w:t xml:space="preserve"> and internal deliberations</w:t>
                      </w:r>
                      <w:r w:rsidRPr="00863863">
                        <w:rPr>
                          <w:b/>
                          <w:sz w:val="20"/>
                          <w:szCs w:val="20"/>
                        </w:rPr>
                        <w:t xml:space="preserve">: </w:t>
                      </w:r>
                      <w:r w:rsidRPr="00863863">
                        <w:rPr>
                          <w:sz w:val="20"/>
                          <w:szCs w:val="20"/>
                        </w:rPr>
                        <w:t xml:space="preserve">To score on this indicator, non-disclosure clauses related to these matters must be (a) defined clearly, (b) </w:t>
                      </w:r>
                      <w:r>
                        <w:rPr>
                          <w:sz w:val="20"/>
                          <w:szCs w:val="20"/>
                        </w:rPr>
                        <w:t>be subject to a harm test</w:t>
                      </w:r>
                      <w:r w:rsidRPr="00863863">
                        <w:rPr>
                          <w:sz w:val="20"/>
                          <w:szCs w:val="20"/>
                        </w:rPr>
                        <w:t>, and (c) be subject to a public interest override</w:t>
                      </w:r>
                      <w:r>
                        <w:rPr>
                          <w:sz w:val="20"/>
                          <w:szCs w:val="20"/>
                        </w:rPr>
                        <w:t xml:space="preserve"> (33.33 points)</w:t>
                      </w:r>
                      <w:r w:rsidRPr="00863863">
                        <w:rPr>
                          <w:sz w:val="20"/>
                          <w:szCs w:val="20"/>
                        </w:rPr>
                        <w:t xml:space="preserve">. </w:t>
                      </w:r>
                      <w:r>
                        <w:rPr>
                          <w:sz w:val="20"/>
                          <w:szCs w:val="20"/>
                        </w:rPr>
                        <w:t>To score on this indicator all three sub-criteria must be met.</w:t>
                      </w:r>
                    </w:p>
                    <w:p w:rsidR="009F49BC" w:rsidRPr="00863863" w:rsidRDefault="009F49BC" w:rsidP="006514E5">
                      <w:pPr>
                        <w:pStyle w:val="ListParagraph"/>
                        <w:numPr>
                          <w:ilvl w:val="0"/>
                          <w:numId w:val="29"/>
                        </w:numPr>
                        <w:spacing w:after="0" w:line="240" w:lineRule="auto"/>
                        <w:rPr>
                          <w:sz w:val="20"/>
                          <w:szCs w:val="20"/>
                        </w:rPr>
                      </w:pPr>
                      <w:r>
                        <w:rPr>
                          <w:b/>
                          <w:sz w:val="20"/>
                          <w:szCs w:val="20"/>
                        </w:rPr>
                        <w:t>Independent appeals process</w:t>
                      </w:r>
                      <w:r w:rsidRPr="00863863">
                        <w:rPr>
                          <w:b/>
                          <w:sz w:val="20"/>
                          <w:szCs w:val="20"/>
                        </w:rPr>
                        <w:t xml:space="preserve">: </w:t>
                      </w:r>
                      <w:r w:rsidRPr="00863863">
                        <w:rPr>
                          <w:sz w:val="20"/>
                          <w:szCs w:val="20"/>
                        </w:rPr>
                        <w:t xml:space="preserve">To score for this indicator, non-disclosure clauses </w:t>
                      </w:r>
                      <w:r>
                        <w:rPr>
                          <w:sz w:val="20"/>
                          <w:szCs w:val="20"/>
                        </w:rPr>
                        <w:t>must include an independent appeals process and the appeals body must include individuals that are independent from the organisation (33.33 points)</w:t>
                      </w:r>
                      <w:r w:rsidRPr="00863863">
                        <w:rPr>
                          <w:sz w:val="20"/>
                          <w:szCs w:val="20"/>
                        </w:rPr>
                        <w:t xml:space="preserve">. </w:t>
                      </w:r>
                    </w:p>
                    <w:p w:rsidR="009F49BC" w:rsidRPr="00F726E7" w:rsidRDefault="009F49BC" w:rsidP="006514E5">
                      <w:pPr>
                        <w:spacing w:after="0" w:line="240" w:lineRule="auto"/>
                        <w:rPr>
                          <w:sz w:val="20"/>
                          <w:szCs w:val="20"/>
                        </w:rPr>
                      </w:pPr>
                    </w:p>
                    <w:p w:rsidR="009F49BC" w:rsidRPr="00F726E7" w:rsidRDefault="009F49BC" w:rsidP="006514E5">
                      <w:pPr>
                        <w:spacing w:after="0" w:line="240" w:lineRule="auto"/>
                        <w:rPr>
                          <w:sz w:val="20"/>
                          <w:szCs w:val="20"/>
                        </w:rPr>
                      </w:pPr>
                      <w:r w:rsidRPr="00F726E7">
                        <w:rPr>
                          <w:sz w:val="20"/>
                          <w:szCs w:val="20"/>
                        </w:rPr>
                        <w:t>While relatively simple, this indicator reflects international best practice in maximi</w:t>
                      </w:r>
                      <w:r>
                        <w:rPr>
                          <w:sz w:val="20"/>
                          <w:szCs w:val="20"/>
                        </w:rPr>
                        <w:t>s</w:t>
                      </w:r>
                      <w:r w:rsidRPr="00F726E7">
                        <w:rPr>
                          <w:sz w:val="20"/>
                          <w:szCs w:val="20"/>
                        </w:rPr>
                        <w:t>ing the right to information with the acknowledgement that donors are required not to disclose certain types of information.</w:t>
                      </w:r>
                      <w:r>
                        <w:rPr>
                          <w:sz w:val="20"/>
                          <w:szCs w:val="20"/>
                        </w:rPr>
                        <w:t xml:space="preserve"> Note that</w:t>
                      </w:r>
                      <w:r w:rsidRPr="00F726E7">
                        <w:rPr>
                          <w:sz w:val="20"/>
                          <w:szCs w:val="20"/>
                        </w:rPr>
                        <w:t xml:space="preserve"> </w:t>
                      </w:r>
                      <w:r>
                        <w:rPr>
                          <w:sz w:val="20"/>
                          <w:szCs w:val="20"/>
                        </w:rPr>
                        <w:t xml:space="preserve">in previous years, the limitations on third party information and internal deliberations were listed as separate criteria and appeals were assessed as part of the public interest override clause within each of these. The simplification in the grouping of criteria in 2014 was made based on advice received from </w:t>
                      </w:r>
                      <w:r w:rsidR="005B5D00">
                        <w:rPr>
                          <w:sz w:val="20"/>
                          <w:szCs w:val="20"/>
                        </w:rPr>
                        <w:t xml:space="preserve">FOI </w:t>
                      </w:r>
                      <w:r>
                        <w:rPr>
                          <w:sz w:val="20"/>
                          <w:szCs w:val="20"/>
                        </w:rPr>
                        <w:t>experts</w:t>
                      </w:r>
                      <w:r w:rsidR="005B5D00">
                        <w:rPr>
                          <w:sz w:val="20"/>
                          <w:szCs w:val="20"/>
                        </w:rPr>
                        <w:t xml:space="preserve"> in </w:t>
                      </w:r>
                      <w:r>
                        <w:rPr>
                          <w:sz w:val="20"/>
                          <w:szCs w:val="20"/>
                        </w:rPr>
                        <w:t>FOI legislation.</w:t>
                      </w:r>
                    </w:p>
                  </w:txbxContent>
                </v:textbox>
                <w10:wrap type="square" anchorx="margin"/>
              </v:shape>
            </w:pict>
          </mc:Fallback>
        </mc:AlternateContent>
      </w:r>
    </w:p>
    <w:p w:rsidR="005B5D00" w:rsidRPr="003C5058" w:rsidRDefault="005B5D00" w:rsidP="003C5058">
      <w:pPr>
        <w:spacing w:after="0" w:line="240" w:lineRule="auto"/>
        <w:rPr>
          <w:color w:val="FF0000"/>
        </w:rPr>
        <w:sectPr w:rsidR="005B5D00" w:rsidRPr="003C5058" w:rsidSect="002B2AC5">
          <w:pgSz w:w="16838" w:h="11906" w:orient="landscape"/>
          <w:pgMar w:top="1021" w:right="1021" w:bottom="1021" w:left="1021" w:header="709" w:footer="709" w:gutter="0"/>
          <w:cols w:space="708"/>
          <w:docGrid w:linePitch="360"/>
        </w:sectPr>
      </w:pPr>
    </w:p>
    <w:p w:rsidR="00917B5D" w:rsidRPr="000445AB" w:rsidRDefault="00284A8F" w:rsidP="00284A8F">
      <w:pPr>
        <w:pStyle w:val="Heading1"/>
        <w:pBdr>
          <w:bottom w:val="single" w:sz="4" w:space="1" w:color="auto"/>
        </w:pBdr>
        <w:spacing w:before="0" w:line="240" w:lineRule="auto"/>
        <w:rPr>
          <w:sz w:val="36"/>
        </w:rPr>
      </w:pPr>
      <w:bookmarkStart w:id="16" w:name="_Toc399168590"/>
      <w:r>
        <w:rPr>
          <w:sz w:val="36"/>
        </w:rPr>
        <w:lastRenderedPageBreak/>
        <w:t xml:space="preserve">Section 5. </w:t>
      </w:r>
      <w:r w:rsidR="00917B5D" w:rsidRPr="000445AB">
        <w:rPr>
          <w:sz w:val="36"/>
        </w:rPr>
        <w:t>Comparing results</w:t>
      </w:r>
      <w:r w:rsidR="00F53AEA">
        <w:rPr>
          <w:sz w:val="36"/>
        </w:rPr>
        <w:t xml:space="preserve"> with previous years</w:t>
      </w:r>
      <w:bookmarkEnd w:id="16"/>
    </w:p>
    <w:p w:rsidR="00917B5D" w:rsidRPr="00423FCC" w:rsidRDefault="00917B5D" w:rsidP="00935A49">
      <w:pPr>
        <w:spacing w:after="0" w:line="240" w:lineRule="auto"/>
        <w:rPr>
          <w:rFonts w:cstheme="minorHAnsi"/>
          <w:color w:val="000000"/>
        </w:rPr>
      </w:pPr>
    </w:p>
    <w:p w:rsidR="00FA1A44" w:rsidRPr="004D19B4" w:rsidRDefault="00FA1A44" w:rsidP="004D19B4">
      <w:pPr>
        <w:pStyle w:val="Heading4"/>
        <w:spacing w:before="0" w:line="240" w:lineRule="auto"/>
        <w:rPr>
          <w:rFonts w:ascii="Cambria" w:eastAsia="Calibri" w:hAnsi="Cambria" w:cs="Times New Roman"/>
          <w:color w:val="4F81BD"/>
          <w:sz w:val="28"/>
          <w:szCs w:val="26"/>
        </w:rPr>
      </w:pPr>
      <w:r w:rsidRPr="004D19B4">
        <w:rPr>
          <w:rFonts w:ascii="Cambria" w:eastAsia="Calibri" w:hAnsi="Cambria" w:cs="Times New Roman"/>
          <w:i w:val="0"/>
          <w:iCs w:val="0"/>
          <w:color w:val="4F81BD"/>
          <w:sz w:val="28"/>
          <w:szCs w:val="26"/>
        </w:rPr>
        <w:t>Comparing 20</w:t>
      </w:r>
      <w:r>
        <w:rPr>
          <w:rFonts w:ascii="Cambria" w:eastAsia="Calibri" w:hAnsi="Cambria" w:cs="Times New Roman"/>
          <w:i w:val="0"/>
          <w:iCs w:val="0"/>
          <w:color w:val="4F81BD"/>
          <w:sz w:val="28"/>
          <w:szCs w:val="26"/>
        </w:rPr>
        <w:t xml:space="preserve">14 </w:t>
      </w:r>
      <w:r w:rsidR="004D19B4">
        <w:rPr>
          <w:rFonts w:ascii="Cambria" w:eastAsia="Calibri" w:hAnsi="Cambria" w:cs="Times New Roman"/>
          <w:i w:val="0"/>
          <w:iCs w:val="0"/>
          <w:color w:val="4F81BD"/>
          <w:sz w:val="28"/>
          <w:szCs w:val="26"/>
        </w:rPr>
        <w:t>results with results from 2012 or earlier</w:t>
      </w:r>
    </w:p>
    <w:p w:rsidR="00FA1A44" w:rsidRDefault="00FA1A44" w:rsidP="00935A49">
      <w:pPr>
        <w:spacing w:after="0" w:line="240" w:lineRule="auto"/>
        <w:rPr>
          <w:rFonts w:cstheme="minorHAnsi"/>
          <w:color w:val="000000"/>
        </w:rPr>
      </w:pPr>
    </w:p>
    <w:p w:rsidR="00941D4C" w:rsidRDefault="00941D4C" w:rsidP="00935A49">
      <w:pPr>
        <w:spacing w:after="0" w:line="240" w:lineRule="auto"/>
        <w:rPr>
          <w:rFonts w:cstheme="minorHAnsi"/>
          <w:color w:val="000000"/>
        </w:rPr>
      </w:pPr>
      <w:r>
        <w:rPr>
          <w:rFonts w:cstheme="minorHAnsi"/>
          <w:color w:val="000000"/>
        </w:rPr>
        <w:t>Scoring</w:t>
      </w:r>
      <w:r w:rsidR="00917B5D" w:rsidRPr="00F53AEA">
        <w:rPr>
          <w:rFonts w:cstheme="minorHAnsi"/>
          <w:color w:val="000000"/>
        </w:rPr>
        <w:t xml:space="preserve"> the </w:t>
      </w:r>
      <w:r w:rsidR="00F53AEA" w:rsidRPr="00F53AEA">
        <w:rPr>
          <w:rFonts w:cstheme="minorHAnsi"/>
          <w:color w:val="000000"/>
        </w:rPr>
        <w:t xml:space="preserve">quality and </w:t>
      </w:r>
      <w:r w:rsidR="00A956B1" w:rsidRPr="00F53AEA">
        <w:rPr>
          <w:rFonts w:cstheme="minorHAnsi"/>
          <w:color w:val="000000"/>
        </w:rPr>
        <w:t xml:space="preserve">frequency of </w:t>
      </w:r>
      <w:r w:rsidR="00917B5D" w:rsidRPr="00F53AEA">
        <w:rPr>
          <w:rFonts w:cstheme="minorHAnsi"/>
          <w:color w:val="000000"/>
        </w:rPr>
        <w:t>publication</w:t>
      </w:r>
      <w:r w:rsidRPr="00941D4C">
        <w:rPr>
          <w:rFonts w:cstheme="minorHAnsi"/>
          <w:color w:val="000000"/>
        </w:rPr>
        <w:t xml:space="preserve"> </w:t>
      </w:r>
      <w:r w:rsidR="005B5D00">
        <w:rPr>
          <w:rFonts w:cstheme="minorHAnsi"/>
          <w:color w:val="000000"/>
        </w:rPr>
        <w:t>provides</w:t>
      </w:r>
      <w:r w:rsidRPr="00F53AEA">
        <w:rPr>
          <w:rFonts w:cstheme="minorHAnsi"/>
          <w:color w:val="000000"/>
        </w:rPr>
        <w:t xml:space="preserve"> a more accurate picture of aid transparency</w:t>
      </w:r>
      <w:r>
        <w:rPr>
          <w:rFonts w:cstheme="minorHAnsi"/>
          <w:color w:val="000000"/>
        </w:rPr>
        <w:t>, but this also means that i</w:t>
      </w:r>
      <w:r w:rsidRPr="00F53AEA">
        <w:rPr>
          <w:rFonts w:cstheme="minorHAnsi"/>
          <w:color w:val="000000"/>
        </w:rPr>
        <w:t xml:space="preserve">t is not possible to compare absolute scores in </w:t>
      </w:r>
      <w:r w:rsidR="00FA1A44">
        <w:rPr>
          <w:rFonts w:cstheme="minorHAnsi"/>
          <w:color w:val="000000"/>
        </w:rPr>
        <w:t>2013/</w:t>
      </w:r>
      <w:r w:rsidRPr="00F53AEA">
        <w:rPr>
          <w:rFonts w:cstheme="minorHAnsi"/>
          <w:color w:val="000000"/>
        </w:rPr>
        <w:t xml:space="preserve">2014 with absolute scores in </w:t>
      </w:r>
      <w:r w:rsidR="00FA1A44">
        <w:rPr>
          <w:rFonts w:cstheme="minorHAnsi"/>
          <w:color w:val="000000"/>
        </w:rPr>
        <w:t xml:space="preserve">2012 or </w:t>
      </w:r>
      <w:r w:rsidR="004F6860">
        <w:rPr>
          <w:rFonts w:cstheme="minorHAnsi"/>
          <w:color w:val="000000"/>
        </w:rPr>
        <w:t>earlier</w:t>
      </w:r>
      <w:r w:rsidR="00917B5D" w:rsidRPr="00F53AEA">
        <w:rPr>
          <w:rFonts w:cstheme="minorHAnsi"/>
          <w:color w:val="000000"/>
        </w:rPr>
        <w:t xml:space="preserve">. </w:t>
      </w:r>
      <w:r>
        <w:rPr>
          <w:rFonts w:cstheme="minorHAnsi"/>
          <w:color w:val="000000"/>
        </w:rPr>
        <w:t>For example, i</w:t>
      </w:r>
      <w:r w:rsidR="00917B5D" w:rsidRPr="00F53AEA">
        <w:rPr>
          <w:rFonts w:cstheme="minorHAnsi"/>
          <w:color w:val="000000"/>
        </w:rPr>
        <w:t>n 201</w:t>
      </w:r>
      <w:r w:rsidR="00A956B1" w:rsidRPr="00F53AEA">
        <w:rPr>
          <w:rFonts w:cstheme="minorHAnsi"/>
          <w:color w:val="000000"/>
        </w:rPr>
        <w:t>2</w:t>
      </w:r>
      <w:r w:rsidR="00917B5D" w:rsidRPr="00F53AEA">
        <w:rPr>
          <w:rFonts w:cstheme="minorHAnsi"/>
          <w:color w:val="000000"/>
        </w:rPr>
        <w:t xml:space="preserve">, organisations would have </w:t>
      </w:r>
      <w:r w:rsidR="004F6860">
        <w:rPr>
          <w:rFonts w:cstheme="minorHAnsi"/>
          <w:color w:val="000000"/>
        </w:rPr>
        <w:t>scored</w:t>
      </w:r>
      <w:r w:rsidR="00917B5D" w:rsidRPr="00F53AEA">
        <w:rPr>
          <w:rFonts w:cstheme="minorHAnsi"/>
          <w:color w:val="000000"/>
        </w:rPr>
        <w:t xml:space="preserve"> either 0% or 100% for an indicator regardless of</w:t>
      </w:r>
      <w:r w:rsidR="004F6860">
        <w:rPr>
          <w:rFonts w:cstheme="minorHAnsi"/>
          <w:color w:val="000000"/>
        </w:rPr>
        <w:t xml:space="preserve"> the </w:t>
      </w:r>
      <w:r w:rsidR="00917B5D" w:rsidRPr="00F53AEA">
        <w:rPr>
          <w:rFonts w:cstheme="minorHAnsi"/>
          <w:color w:val="000000"/>
        </w:rPr>
        <w:t>format</w:t>
      </w:r>
      <w:r w:rsidR="004F6860">
        <w:rPr>
          <w:rFonts w:cstheme="minorHAnsi"/>
          <w:color w:val="000000"/>
        </w:rPr>
        <w:t xml:space="preserve"> of the data</w:t>
      </w:r>
      <w:r w:rsidR="00917B5D" w:rsidRPr="00F53AEA">
        <w:rPr>
          <w:rFonts w:cstheme="minorHAnsi"/>
          <w:color w:val="000000"/>
        </w:rPr>
        <w:t>. In 2013</w:t>
      </w:r>
      <w:r w:rsidR="00A956B1" w:rsidRPr="00F53AEA">
        <w:rPr>
          <w:rFonts w:cstheme="minorHAnsi"/>
          <w:color w:val="000000"/>
        </w:rPr>
        <w:t xml:space="preserve"> and 2014</w:t>
      </w:r>
      <w:r w:rsidR="00235CB8">
        <w:rPr>
          <w:rFonts w:cstheme="minorHAnsi"/>
          <w:color w:val="000000"/>
        </w:rPr>
        <w:t>, for 2</w:t>
      </w:r>
      <w:r w:rsidR="00A83FB6">
        <w:rPr>
          <w:rFonts w:cstheme="minorHAnsi"/>
          <w:color w:val="000000"/>
        </w:rPr>
        <w:t>2</w:t>
      </w:r>
      <w:r w:rsidR="00917B5D" w:rsidRPr="00F53AEA">
        <w:rPr>
          <w:rFonts w:cstheme="minorHAnsi"/>
          <w:color w:val="000000"/>
        </w:rPr>
        <w:t xml:space="preserve"> indicators, publishing in IATI XML format can score between 50% and 100%, while publishing a PDF </w:t>
      </w:r>
      <w:r w:rsidR="00F53AEA" w:rsidRPr="00F53AEA">
        <w:rPr>
          <w:rFonts w:cstheme="minorHAnsi"/>
          <w:color w:val="000000"/>
        </w:rPr>
        <w:t>c</w:t>
      </w:r>
      <w:r w:rsidR="00917B5D" w:rsidRPr="00F53AEA">
        <w:rPr>
          <w:rFonts w:cstheme="minorHAnsi"/>
          <w:color w:val="000000"/>
        </w:rPr>
        <w:t xml:space="preserve">an score only 16.67%. So an organisation that may have scored 100% for an indicator in 2012 may only </w:t>
      </w:r>
      <w:r w:rsidR="00A956B1" w:rsidRPr="00F53AEA">
        <w:rPr>
          <w:rFonts w:cstheme="minorHAnsi"/>
          <w:color w:val="000000"/>
        </w:rPr>
        <w:t>have scored</w:t>
      </w:r>
      <w:r w:rsidR="00917B5D" w:rsidRPr="00F53AEA">
        <w:rPr>
          <w:rFonts w:cstheme="minorHAnsi"/>
          <w:color w:val="000000"/>
        </w:rPr>
        <w:t xml:space="preserve"> 16.67% in 2013</w:t>
      </w:r>
      <w:r w:rsidR="00A956B1" w:rsidRPr="00F53AEA">
        <w:rPr>
          <w:rFonts w:cstheme="minorHAnsi"/>
          <w:color w:val="000000"/>
        </w:rPr>
        <w:t xml:space="preserve"> or 2014</w:t>
      </w:r>
      <w:r w:rsidR="00917B5D" w:rsidRPr="00F53AEA">
        <w:rPr>
          <w:rFonts w:cstheme="minorHAnsi"/>
          <w:color w:val="000000"/>
        </w:rPr>
        <w:t xml:space="preserve"> without changing its practice, due to the change in scoring method.</w:t>
      </w:r>
      <w:r>
        <w:rPr>
          <w:rFonts w:cstheme="minorHAnsi"/>
          <w:color w:val="000000"/>
        </w:rPr>
        <w:t xml:space="preserve"> </w:t>
      </w:r>
    </w:p>
    <w:p w:rsidR="00941D4C" w:rsidRDefault="00941D4C" w:rsidP="00935A49">
      <w:pPr>
        <w:spacing w:after="0" w:line="240" w:lineRule="auto"/>
        <w:rPr>
          <w:rFonts w:cstheme="minorHAnsi"/>
          <w:color w:val="000000"/>
        </w:rPr>
      </w:pPr>
    </w:p>
    <w:p w:rsidR="00FA1A44" w:rsidRPr="00360135" w:rsidRDefault="00FA1A44" w:rsidP="00FA1A44">
      <w:pPr>
        <w:pStyle w:val="Heading4"/>
        <w:spacing w:before="0" w:line="240" w:lineRule="auto"/>
        <w:rPr>
          <w:rFonts w:ascii="Cambria" w:eastAsia="Calibri" w:hAnsi="Cambria" w:cs="Times New Roman"/>
          <w:i w:val="0"/>
          <w:iCs w:val="0"/>
          <w:color w:val="4F81BD"/>
          <w:sz w:val="28"/>
          <w:szCs w:val="26"/>
        </w:rPr>
      </w:pPr>
      <w:r w:rsidRPr="00360135">
        <w:rPr>
          <w:rFonts w:ascii="Cambria" w:eastAsia="Calibri" w:hAnsi="Cambria" w:cs="Times New Roman"/>
          <w:i w:val="0"/>
          <w:iCs w:val="0"/>
          <w:color w:val="4F81BD"/>
          <w:sz w:val="28"/>
          <w:szCs w:val="26"/>
        </w:rPr>
        <w:t xml:space="preserve">Comparing </w:t>
      </w:r>
      <w:r w:rsidR="004D19B4">
        <w:rPr>
          <w:rFonts w:ascii="Cambria" w:eastAsia="Calibri" w:hAnsi="Cambria" w:cs="Times New Roman"/>
          <w:i w:val="0"/>
          <w:iCs w:val="0"/>
          <w:color w:val="4F81BD"/>
          <w:sz w:val="28"/>
          <w:szCs w:val="26"/>
        </w:rPr>
        <w:t>2014 and 2013 results</w:t>
      </w:r>
    </w:p>
    <w:p w:rsidR="00FA1A44" w:rsidRDefault="00FA1A44" w:rsidP="00935A49">
      <w:pPr>
        <w:spacing w:after="0" w:line="240" w:lineRule="auto"/>
        <w:rPr>
          <w:rFonts w:cstheme="minorHAnsi"/>
          <w:color w:val="000000"/>
        </w:rPr>
      </w:pPr>
    </w:p>
    <w:p w:rsidR="00917B5D" w:rsidRPr="00423FCC" w:rsidRDefault="00FA1A44" w:rsidP="00935A49">
      <w:pPr>
        <w:spacing w:after="0" w:line="240" w:lineRule="auto"/>
        <w:rPr>
          <w:rFonts w:cstheme="minorHAnsi"/>
          <w:color w:val="000000"/>
        </w:rPr>
      </w:pPr>
      <w:r>
        <w:rPr>
          <w:rFonts w:cstheme="minorHAnsi"/>
          <w:color w:val="000000"/>
        </w:rPr>
        <w:t>D</w:t>
      </w:r>
      <w:r w:rsidR="00F53AEA">
        <w:rPr>
          <w:rFonts w:cstheme="minorHAnsi"/>
          <w:color w:val="000000"/>
        </w:rPr>
        <w:t>ue to the more</w:t>
      </w:r>
      <w:r w:rsidR="00F53AEA" w:rsidRPr="00F53AEA">
        <w:rPr>
          <w:rFonts w:cstheme="minorHAnsi"/>
          <w:color w:val="000000"/>
        </w:rPr>
        <w:t xml:space="preserve"> nuanced approach </w:t>
      </w:r>
      <w:r w:rsidR="00F53AEA">
        <w:rPr>
          <w:rFonts w:cstheme="minorHAnsi"/>
          <w:color w:val="000000"/>
        </w:rPr>
        <w:t>used for scoring</w:t>
      </w:r>
      <w:r w:rsidR="00F53AEA" w:rsidRPr="00F53AEA">
        <w:rPr>
          <w:rFonts w:cstheme="minorHAnsi"/>
          <w:color w:val="000000"/>
        </w:rPr>
        <w:t xml:space="preserve"> frequency</w:t>
      </w:r>
      <w:r w:rsidR="00F53AEA">
        <w:rPr>
          <w:rFonts w:cstheme="minorHAnsi"/>
          <w:color w:val="000000"/>
        </w:rPr>
        <w:t xml:space="preserve"> in 2014</w:t>
      </w:r>
      <w:r w:rsidR="00F53AEA" w:rsidRPr="00F53AEA">
        <w:rPr>
          <w:rFonts w:cstheme="minorHAnsi"/>
          <w:color w:val="000000"/>
        </w:rPr>
        <w:t xml:space="preserve">, </w:t>
      </w:r>
      <w:r w:rsidR="00F53AEA">
        <w:rPr>
          <w:rFonts w:cstheme="minorHAnsi"/>
          <w:color w:val="000000"/>
        </w:rPr>
        <w:t>only organisations publishing on a monthly basis can score the max</w:t>
      </w:r>
      <w:r w:rsidR="00235CB8">
        <w:rPr>
          <w:rFonts w:cstheme="minorHAnsi"/>
          <w:color w:val="000000"/>
        </w:rPr>
        <w:t>imum points available for the 2</w:t>
      </w:r>
      <w:r>
        <w:rPr>
          <w:rFonts w:cstheme="minorHAnsi"/>
          <w:color w:val="000000"/>
        </w:rPr>
        <w:t>8 activity-level indicators</w:t>
      </w:r>
      <w:r w:rsidR="00F53AEA">
        <w:rPr>
          <w:rFonts w:cstheme="minorHAnsi"/>
          <w:color w:val="000000"/>
        </w:rPr>
        <w:t xml:space="preserve">; organisations publishing on a quarterly basis can score up to 95 points per indicator. </w:t>
      </w:r>
      <w:r w:rsidR="00A956B1">
        <w:rPr>
          <w:rFonts w:cstheme="minorHAnsi"/>
          <w:color w:val="000000"/>
        </w:rPr>
        <w:t xml:space="preserve">In addition, in 2013, an organisation that published IATI XML data but not to the IATI Registry </w:t>
      </w:r>
      <w:r w:rsidR="00D073A9">
        <w:rPr>
          <w:rFonts w:cstheme="minorHAnsi"/>
          <w:color w:val="000000"/>
        </w:rPr>
        <w:t>could have scored up to 100 points for each of the</w:t>
      </w:r>
      <w:r>
        <w:rPr>
          <w:rFonts w:cstheme="minorHAnsi"/>
          <w:color w:val="000000"/>
        </w:rPr>
        <w:t xml:space="preserve"> 36 publication </w:t>
      </w:r>
      <w:r w:rsidR="00A956B1">
        <w:rPr>
          <w:rFonts w:cstheme="minorHAnsi"/>
          <w:color w:val="000000"/>
        </w:rPr>
        <w:t xml:space="preserve">indicators. In 2014, if the organisation’s IATI data is not on the </w:t>
      </w:r>
      <w:r w:rsidR="00F53AEA">
        <w:rPr>
          <w:rFonts w:cstheme="minorHAnsi"/>
          <w:color w:val="000000"/>
        </w:rPr>
        <w:t>R</w:t>
      </w:r>
      <w:r w:rsidR="00A956B1">
        <w:rPr>
          <w:rFonts w:cstheme="minorHAnsi"/>
          <w:color w:val="000000"/>
        </w:rPr>
        <w:t>egistry then the m</w:t>
      </w:r>
      <w:r w:rsidR="00235CB8">
        <w:rPr>
          <w:rFonts w:cstheme="minorHAnsi"/>
          <w:color w:val="000000"/>
        </w:rPr>
        <w:t xml:space="preserve">aximum it can score for these </w:t>
      </w:r>
      <w:r w:rsidR="00A956B1">
        <w:rPr>
          <w:rFonts w:cstheme="minorHAnsi"/>
          <w:color w:val="000000"/>
        </w:rPr>
        <w:t>indicators is 50</w:t>
      </w:r>
      <w:r w:rsidR="00D073A9">
        <w:rPr>
          <w:rFonts w:cstheme="minorHAnsi"/>
          <w:color w:val="000000"/>
        </w:rPr>
        <w:t xml:space="preserve"> points.</w:t>
      </w:r>
      <w:r w:rsidR="00917B5D" w:rsidRPr="00423FCC">
        <w:rPr>
          <w:rFonts w:cstheme="minorHAnsi"/>
          <w:color w:val="000000"/>
        </w:rPr>
        <w:t xml:space="preserve"> </w:t>
      </w:r>
    </w:p>
    <w:p w:rsidR="00917B5D" w:rsidRPr="00423FCC" w:rsidRDefault="00917B5D" w:rsidP="00935A49">
      <w:pPr>
        <w:spacing w:after="0" w:line="240" w:lineRule="auto"/>
        <w:rPr>
          <w:rFonts w:cstheme="minorHAnsi"/>
          <w:color w:val="000000"/>
        </w:rPr>
      </w:pPr>
    </w:p>
    <w:p w:rsidR="00917B5D" w:rsidRPr="00423FCC" w:rsidRDefault="00917B5D" w:rsidP="00935A49">
      <w:pPr>
        <w:spacing w:after="0" w:line="240" w:lineRule="auto"/>
        <w:rPr>
          <w:rFonts w:cstheme="minorHAnsi"/>
          <w:color w:val="000000"/>
        </w:rPr>
      </w:pPr>
      <w:r w:rsidRPr="00423FCC">
        <w:rPr>
          <w:rFonts w:cstheme="minorHAnsi"/>
          <w:color w:val="000000"/>
        </w:rPr>
        <w:t xml:space="preserve">The set of organisations included in the Index changes slightly year on year. Therefore the ranking of </w:t>
      </w:r>
      <w:r w:rsidR="00A956B1">
        <w:rPr>
          <w:rFonts w:cstheme="minorHAnsi"/>
          <w:color w:val="000000"/>
        </w:rPr>
        <w:t>67</w:t>
      </w:r>
      <w:r w:rsidRPr="00423FCC">
        <w:rPr>
          <w:rFonts w:cstheme="minorHAnsi"/>
          <w:color w:val="000000"/>
        </w:rPr>
        <w:t xml:space="preserve"> organisations in 201</w:t>
      </w:r>
      <w:r w:rsidR="00A956B1">
        <w:rPr>
          <w:rFonts w:cstheme="minorHAnsi"/>
          <w:color w:val="000000"/>
        </w:rPr>
        <w:t>3</w:t>
      </w:r>
      <w:r w:rsidRPr="00423FCC">
        <w:rPr>
          <w:rFonts w:cstheme="minorHAnsi"/>
          <w:color w:val="000000"/>
        </w:rPr>
        <w:t xml:space="preserve"> </w:t>
      </w:r>
      <w:r w:rsidR="00B4239F">
        <w:rPr>
          <w:rFonts w:cstheme="minorHAnsi"/>
          <w:color w:val="000000"/>
        </w:rPr>
        <w:t>is not</w:t>
      </w:r>
      <w:r w:rsidRPr="00423FCC">
        <w:rPr>
          <w:rFonts w:cstheme="minorHAnsi"/>
          <w:color w:val="000000"/>
        </w:rPr>
        <w:t xml:space="preserve"> fully comparable with the ranking of 6</w:t>
      </w:r>
      <w:r w:rsidR="00A956B1">
        <w:rPr>
          <w:rFonts w:cstheme="minorHAnsi"/>
          <w:color w:val="000000"/>
        </w:rPr>
        <w:t>8</w:t>
      </w:r>
      <w:r w:rsidRPr="00423FCC">
        <w:rPr>
          <w:rFonts w:cstheme="minorHAnsi"/>
          <w:color w:val="000000"/>
        </w:rPr>
        <w:t xml:space="preserve"> organisations in 201</w:t>
      </w:r>
      <w:r w:rsidR="00A956B1">
        <w:rPr>
          <w:rFonts w:cstheme="minorHAnsi"/>
          <w:color w:val="000000"/>
        </w:rPr>
        <w:t>4</w:t>
      </w:r>
      <w:r w:rsidRPr="00423FCC">
        <w:rPr>
          <w:rFonts w:cstheme="minorHAnsi"/>
          <w:color w:val="000000"/>
        </w:rPr>
        <w:t xml:space="preserve">. It is possible to compare individual indicators however; such as whether a higher proportion of organisations are now publishing annual reports or forward budgets. </w:t>
      </w:r>
    </w:p>
    <w:p w:rsidR="00917B5D" w:rsidRPr="00423FCC" w:rsidRDefault="00917B5D" w:rsidP="00935A49">
      <w:pPr>
        <w:spacing w:after="0" w:line="240" w:lineRule="auto"/>
        <w:rPr>
          <w:rFonts w:cstheme="minorHAnsi"/>
          <w:color w:val="000000"/>
        </w:rPr>
      </w:pPr>
    </w:p>
    <w:p w:rsidR="00917B5D" w:rsidRDefault="00917B5D" w:rsidP="00935A49">
      <w:pPr>
        <w:spacing w:after="0" w:line="240" w:lineRule="auto"/>
        <w:rPr>
          <w:rFonts w:eastAsiaTheme="majorEastAsia" w:cstheme="majorBidi"/>
          <w:bCs/>
          <w:color w:val="365F91" w:themeColor="accent1" w:themeShade="BF"/>
        </w:rPr>
      </w:pPr>
      <w:r w:rsidRPr="00423FCC">
        <w:rPr>
          <w:rFonts w:cstheme="minorHAnsi"/>
          <w:color w:val="000000"/>
        </w:rPr>
        <w:t>The performance of each organisation affect</w:t>
      </w:r>
      <w:r w:rsidR="00B4239F">
        <w:rPr>
          <w:rFonts w:cstheme="minorHAnsi"/>
          <w:color w:val="000000"/>
        </w:rPr>
        <w:t>s</w:t>
      </w:r>
      <w:r w:rsidRPr="00423FCC">
        <w:rPr>
          <w:rFonts w:cstheme="minorHAnsi"/>
          <w:color w:val="000000"/>
        </w:rPr>
        <w:t xml:space="preserve"> the ranking of every other organisation, so a change in rank may not reflect a change in an organisation’s own practice. However, it is likely that a large move up the ranking reflects a genuine change in practice.</w:t>
      </w:r>
      <w:r w:rsidRPr="00423FCC">
        <w:rPr>
          <w:rFonts w:eastAsiaTheme="majorEastAsia" w:cstheme="majorBidi"/>
          <w:bCs/>
          <w:color w:val="365F91" w:themeColor="accent1" w:themeShade="BF"/>
        </w:rPr>
        <w:t xml:space="preserve"> </w:t>
      </w:r>
    </w:p>
    <w:p w:rsidR="00C9490D" w:rsidRPr="00423FCC" w:rsidRDefault="00C9490D" w:rsidP="00935A49">
      <w:pPr>
        <w:spacing w:after="0" w:line="240" w:lineRule="auto"/>
        <w:rPr>
          <w:rFonts w:eastAsiaTheme="majorEastAsia" w:cstheme="majorBidi"/>
          <w:bCs/>
          <w:color w:val="365F91" w:themeColor="accent1" w:themeShade="BF"/>
        </w:rPr>
      </w:pPr>
    </w:p>
    <w:p w:rsidR="00917B5D" w:rsidRPr="00553543" w:rsidRDefault="00917B5D" w:rsidP="00935A49">
      <w:pPr>
        <w:pStyle w:val="Heading4"/>
        <w:spacing w:before="0" w:line="240" w:lineRule="auto"/>
        <w:rPr>
          <w:rFonts w:ascii="Cambria" w:eastAsia="Calibri" w:hAnsi="Cambria" w:cs="Times New Roman"/>
          <w:i w:val="0"/>
          <w:iCs w:val="0"/>
          <w:color w:val="4F81BD"/>
          <w:sz w:val="28"/>
          <w:szCs w:val="26"/>
        </w:rPr>
      </w:pPr>
      <w:r w:rsidRPr="00553543">
        <w:rPr>
          <w:rFonts w:ascii="Cambria" w:eastAsia="Calibri" w:hAnsi="Cambria" w:cs="Times New Roman"/>
          <w:i w:val="0"/>
          <w:iCs w:val="0"/>
          <w:color w:val="4F81BD"/>
          <w:sz w:val="28"/>
          <w:szCs w:val="26"/>
        </w:rPr>
        <w:t>Trends over time and how we might identify them</w:t>
      </w:r>
    </w:p>
    <w:p w:rsidR="00553543" w:rsidRDefault="00553543" w:rsidP="00935A49">
      <w:pPr>
        <w:spacing w:after="0" w:line="240" w:lineRule="auto"/>
        <w:rPr>
          <w:rFonts w:eastAsiaTheme="majorEastAsia" w:cstheme="majorBidi"/>
          <w:bCs/>
          <w:lang w:val="en-SG"/>
        </w:rPr>
      </w:pPr>
    </w:p>
    <w:p w:rsidR="00917B5D" w:rsidRPr="00423FCC" w:rsidRDefault="00917B5D" w:rsidP="00935A49">
      <w:pPr>
        <w:spacing w:after="0" w:line="240" w:lineRule="auto"/>
        <w:rPr>
          <w:rFonts w:eastAsiaTheme="majorEastAsia" w:cstheme="majorBidi"/>
          <w:bCs/>
          <w:lang w:val="en-SG"/>
        </w:rPr>
      </w:pPr>
      <w:r w:rsidRPr="00423FCC">
        <w:rPr>
          <w:rFonts w:eastAsiaTheme="majorEastAsia" w:cstheme="majorBidi"/>
          <w:bCs/>
          <w:lang w:val="en-SG"/>
        </w:rPr>
        <w:t xml:space="preserve">It will be easier to identify trends in aid transparency as the </w:t>
      </w:r>
      <w:r w:rsidR="00941D4C">
        <w:rPr>
          <w:rFonts w:eastAsiaTheme="majorEastAsia" w:cstheme="majorBidi"/>
          <w:bCs/>
          <w:lang w:val="en-SG"/>
        </w:rPr>
        <w:t>Index</w:t>
      </w:r>
      <w:r w:rsidRPr="00423FCC">
        <w:rPr>
          <w:rFonts w:eastAsiaTheme="majorEastAsia" w:cstheme="majorBidi"/>
          <w:bCs/>
          <w:lang w:val="en-SG"/>
        </w:rPr>
        <w:t xml:space="preserve"> generates additional annual data.</w:t>
      </w:r>
      <w:r w:rsidR="00643E95">
        <w:rPr>
          <w:rFonts w:eastAsiaTheme="majorEastAsia" w:cstheme="majorBidi"/>
          <w:bCs/>
          <w:lang w:val="en-SG"/>
        </w:rPr>
        <w:t xml:space="preserve"> </w:t>
      </w:r>
      <w:r w:rsidRPr="00423FCC">
        <w:rPr>
          <w:rFonts w:eastAsiaTheme="majorEastAsia" w:cstheme="majorBidi"/>
          <w:bCs/>
          <w:lang w:val="en-SG"/>
        </w:rPr>
        <w:t xml:space="preserve">It </w:t>
      </w:r>
      <w:r w:rsidR="004F6860">
        <w:rPr>
          <w:rFonts w:eastAsiaTheme="majorEastAsia" w:cstheme="majorBidi"/>
          <w:bCs/>
          <w:lang w:val="en-SG"/>
        </w:rPr>
        <w:t>is already possible to start identifying</w:t>
      </w:r>
      <w:r w:rsidR="00F53AEA">
        <w:rPr>
          <w:rFonts w:eastAsiaTheme="majorEastAsia" w:cstheme="majorBidi"/>
          <w:bCs/>
          <w:lang w:val="en-SG"/>
        </w:rPr>
        <w:t>:</w:t>
      </w:r>
      <w:r w:rsidRPr="00423FCC">
        <w:rPr>
          <w:rFonts w:eastAsiaTheme="majorEastAsia" w:cstheme="majorBidi"/>
          <w:bCs/>
          <w:lang w:val="en-SG"/>
        </w:rPr>
        <w:t xml:space="preserve"> </w:t>
      </w:r>
    </w:p>
    <w:p w:rsidR="00917B5D" w:rsidRPr="00423FCC" w:rsidRDefault="00917B5D" w:rsidP="00935A49">
      <w:pPr>
        <w:numPr>
          <w:ilvl w:val="0"/>
          <w:numId w:val="16"/>
        </w:numPr>
        <w:spacing w:after="0" w:line="240" w:lineRule="auto"/>
        <w:rPr>
          <w:rFonts w:eastAsiaTheme="majorEastAsia" w:cstheme="majorBidi"/>
          <w:bCs/>
          <w:lang w:val="en-SG"/>
        </w:rPr>
      </w:pPr>
      <w:r w:rsidRPr="00423FCC">
        <w:rPr>
          <w:rFonts w:eastAsiaTheme="majorEastAsia" w:cstheme="majorBidi"/>
          <w:bCs/>
          <w:lang w:val="en-SG"/>
        </w:rPr>
        <w:t>Whether there are general increases in aid transparency</w:t>
      </w:r>
    </w:p>
    <w:p w:rsidR="00917B5D" w:rsidRPr="00423FCC" w:rsidRDefault="00917B5D" w:rsidP="00935A49">
      <w:pPr>
        <w:numPr>
          <w:ilvl w:val="0"/>
          <w:numId w:val="16"/>
        </w:numPr>
        <w:spacing w:after="0" w:line="240" w:lineRule="auto"/>
        <w:rPr>
          <w:rFonts w:eastAsiaTheme="majorEastAsia" w:cstheme="majorBidi"/>
          <w:bCs/>
          <w:lang w:val="en-SG"/>
        </w:rPr>
      </w:pPr>
      <w:r w:rsidRPr="00423FCC">
        <w:rPr>
          <w:rFonts w:eastAsiaTheme="majorEastAsia" w:cstheme="majorBidi"/>
          <w:bCs/>
          <w:lang w:val="en-SG"/>
        </w:rPr>
        <w:t xml:space="preserve">Whether more donors are publishing </w:t>
      </w:r>
      <w:r w:rsidR="004F6860">
        <w:rPr>
          <w:rFonts w:eastAsiaTheme="majorEastAsia" w:cstheme="majorBidi"/>
          <w:bCs/>
          <w:lang w:val="en-SG"/>
        </w:rPr>
        <w:t>in</w:t>
      </w:r>
      <w:r w:rsidRPr="00423FCC">
        <w:rPr>
          <w:rFonts w:eastAsiaTheme="majorEastAsia" w:cstheme="majorBidi"/>
          <w:bCs/>
          <w:lang w:val="en-SG"/>
        </w:rPr>
        <w:t xml:space="preserve"> more accessible </w:t>
      </w:r>
      <w:r w:rsidR="004F6860">
        <w:rPr>
          <w:rFonts w:eastAsiaTheme="majorEastAsia" w:cstheme="majorBidi"/>
          <w:bCs/>
          <w:lang w:val="en-SG"/>
        </w:rPr>
        <w:t xml:space="preserve">data </w:t>
      </w:r>
      <w:r w:rsidRPr="00423FCC">
        <w:rPr>
          <w:rFonts w:eastAsiaTheme="majorEastAsia" w:cstheme="majorBidi"/>
          <w:bCs/>
          <w:lang w:val="en-SG"/>
        </w:rPr>
        <w:t xml:space="preserve">formats </w:t>
      </w:r>
    </w:p>
    <w:p w:rsidR="00917B5D" w:rsidRPr="00423FCC" w:rsidRDefault="00917B5D" w:rsidP="00935A49">
      <w:pPr>
        <w:numPr>
          <w:ilvl w:val="0"/>
          <w:numId w:val="16"/>
        </w:numPr>
        <w:spacing w:after="0" w:line="240" w:lineRule="auto"/>
        <w:rPr>
          <w:rFonts w:eastAsiaTheme="majorEastAsia" w:cstheme="majorBidi"/>
          <w:bCs/>
          <w:lang w:val="en-SG"/>
        </w:rPr>
      </w:pPr>
      <w:r w:rsidRPr="00423FCC">
        <w:rPr>
          <w:rFonts w:eastAsiaTheme="majorEastAsia" w:cstheme="majorBidi"/>
          <w:bCs/>
          <w:lang w:val="en-SG"/>
        </w:rPr>
        <w:t>Whether more information is being published to IATI, and what types</w:t>
      </w:r>
    </w:p>
    <w:p w:rsidR="00917B5D" w:rsidRPr="00423FCC" w:rsidRDefault="00917B5D" w:rsidP="00935A49">
      <w:pPr>
        <w:numPr>
          <w:ilvl w:val="0"/>
          <w:numId w:val="16"/>
        </w:numPr>
        <w:spacing w:after="0" w:line="240" w:lineRule="auto"/>
        <w:rPr>
          <w:rFonts w:eastAsiaTheme="majorEastAsia" w:cstheme="majorBidi"/>
          <w:bCs/>
          <w:lang w:val="en-SG"/>
        </w:rPr>
      </w:pPr>
      <w:r w:rsidRPr="00423FCC">
        <w:rPr>
          <w:rFonts w:eastAsiaTheme="majorEastAsia" w:cstheme="majorBidi"/>
          <w:bCs/>
          <w:lang w:val="en-SG"/>
        </w:rPr>
        <w:t>Whether the quality of data published to IATI is improving</w:t>
      </w:r>
    </w:p>
    <w:p w:rsidR="000445AB" w:rsidRDefault="000445AB" w:rsidP="00935A49">
      <w:pPr>
        <w:pStyle w:val="Heading1"/>
        <w:numPr>
          <w:ilvl w:val="0"/>
          <w:numId w:val="18"/>
        </w:numPr>
        <w:pBdr>
          <w:bottom w:val="single" w:sz="4" w:space="1" w:color="auto"/>
        </w:pBdr>
        <w:spacing w:before="0" w:line="240" w:lineRule="auto"/>
        <w:rPr>
          <w:sz w:val="36"/>
        </w:rPr>
        <w:sectPr w:rsidR="000445AB" w:rsidSect="002B2AC5">
          <w:pgSz w:w="16838" w:h="11906" w:orient="landscape"/>
          <w:pgMar w:top="1021" w:right="1021" w:bottom="1021" w:left="1021" w:header="709" w:footer="709" w:gutter="0"/>
          <w:cols w:space="708"/>
          <w:docGrid w:linePitch="360"/>
        </w:sectPr>
      </w:pPr>
    </w:p>
    <w:p w:rsidR="004E04F7" w:rsidRPr="00394D03" w:rsidRDefault="00284A8F" w:rsidP="00394D03">
      <w:pPr>
        <w:pStyle w:val="Heading1"/>
        <w:pBdr>
          <w:bottom w:val="single" w:sz="4" w:space="1" w:color="auto"/>
        </w:pBdr>
        <w:spacing w:before="0" w:line="240" w:lineRule="auto"/>
        <w:rPr>
          <w:sz w:val="36"/>
        </w:rPr>
      </w:pPr>
      <w:bookmarkStart w:id="17" w:name="_Toc399168591"/>
      <w:r w:rsidRPr="00394D03">
        <w:rPr>
          <w:sz w:val="36"/>
        </w:rPr>
        <w:lastRenderedPageBreak/>
        <w:t xml:space="preserve">Section 6. </w:t>
      </w:r>
      <w:r w:rsidR="004E04F7" w:rsidRPr="00394D03">
        <w:rPr>
          <w:sz w:val="36"/>
        </w:rPr>
        <w:t>Challenges, limitations and lessons learn</w:t>
      </w:r>
      <w:r w:rsidR="00C2647F">
        <w:rPr>
          <w:sz w:val="36"/>
        </w:rPr>
        <w:t>t</w:t>
      </w:r>
      <w:bookmarkEnd w:id="17"/>
    </w:p>
    <w:p w:rsidR="004E04F7" w:rsidRPr="005F2562" w:rsidRDefault="004E04F7" w:rsidP="00EF3BF3">
      <w:pPr>
        <w:spacing w:after="0" w:line="240" w:lineRule="auto"/>
      </w:pPr>
    </w:p>
    <w:p w:rsidR="004E04F7" w:rsidRDefault="004E04F7" w:rsidP="00EF3BF3">
      <w:pPr>
        <w:spacing w:after="0" w:line="240" w:lineRule="auto"/>
      </w:pPr>
      <w:r>
        <w:t xml:space="preserve">The methodology for the </w:t>
      </w:r>
      <w:r w:rsidR="00D073A9">
        <w:t>ATI has been developed in close consultation with development experts</w:t>
      </w:r>
      <w:r>
        <w:t>, taking into consideration the challenges and limitations faced in previous years and any lessons learn</w:t>
      </w:r>
      <w:r w:rsidR="007C2472">
        <w:t>t</w:t>
      </w:r>
      <w:r>
        <w:t>. The following issues remain:</w:t>
      </w:r>
    </w:p>
    <w:p w:rsidR="00EF3BF3" w:rsidRPr="003A7FC0" w:rsidRDefault="00EF3BF3" w:rsidP="00EF3BF3">
      <w:pPr>
        <w:spacing w:after="0" w:line="240" w:lineRule="auto"/>
        <w:rPr>
          <w:rStyle w:val="IntenseEmphasis"/>
          <w:i w:val="0"/>
          <w:iCs w:val="0"/>
        </w:rPr>
      </w:pPr>
    </w:p>
    <w:p w:rsidR="004E04F7" w:rsidRPr="00D47D76" w:rsidRDefault="004E04F7" w:rsidP="004E04F7">
      <w:pPr>
        <w:pStyle w:val="Heading4"/>
        <w:spacing w:before="0" w:line="240" w:lineRule="auto"/>
        <w:rPr>
          <w:rFonts w:ascii="Cambria" w:eastAsia="Calibri" w:hAnsi="Cambria" w:cs="Times New Roman"/>
          <w:i w:val="0"/>
          <w:iCs w:val="0"/>
          <w:color w:val="4F81BD"/>
          <w:sz w:val="28"/>
          <w:szCs w:val="26"/>
        </w:rPr>
      </w:pPr>
      <w:r>
        <w:rPr>
          <w:rFonts w:ascii="Cambria" w:eastAsia="Calibri" w:hAnsi="Cambria" w:cs="Times New Roman"/>
          <w:i w:val="0"/>
          <w:iCs w:val="0"/>
          <w:color w:val="4F81BD"/>
          <w:sz w:val="28"/>
          <w:szCs w:val="26"/>
        </w:rPr>
        <w:t xml:space="preserve">Coverage </w:t>
      </w:r>
    </w:p>
    <w:p w:rsidR="009937B8" w:rsidRDefault="009937B8" w:rsidP="009937B8">
      <w:pPr>
        <w:spacing w:after="0" w:line="240" w:lineRule="auto"/>
      </w:pPr>
    </w:p>
    <w:p w:rsidR="00CC3BE0" w:rsidRDefault="004E04F7" w:rsidP="009937B8">
      <w:pPr>
        <w:spacing w:after="0" w:line="240" w:lineRule="auto"/>
      </w:pPr>
      <w:r>
        <w:t>Although the 201</w:t>
      </w:r>
      <w:r w:rsidR="00D073A9">
        <w:t>4</w:t>
      </w:r>
      <w:r>
        <w:t xml:space="preserve"> </w:t>
      </w:r>
      <w:r w:rsidR="00D073A9">
        <w:t>ATI assesses</w:t>
      </w:r>
      <w:r>
        <w:t xml:space="preserve"> 6</w:t>
      </w:r>
      <w:r w:rsidR="00D073A9">
        <w:t>8</w:t>
      </w:r>
      <w:r>
        <w:t xml:space="preserve"> </w:t>
      </w:r>
      <w:r w:rsidR="009937B8">
        <w:t>organisations</w:t>
      </w:r>
      <w:r w:rsidRPr="00C11028">
        <w:t xml:space="preserve">, the coverage of </w:t>
      </w:r>
      <w:r w:rsidR="009937B8">
        <w:t>aid providers</w:t>
      </w:r>
      <w:r w:rsidRPr="00C11028">
        <w:t xml:space="preserve"> is by no means comprehensive. </w:t>
      </w:r>
      <w:r w:rsidR="009937B8">
        <w:t xml:space="preserve">Ideally, we would like to assess and rank all aid providers spending over USD 1 bn per annum, including countries or organisations with a total spend of USD 1 bn that is delivered by multiple agencies. For example, we would like </w:t>
      </w:r>
      <w:r w:rsidR="00BF18B3">
        <w:t>to increase our coverage of</w:t>
      </w:r>
      <w:r w:rsidR="00CC3BE0">
        <w:t xml:space="preserve"> UN </w:t>
      </w:r>
      <w:r w:rsidR="005F3735">
        <w:t xml:space="preserve">agencies </w:t>
      </w:r>
      <w:r w:rsidR="00BF18B3" w:rsidRPr="00D95B62">
        <w:t>and U.S.</w:t>
      </w:r>
      <w:r w:rsidR="009937B8" w:rsidRPr="00D95B62">
        <w:t xml:space="preserve"> </w:t>
      </w:r>
      <w:r w:rsidR="005F3735" w:rsidRPr="00D95B62">
        <w:t xml:space="preserve">government </w:t>
      </w:r>
      <w:r w:rsidR="009937B8" w:rsidRPr="00D95B62">
        <w:t>agencies and programmes that</w:t>
      </w:r>
      <w:r w:rsidR="009937B8" w:rsidRPr="00491ED6">
        <w:t xml:space="preserve"> deliver foreign assistance.</w:t>
      </w:r>
      <w:r w:rsidR="00643E95">
        <w:t xml:space="preserve"> </w:t>
      </w:r>
    </w:p>
    <w:p w:rsidR="00CC3BE0" w:rsidRDefault="00CC3BE0" w:rsidP="009937B8">
      <w:pPr>
        <w:spacing w:after="0" w:line="240" w:lineRule="auto"/>
      </w:pPr>
    </w:p>
    <w:p w:rsidR="004E04F7" w:rsidRDefault="004E04F7" w:rsidP="009937B8">
      <w:pPr>
        <w:spacing w:after="0" w:line="240" w:lineRule="auto"/>
      </w:pPr>
      <w:r w:rsidRPr="00C11028">
        <w:t xml:space="preserve">A significant constraint is capacity </w:t>
      </w:r>
      <w:r>
        <w:t>within</w:t>
      </w:r>
      <w:r w:rsidRPr="00C11028">
        <w:t xml:space="preserve"> Publish What You Fund </w:t>
      </w:r>
      <w:r w:rsidR="00CC3BE0">
        <w:t xml:space="preserve">to collect, verify and assess large amounts of primary data </w:t>
      </w:r>
      <w:r w:rsidRPr="00C11028">
        <w:t xml:space="preserve">and finding </w:t>
      </w:r>
      <w:r>
        <w:t xml:space="preserve">organisations or individuals </w:t>
      </w:r>
      <w:r w:rsidRPr="00C11028">
        <w:t xml:space="preserve">with the required time and capacity to </w:t>
      </w:r>
      <w:r>
        <w:t>independently review</w:t>
      </w:r>
      <w:r w:rsidRPr="00C11028">
        <w:t xml:space="preserve"> the surveys. </w:t>
      </w:r>
      <w:r>
        <w:t>We have tried to address the issue of coverage by including more than one agency for large donors with multiple agencies delivering ODA (</w:t>
      </w:r>
      <w:r w:rsidR="00CC3BE0">
        <w:t>for example, the EC</w:t>
      </w:r>
      <w:r>
        <w:t>, France, Germany, Japan, UK, U.S. and UN).</w:t>
      </w:r>
      <w:r w:rsidRPr="00C11028">
        <w:t xml:space="preserve"> The dataset, methodology and data collection platform are open and free for others to use. We encourage other organisations and researchers to further expand this coverage and focus on donors, sectors or countries that they are particularly interested in; for example, all donors operating in fragile states or all donors providing funding to the </w:t>
      </w:r>
      <w:r w:rsidR="00CC3BE0">
        <w:t>health</w:t>
      </w:r>
      <w:r w:rsidRPr="00C11028">
        <w:t xml:space="preserve"> sector</w:t>
      </w:r>
      <w:r>
        <w:t xml:space="preserve"> or climate finance. We welcome opportunities to discuss how the </w:t>
      </w:r>
      <w:r w:rsidR="00D073A9">
        <w:t>ATI</w:t>
      </w:r>
      <w:r>
        <w:t xml:space="preserve"> methodology can be useful for other organisations’ research projects and ideas for potential collaboration. </w:t>
      </w:r>
    </w:p>
    <w:p w:rsidR="00CC3BE0" w:rsidRDefault="00CC3BE0" w:rsidP="009937B8">
      <w:pPr>
        <w:spacing w:after="0" w:line="240" w:lineRule="auto"/>
      </w:pPr>
    </w:p>
    <w:p w:rsidR="004E04F7" w:rsidRPr="00C428DA" w:rsidRDefault="004E04F7" w:rsidP="00C428DA">
      <w:pPr>
        <w:pStyle w:val="ListBullet"/>
        <w:numPr>
          <w:ilvl w:val="0"/>
          <w:numId w:val="0"/>
        </w:numPr>
        <w:spacing w:after="0" w:line="240" w:lineRule="auto"/>
        <w:rPr>
          <w:rFonts w:ascii="Cambria" w:eastAsiaTheme="majorEastAsia" w:hAnsi="Cambria" w:cstheme="majorBidi"/>
          <w:b/>
          <w:bCs/>
          <w:iCs/>
          <w:color w:val="4F81BD" w:themeColor="accent1"/>
          <w:lang w:val="en-GB" w:eastAsia="en-US" w:bidi="en-US"/>
        </w:rPr>
      </w:pPr>
      <w:r w:rsidRPr="00C428DA">
        <w:rPr>
          <w:rFonts w:ascii="Cambria" w:eastAsiaTheme="majorEastAsia" w:hAnsi="Cambria" w:cstheme="majorBidi"/>
          <w:b/>
          <w:bCs/>
          <w:iCs/>
          <w:color w:val="4F81BD" w:themeColor="accent1"/>
          <w:lang w:val="en-GB" w:eastAsia="en-US" w:bidi="en-US"/>
        </w:rPr>
        <w:t>Representative nature of an organisation</w:t>
      </w:r>
    </w:p>
    <w:p w:rsidR="004E04F7" w:rsidRDefault="004E04F7" w:rsidP="009937B8">
      <w:pPr>
        <w:spacing w:after="0" w:line="240" w:lineRule="auto"/>
      </w:pPr>
      <w:r>
        <w:t xml:space="preserve">The </w:t>
      </w:r>
      <w:r w:rsidR="00D073A9">
        <w:t>ATI</w:t>
      </w:r>
      <w:r>
        <w:t xml:space="preserve"> covers lead agencies of different donor countries or groups. </w:t>
      </w:r>
      <w:r w:rsidR="00893194" w:rsidRPr="00C11028">
        <w:t xml:space="preserve">We received feedback from some donors that we should not be considering agencies separately, but should rather consider that donor </w:t>
      </w:r>
      <w:r w:rsidR="00D073A9">
        <w:t xml:space="preserve">organisation </w:t>
      </w:r>
      <w:r w:rsidR="00893194" w:rsidRPr="00C11028">
        <w:t xml:space="preserve">as a whole. We opted to maintain the disaggregation of agencies </w:t>
      </w:r>
      <w:r w:rsidR="00893194">
        <w:t>in 201</w:t>
      </w:r>
      <w:r w:rsidR="00D073A9">
        <w:t>4</w:t>
      </w:r>
      <w:r w:rsidR="00893194">
        <w:t>.</w:t>
      </w:r>
      <w:r w:rsidR="00893194">
        <w:rPr>
          <w:rStyle w:val="FootnoteReference"/>
        </w:rPr>
        <w:footnoteReference w:id="19"/>
      </w:r>
      <w:r w:rsidR="00893194">
        <w:t xml:space="preserve"> </w:t>
      </w:r>
      <w:r w:rsidR="00D95B62">
        <w:t>As a result</w:t>
      </w:r>
      <w:r>
        <w:t xml:space="preserve"> the </w:t>
      </w:r>
      <w:r w:rsidR="00D073A9">
        <w:t>ATI</w:t>
      </w:r>
      <w:r>
        <w:t xml:space="preserve"> reflect</w:t>
      </w:r>
      <w:r w:rsidR="00D073A9">
        <w:t>s</w:t>
      </w:r>
      <w:r>
        <w:t xml:space="preserve"> the transparency of only those organisations that have been assessed.</w:t>
      </w:r>
      <w:r w:rsidRPr="00C11028">
        <w:t xml:space="preserve"> These results </w:t>
      </w:r>
      <w:r>
        <w:t>are</w:t>
      </w:r>
      <w:r w:rsidRPr="00C11028">
        <w:t xml:space="preserve"> not a particularly good proxy for the whole of the donor’s aid </w:t>
      </w:r>
      <w:r>
        <w:t xml:space="preserve">transparency. Consequently the </w:t>
      </w:r>
      <w:r w:rsidRPr="00C11028">
        <w:t>agency or organisation</w:t>
      </w:r>
      <w:r>
        <w:t xml:space="preserve"> under assessment</w:t>
      </w:r>
      <w:r w:rsidRPr="00C11028">
        <w:t xml:space="preserve"> is always specified. The ranking is also made on the basis of agencies rather than countries.</w:t>
      </w:r>
      <w:r w:rsidR="00643E95">
        <w:t xml:space="preserve"> </w:t>
      </w:r>
      <w:r>
        <w:t xml:space="preserve">We have attempted to address this challenge to some extent by including multiple agencies for large donors with multiple agencies delivering significant amounts of ODA. </w:t>
      </w:r>
    </w:p>
    <w:p w:rsidR="00CC3BE0" w:rsidRDefault="00CC3BE0" w:rsidP="009937B8">
      <w:pPr>
        <w:spacing w:after="0" w:line="240" w:lineRule="auto"/>
      </w:pPr>
    </w:p>
    <w:p w:rsidR="004E04F7" w:rsidRPr="00C428DA" w:rsidRDefault="004E04F7" w:rsidP="00C428DA">
      <w:pPr>
        <w:pStyle w:val="ListBullet"/>
        <w:numPr>
          <w:ilvl w:val="0"/>
          <w:numId w:val="0"/>
        </w:numPr>
        <w:spacing w:after="0" w:line="240" w:lineRule="auto"/>
        <w:rPr>
          <w:rFonts w:ascii="Cambria" w:eastAsiaTheme="majorEastAsia" w:hAnsi="Cambria" w:cstheme="majorBidi"/>
          <w:b/>
          <w:bCs/>
          <w:iCs/>
          <w:color w:val="4F81BD" w:themeColor="accent1"/>
          <w:lang w:val="en-GB" w:eastAsia="en-US" w:bidi="en-US"/>
        </w:rPr>
      </w:pPr>
      <w:r w:rsidRPr="00C428DA">
        <w:rPr>
          <w:rFonts w:ascii="Cambria" w:eastAsiaTheme="majorEastAsia" w:hAnsi="Cambria" w:cstheme="majorBidi"/>
          <w:b/>
          <w:bCs/>
          <w:iCs/>
          <w:color w:val="4F81BD" w:themeColor="accent1"/>
          <w:lang w:val="en-GB" w:eastAsia="en-US" w:bidi="en-US"/>
        </w:rPr>
        <w:t>Exemptions</w:t>
      </w:r>
    </w:p>
    <w:p w:rsidR="004E04F7" w:rsidRDefault="004E04F7" w:rsidP="009937B8">
      <w:pPr>
        <w:spacing w:after="0" w:line="240" w:lineRule="auto"/>
      </w:pPr>
      <w:r>
        <w:t xml:space="preserve">Exemptions are not addressed in </w:t>
      </w:r>
      <w:r w:rsidR="00D073A9">
        <w:t>the ATI</w:t>
      </w:r>
      <w:r>
        <w:t>. We recognise that there are often legitimate reasons for excluding specific information items (or sometimes entire projects) from publication where publishing such information may cause harm.</w:t>
      </w:r>
      <w:r w:rsidR="00643E95">
        <w:t xml:space="preserve"> </w:t>
      </w:r>
      <w:r>
        <w:t>However, we do not accept that certain organisations should not be measured for certain indicators; rather all organisations covered by th</w:t>
      </w:r>
      <w:r w:rsidR="00D073A9">
        <w:t>e ATI</w:t>
      </w:r>
      <w:r>
        <w:t xml:space="preserve"> should publish to all indicators with exclusions or redactions as necessary. The principle we have adopted is that exclusions should be transparently stated, and should be at a low enough level to allow </w:t>
      </w:r>
      <w:r w:rsidR="00893194">
        <w:t>them</w:t>
      </w:r>
      <w:r>
        <w:t xml:space="preserve"> to be challenged where they do not appear to be warranted, while at the same time ensuring the purpose of legitimate exclusions is not compromised.</w:t>
      </w:r>
      <w:r w:rsidR="00643E95">
        <w:t xml:space="preserve"> </w:t>
      </w:r>
      <w:r>
        <w:t xml:space="preserve">For instance, if contracts contain commercially sensitive </w:t>
      </w:r>
      <w:r>
        <w:lastRenderedPageBreak/>
        <w:t>information, we would still expect the contract to be published with redactions and the reasons for those redactions</w:t>
      </w:r>
      <w:r w:rsidR="00E2354D">
        <w:t>, including why publishing the information will cause material and direct harm</w:t>
      </w:r>
      <w:r w:rsidR="00640364">
        <w:t>.</w:t>
      </w:r>
    </w:p>
    <w:p w:rsidR="00E2354D" w:rsidRDefault="00E2354D" w:rsidP="009937B8">
      <w:pPr>
        <w:spacing w:after="0" w:line="240" w:lineRule="auto"/>
      </w:pPr>
    </w:p>
    <w:p w:rsidR="004E04F7" w:rsidRDefault="004E04F7" w:rsidP="009937B8">
      <w:pPr>
        <w:spacing w:after="0" w:line="240" w:lineRule="auto"/>
      </w:pPr>
      <w:r w:rsidRPr="00DB0D42">
        <w:t>The IATI standard allows for exemptions as long as the reasons for exemptions are stated in an exclusions policy document. However, stating exemptions for specific projects is currently not possible within the existing standard. We will work with donors to propose an extension to address the issue of project-specific exemptions in a future upgrade of the IATI standard.</w:t>
      </w:r>
    </w:p>
    <w:p w:rsidR="004E04F7" w:rsidRDefault="004E04F7" w:rsidP="004E04F7">
      <w:pPr>
        <w:keepNext/>
        <w:keepLines/>
        <w:spacing w:after="0" w:line="240" w:lineRule="auto"/>
        <w:outlineLvl w:val="3"/>
        <w:rPr>
          <w:rFonts w:ascii="Calibri" w:eastAsia="Times New Roman" w:hAnsi="Calibri" w:cs="Times New Roman"/>
          <w:b/>
          <w:bCs/>
          <w:iCs/>
          <w:color w:val="4F81BD"/>
        </w:rPr>
      </w:pPr>
    </w:p>
    <w:p w:rsidR="002B748F" w:rsidRDefault="002B748F" w:rsidP="002B748F">
      <w:pPr>
        <w:pStyle w:val="Heading4"/>
        <w:spacing w:before="0" w:line="240" w:lineRule="auto"/>
        <w:rPr>
          <w:rFonts w:ascii="Cambria" w:eastAsia="Calibri" w:hAnsi="Cambria" w:cs="Times New Roman"/>
          <w:i w:val="0"/>
          <w:iCs w:val="0"/>
          <w:color w:val="4F81BD"/>
          <w:sz w:val="28"/>
          <w:szCs w:val="26"/>
        </w:rPr>
      </w:pPr>
      <w:r>
        <w:rPr>
          <w:rFonts w:ascii="Cambria" w:eastAsia="Calibri" w:hAnsi="Cambria" w:cs="Times New Roman"/>
          <w:i w:val="0"/>
          <w:iCs w:val="0"/>
          <w:color w:val="4F81BD"/>
          <w:sz w:val="28"/>
          <w:szCs w:val="26"/>
        </w:rPr>
        <w:t xml:space="preserve">Scoring all organisations on all indicators </w:t>
      </w:r>
    </w:p>
    <w:p w:rsidR="00556826" w:rsidRPr="00556826" w:rsidRDefault="00556826" w:rsidP="00556826">
      <w:pPr>
        <w:spacing w:after="0" w:line="240" w:lineRule="auto"/>
      </w:pPr>
    </w:p>
    <w:p w:rsidR="002B748F" w:rsidRPr="00556826" w:rsidRDefault="002B748F" w:rsidP="00556826">
      <w:pPr>
        <w:spacing w:after="0" w:line="240" w:lineRule="auto"/>
      </w:pPr>
      <w:r w:rsidRPr="00556826">
        <w:t xml:space="preserve">As in previous years, all organisations are scored on all indicators and ranked accordingly. All 68 organisations – bilateral agencies, IFIs, multilateral institutions – are worth assessing together as they are influential providers with an explicit development or poverty reduction mandate, mostly represent official external financing and all have an impact on recipient countries and actors. They are, therefore, held to a common set of standards, within or without “official development assistance” flows. Not all donors have or collect all the information that we are looking for and so they cannot make it available. </w:t>
      </w:r>
    </w:p>
    <w:p w:rsidR="002B748F" w:rsidRPr="00556826" w:rsidRDefault="002B748F" w:rsidP="00556826">
      <w:pPr>
        <w:spacing w:after="0" w:line="240" w:lineRule="auto"/>
      </w:pPr>
    </w:p>
    <w:p w:rsidR="002B748F" w:rsidRPr="00556826" w:rsidRDefault="002B748F" w:rsidP="00556826">
      <w:pPr>
        <w:spacing w:after="0" w:line="240" w:lineRule="auto"/>
      </w:pPr>
      <w:r w:rsidRPr="00556826">
        <w:t xml:space="preserve">We recognise that not all the indicators used in the ATI are a direct fit with an organisation’s particular modus operandi. To address this, the scoring guidelines for certain indicators have been amended to accept equivalent documents or information. Annex 1 lists the equivalent documents that are considered to serve similar purposes to those set out for each indicator and therefore accepted for scoring responses. </w:t>
      </w:r>
    </w:p>
    <w:p w:rsidR="002B748F" w:rsidRPr="00556826" w:rsidRDefault="002B748F" w:rsidP="00556826">
      <w:pPr>
        <w:spacing w:after="0" w:line="240" w:lineRule="auto"/>
        <w:rPr>
          <w:rFonts w:eastAsia="Calibri"/>
        </w:rPr>
      </w:pPr>
    </w:p>
    <w:p w:rsidR="004E04F7" w:rsidRDefault="004E04F7" w:rsidP="004E04F7">
      <w:pPr>
        <w:pStyle w:val="Heading4"/>
        <w:spacing w:before="0" w:line="240" w:lineRule="auto"/>
        <w:rPr>
          <w:rFonts w:ascii="Cambria" w:eastAsia="Calibri" w:hAnsi="Cambria" w:cs="Times New Roman"/>
          <w:i w:val="0"/>
          <w:iCs w:val="0"/>
          <w:color w:val="4F81BD"/>
          <w:sz w:val="28"/>
          <w:szCs w:val="26"/>
        </w:rPr>
      </w:pPr>
      <w:r w:rsidRPr="00C2060A">
        <w:rPr>
          <w:rFonts w:ascii="Cambria" w:eastAsia="Calibri" w:hAnsi="Cambria" w:cs="Times New Roman"/>
          <w:i w:val="0"/>
          <w:iCs w:val="0"/>
          <w:color w:val="4F81BD"/>
          <w:sz w:val="28"/>
          <w:szCs w:val="26"/>
        </w:rPr>
        <w:t>Difficult indicators</w:t>
      </w:r>
    </w:p>
    <w:p w:rsidR="00556826" w:rsidRDefault="00556826" w:rsidP="007257DB">
      <w:pPr>
        <w:spacing w:after="0" w:line="240" w:lineRule="auto"/>
      </w:pPr>
    </w:p>
    <w:p w:rsidR="004E04F7" w:rsidRDefault="004E04F7" w:rsidP="007257DB">
      <w:pPr>
        <w:spacing w:after="0" w:line="240" w:lineRule="auto"/>
      </w:pPr>
      <w:r>
        <w:t xml:space="preserve">Some indicators </w:t>
      </w:r>
      <w:r w:rsidR="00D073A9">
        <w:t>are</w:t>
      </w:r>
      <w:r>
        <w:t xml:space="preserve"> subject to particular scrutiny to ensure that we are being fair to all donors in</w:t>
      </w:r>
      <w:r w:rsidR="007257DB">
        <w:t>cluded</w:t>
      </w:r>
      <w:r>
        <w:t xml:space="preserve"> the </w:t>
      </w:r>
      <w:r w:rsidR="00D073A9">
        <w:t>ATI</w:t>
      </w:r>
      <w:r>
        <w:t xml:space="preserve"> and that we are not duplicating any indicators. </w:t>
      </w:r>
    </w:p>
    <w:p w:rsidR="004D2A4C" w:rsidRDefault="004D2A4C" w:rsidP="007257DB">
      <w:pPr>
        <w:spacing w:after="0" w:line="240" w:lineRule="auto"/>
      </w:pPr>
    </w:p>
    <w:p w:rsidR="004E04F7" w:rsidRPr="00C428DA" w:rsidRDefault="004E04F7" w:rsidP="00C428DA">
      <w:pPr>
        <w:pStyle w:val="ListBullet"/>
        <w:numPr>
          <w:ilvl w:val="0"/>
          <w:numId w:val="0"/>
        </w:numPr>
        <w:spacing w:after="0" w:line="240" w:lineRule="auto"/>
        <w:rPr>
          <w:rFonts w:ascii="Cambria" w:eastAsiaTheme="majorEastAsia" w:hAnsi="Cambria" w:cstheme="majorBidi"/>
          <w:b/>
          <w:bCs/>
          <w:iCs/>
          <w:color w:val="4F81BD" w:themeColor="accent1"/>
          <w:lang w:val="en-GB" w:eastAsia="en-US" w:bidi="en-US"/>
        </w:rPr>
      </w:pPr>
      <w:r w:rsidRPr="00C428DA">
        <w:rPr>
          <w:rFonts w:ascii="Cambria" w:eastAsiaTheme="majorEastAsia" w:hAnsi="Cambria" w:cstheme="majorBidi"/>
          <w:b/>
          <w:bCs/>
          <w:iCs/>
          <w:color w:val="4F81BD" w:themeColor="accent1"/>
          <w:lang w:val="en-GB" w:eastAsia="en-US" w:bidi="en-US"/>
        </w:rPr>
        <w:t>Forward budgets</w:t>
      </w:r>
    </w:p>
    <w:p w:rsidR="004D2A4C" w:rsidRDefault="004E04F7" w:rsidP="007257DB">
      <w:pPr>
        <w:spacing w:after="0" w:line="240" w:lineRule="auto"/>
      </w:pPr>
      <w:r>
        <w:t xml:space="preserve">In </w:t>
      </w:r>
      <w:r w:rsidR="00D073A9">
        <w:t>2011 and 2012</w:t>
      </w:r>
      <w:r w:rsidR="007257DB">
        <w:t xml:space="preserve">, </w:t>
      </w:r>
      <w:r>
        <w:t xml:space="preserve">a full three years of forward visibility </w:t>
      </w:r>
      <w:r w:rsidR="007257DB">
        <w:t xml:space="preserve">was required </w:t>
      </w:r>
      <w:r>
        <w:t>in order to score on the total organisation budget and disaggregated budget indicators</w:t>
      </w:r>
      <w:r w:rsidR="00C44AC2">
        <w:t xml:space="preserve"> (indicators 9 and 10)</w:t>
      </w:r>
      <w:r>
        <w:t xml:space="preserve">. </w:t>
      </w:r>
      <w:r w:rsidR="007257DB">
        <w:t xml:space="preserve">This </w:t>
      </w:r>
      <w:r w:rsidR="00D073A9">
        <w:t>w</w:t>
      </w:r>
      <w:r w:rsidR="007257DB">
        <w:t>as amended in 2013 a</w:t>
      </w:r>
      <w:r w:rsidR="00240FD6">
        <w:t>nd is</w:t>
      </w:r>
      <w:r w:rsidR="007257DB">
        <w:t xml:space="preserve"> now</w:t>
      </w:r>
      <w:r>
        <w:t xml:space="preserve"> a graduated score based on the number of years </w:t>
      </w:r>
      <w:r w:rsidR="007257DB" w:rsidRPr="00821C7D">
        <w:t xml:space="preserve">(up to three years) for which organisations are publishing budget information. </w:t>
      </w:r>
      <w:r w:rsidR="007257DB">
        <w:t>This allows</w:t>
      </w:r>
      <w:r>
        <w:t xml:space="preserve"> some credit to donors that publish some forward budget information</w:t>
      </w:r>
      <w:r w:rsidR="007257DB">
        <w:t>, albeit not for the full three years</w:t>
      </w:r>
      <w:r>
        <w:t>.</w:t>
      </w:r>
      <w:r w:rsidRPr="00821C7D">
        <w:t xml:space="preserve"> </w:t>
      </w:r>
    </w:p>
    <w:p w:rsidR="004D2A4C" w:rsidRDefault="004D2A4C" w:rsidP="007257DB">
      <w:pPr>
        <w:spacing w:after="0" w:line="240" w:lineRule="auto"/>
      </w:pPr>
    </w:p>
    <w:p w:rsidR="00D002FD" w:rsidRDefault="004E04F7" w:rsidP="007257DB">
      <w:pPr>
        <w:spacing w:after="0" w:line="240" w:lineRule="auto"/>
        <w:rPr>
          <w:rFonts w:eastAsiaTheme="minorHAnsi"/>
          <w:lang w:bidi="ar-SA"/>
        </w:rPr>
      </w:pPr>
      <w:r w:rsidRPr="00821C7D">
        <w:t>Each year ahead is worth one third of the total possible score for th</w:t>
      </w:r>
      <w:r w:rsidR="007257DB">
        <w:t>e</w:t>
      </w:r>
      <w:r w:rsidRPr="00821C7D">
        <w:t xml:space="preserve"> indicator. </w:t>
      </w:r>
      <w:r>
        <w:t>Aggregate budgets are treated the same as a one year forward looking, i.e. a lump sum budget for 201</w:t>
      </w:r>
      <w:r w:rsidR="00D073A9">
        <w:t>2–2016</w:t>
      </w:r>
      <w:r>
        <w:t xml:space="preserve"> is treated the same as a one year budget for 201</w:t>
      </w:r>
      <w:r w:rsidR="00D073A9">
        <w:t>4</w:t>
      </w:r>
      <w:r>
        <w:t>. If a donor publishes a budget for 201</w:t>
      </w:r>
      <w:r w:rsidR="00D073A9">
        <w:t>4</w:t>
      </w:r>
      <w:r>
        <w:t xml:space="preserve"> and then a lump sum budget for 201</w:t>
      </w:r>
      <w:r w:rsidR="00D073A9">
        <w:t>5</w:t>
      </w:r>
      <w:r>
        <w:t>–201</w:t>
      </w:r>
      <w:r w:rsidR="00D073A9">
        <w:t>6</w:t>
      </w:r>
      <w:r>
        <w:t xml:space="preserve">, then </w:t>
      </w:r>
      <w:r w:rsidR="00C44AC2">
        <w:t>this</w:t>
      </w:r>
      <w:r>
        <w:t xml:space="preserve"> is considered to be two years forward looking. In addition to the number of years, scores are also graduated based on the format in which the information is published. </w:t>
      </w:r>
      <w:r w:rsidRPr="00D1289D">
        <w:t>The final score is then (x/3) for years fo</w:t>
      </w:r>
      <w:r>
        <w:t>rward – and then multiplied by the format score (see details of</w:t>
      </w:r>
      <w:r w:rsidR="004A3C4E">
        <w:t xml:space="preserve"> scoring approach in Section 2)</w:t>
      </w:r>
      <w:r w:rsidRPr="00D1289D">
        <w:rPr>
          <w:rFonts w:eastAsiaTheme="minorHAnsi"/>
          <w:lang w:bidi="ar-SA"/>
        </w:rPr>
        <w:t>. Budgets need to run up to a minimum of December 201</w:t>
      </w:r>
      <w:r w:rsidR="00D073A9">
        <w:rPr>
          <w:rFonts w:eastAsiaTheme="minorHAnsi"/>
          <w:lang w:bidi="ar-SA"/>
        </w:rPr>
        <w:t>6</w:t>
      </w:r>
      <w:r w:rsidRPr="00D1289D">
        <w:rPr>
          <w:rFonts w:eastAsiaTheme="minorHAnsi"/>
          <w:lang w:bidi="ar-SA"/>
        </w:rPr>
        <w:t xml:space="preserve"> to score for 'three years forward'. Organisations at the end of their fixed budget cycles and therefore without a published budget for the next three years do not receive points for this indicator.</w:t>
      </w:r>
    </w:p>
    <w:p w:rsidR="00240FD6" w:rsidRDefault="00240FD6" w:rsidP="007257DB">
      <w:pPr>
        <w:spacing w:after="0" w:line="240" w:lineRule="auto"/>
        <w:rPr>
          <w:rFonts w:eastAsiaTheme="minorHAnsi"/>
          <w:lang w:bidi="ar-SA"/>
        </w:rPr>
      </w:pPr>
    </w:p>
    <w:p w:rsidR="00240FD6" w:rsidRDefault="00C44AC2" w:rsidP="00C44AC2">
      <w:pPr>
        <w:spacing w:after="0" w:line="240" w:lineRule="auto"/>
        <w:rPr>
          <w:rFonts w:cstheme="minorHAnsi"/>
          <w:color w:val="000000"/>
        </w:rPr>
      </w:pPr>
      <w:r w:rsidRPr="00EB274F">
        <w:rPr>
          <w:rFonts w:cstheme="minorHAnsi"/>
          <w:color w:val="000000"/>
        </w:rPr>
        <w:lastRenderedPageBreak/>
        <w:t>Activity budgets (indicator 33) have to be forward-looking and broken down by quarter for the first year ahead to score.</w:t>
      </w:r>
      <w:r>
        <w:rPr>
          <w:rFonts w:cstheme="minorHAnsi"/>
          <w:color w:val="000000"/>
        </w:rPr>
        <w:t xml:space="preserve"> In 2013, information on planned expenditures needed to be broken down by year in order to score for the indicator; the additional requirement in 2014 is to provide a breakdown by quarter for the first year ahead (i.e. until 31</w:t>
      </w:r>
      <w:r w:rsidRPr="00A728F9">
        <w:rPr>
          <w:rFonts w:cstheme="minorHAnsi"/>
          <w:color w:val="000000"/>
          <w:vertAlign w:val="superscript"/>
        </w:rPr>
        <w:t>st</w:t>
      </w:r>
      <w:r>
        <w:rPr>
          <w:rFonts w:cstheme="minorHAnsi"/>
          <w:color w:val="000000"/>
        </w:rPr>
        <w:t xml:space="preserve"> December 2014) or the end of the activity, whichever is sooner.</w:t>
      </w:r>
    </w:p>
    <w:p w:rsidR="004D2A4C" w:rsidRDefault="004D2A4C" w:rsidP="007257DB">
      <w:pPr>
        <w:spacing w:after="0" w:line="240" w:lineRule="auto"/>
      </w:pPr>
    </w:p>
    <w:p w:rsidR="004E04F7" w:rsidRPr="00D002FD" w:rsidRDefault="004E04F7" w:rsidP="007257DB">
      <w:pPr>
        <w:spacing w:after="0" w:line="240" w:lineRule="auto"/>
      </w:pPr>
      <w:r w:rsidRPr="00D1289D">
        <w:rPr>
          <w:rFonts w:eastAsiaTheme="minorHAnsi"/>
          <w:lang w:bidi="ar-SA"/>
        </w:rPr>
        <w:t>IFIs and DFIs do not have budgets allocated to them as traditional aid agencies do. In many cases, total budgets are established annually, once total financial figures of all investments are taken into account. However, they do have projected total spend figures that they sometimes publish. If published, these projected figures are accepted for this indicator.</w:t>
      </w:r>
      <w:r>
        <w:t xml:space="preserve"> </w:t>
      </w:r>
      <w:r w:rsidR="00E2354D">
        <w:t xml:space="preserve">Similarly, indicative figures are accepted where actual figures are not available. </w:t>
      </w:r>
      <w:r>
        <w:t>Thematic</w:t>
      </w:r>
      <w:r w:rsidRPr="00D1289D">
        <w:t xml:space="preserve"> budgets are accepted for </w:t>
      </w:r>
      <w:r>
        <w:t xml:space="preserve">the disaggregated budgets indicator for </w:t>
      </w:r>
      <w:r w:rsidRPr="00D1289D">
        <w:t>organisations that do</w:t>
      </w:r>
      <w:r>
        <w:t xml:space="preserve"> not</w:t>
      </w:r>
      <w:r w:rsidRPr="00D1289D">
        <w:t xml:space="preserve"> organise themselves by countries. Projected figures disaggregated along thematic and sectoral priorities</w:t>
      </w:r>
      <w:r w:rsidR="007257DB">
        <w:t xml:space="preserve">, </w:t>
      </w:r>
      <w:r w:rsidRPr="00D1289D">
        <w:t>at a similar level of detail to their total organisation budgets</w:t>
      </w:r>
      <w:r w:rsidR="007257DB">
        <w:t>,</w:t>
      </w:r>
      <w:r w:rsidRPr="00D1289D">
        <w:t xml:space="preserve"> are accepted. </w:t>
      </w:r>
    </w:p>
    <w:p w:rsidR="004E04F7" w:rsidRDefault="004E04F7" w:rsidP="007257DB">
      <w:pPr>
        <w:keepNext/>
        <w:keepLines/>
        <w:spacing w:after="0" w:line="240" w:lineRule="auto"/>
        <w:outlineLvl w:val="3"/>
        <w:rPr>
          <w:rFonts w:ascii="Calibri" w:eastAsia="Times New Roman" w:hAnsi="Calibri" w:cs="Times New Roman"/>
          <w:b/>
          <w:bCs/>
          <w:iCs/>
          <w:color w:val="4F81BD"/>
        </w:rPr>
      </w:pPr>
    </w:p>
    <w:p w:rsidR="004E04F7" w:rsidRPr="00C428DA" w:rsidRDefault="004E04F7" w:rsidP="00C428DA">
      <w:pPr>
        <w:pStyle w:val="ListBullet"/>
        <w:numPr>
          <w:ilvl w:val="0"/>
          <w:numId w:val="0"/>
        </w:numPr>
        <w:spacing w:after="0" w:line="240" w:lineRule="auto"/>
        <w:rPr>
          <w:rFonts w:ascii="Cambria" w:eastAsiaTheme="majorEastAsia" w:hAnsi="Cambria" w:cstheme="majorBidi"/>
          <w:b/>
          <w:bCs/>
          <w:iCs/>
          <w:color w:val="4F81BD" w:themeColor="accent1"/>
          <w:lang w:val="en-GB" w:eastAsia="en-US" w:bidi="en-US"/>
        </w:rPr>
      </w:pPr>
      <w:r w:rsidRPr="00C428DA">
        <w:rPr>
          <w:rFonts w:ascii="Cambria" w:eastAsiaTheme="majorEastAsia" w:hAnsi="Cambria" w:cstheme="majorBidi"/>
          <w:b/>
          <w:bCs/>
          <w:iCs/>
          <w:color w:val="4F81BD" w:themeColor="accent1"/>
          <w:lang w:val="en-GB" w:eastAsia="en-US" w:bidi="en-US"/>
        </w:rPr>
        <w:t>Implementation schedules</w:t>
      </w:r>
    </w:p>
    <w:p w:rsidR="00C44AC2" w:rsidRDefault="004E04F7" w:rsidP="007257DB">
      <w:pPr>
        <w:spacing w:after="0" w:line="240" w:lineRule="auto"/>
      </w:pPr>
      <w:r w:rsidRPr="001B1752">
        <w:t xml:space="preserve">In </w:t>
      </w:r>
      <w:r w:rsidR="00D073A9">
        <w:t>2011 and 2012</w:t>
      </w:r>
      <w:r w:rsidRPr="001B1752">
        <w:t>, engagement with the International Aid Transparency Initiative was used to measure a</w:t>
      </w:r>
      <w:r w:rsidR="00764D73">
        <w:t>n organisation’s</w:t>
      </w:r>
      <w:r w:rsidRPr="001B1752">
        <w:t xml:space="preserve"> overall commitmen</w:t>
      </w:r>
      <w:r w:rsidR="00764D73">
        <w:t xml:space="preserve">t to aid transparency. </w:t>
      </w:r>
      <w:r w:rsidR="00240FD6">
        <w:t xml:space="preserve">From </w:t>
      </w:r>
      <w:r>
        <w:t>2013</w:t>
      </w:r>
      <w:r w:rsidR="00E2354D">
        <w:t xml:space="preserve"> onwards</w:t>
      </w:r>
      <w:r>
        <w:t xml:space="preserve">, </w:t>
      </w:r>
      <w:r w:rsidRPr="001B1752">
        <w:t>donors’ schedules for implementing the IATI component of the common standard</w:t>
      </w:r>
      <w:r w:rsidR="00764D73">
        <w:t xml:space="preserve"> </w:t>
      </w:r>
      <w:r w:rsidR="00240FD6">
        <w:t>a</w:t>
      </w:r>
      <w:r w:rsidR="00764D73">
        <w:t xml:space="preserve">re analysed in order </w:t>
      </w:r>
      <w:r>
        <w:t xml:space="preserve">to provide a comparative overview of </w:t>
      </w:r>
      <w:r w:rsidR="00764D73">
        <w:t xml:space="preserve">donors’ </w:t>
      </w:r>
      <w:r>
        <w:t xml:space="preserve">plans to </w:t>
      </w:r>
      <w:r w:rsidR="00764D73">
        <w:t>implement the Busan</w:t>
      </w:r>
      <w:r>
        <w:t xml:space="preserve"> </w:t>
      </w:r>
      <w:r w:rsidRPr="001B1752">
        <w:t xml:space="preserve">commitments </w:t>
      </w:r>
      <w:r>
        <w:t>within the</w:t>
      </w:r>
      <w:r w:rsidRPr="001B1752">
        <w:t xml:space="preserve"> </w:t>
      </w:r>
      <w:r w:rsidR="00764D73">
        <w:t xml:space="preserve">agreed </w:t>
      </w:r>
      <w:r w:rsidRPr="001B1752">
        <w:t>timeline.</w:t>
      </w:r>
      <w:r>
        <w:t xml:space="preserve"> </w:t>
      </w:r>
    </w:p>
    <w:p w:rsidR="00C44AC2" w:rsidRDefault="00C44AC2" w:rsidP="007257DB">
      <w:pPr>
        <w:spacing w:after="0" w:line="240" w:lineRule="auto"/>
      </w:pPr>
    </w:p>
    <w:p w:rsidR="004E04F7" w:rsidRPr="00936D10" w:rsidRDefault="00764D73" w:rsidP="007257DB">
      <w:pPr>
        <w:spacing w:after="0" w:line="240" w:lineRule="auto"/>
      </w:pPr>
      <w:r>
        <w:t>The</w:t>
      </w:r>
      <w:r w:rsidR="004E04F7" w:rsidRPr="00936D10">
        <w:t xml:space="preserve"> schedules are assessed on three key criteria:</w:t>
      </w:r>
    </w:p>
    <w:p w:rsidR="004E04F7" w:rsidRPr="00764D73" w:rsidRDefault="004E04F7" w:rsidP="00764D73">
      <w:pPr>
        <w:pStyle w:val="ListParagraph"/>
        <w:numPr>
          <w:ilvl w:val="0"/>
          <w:numId w:val="30"/>
        </w:numPr>
        <w:spacing w:after="0" w:line="240" w:lineRule="auto"/>
        <w:rPr>
          <w:rFonts w:cstheme="minorHAnsi"/>
          <w:color w:val="000000"/>
        </w:rPr>
      </w:pPr>
      <w:r w:rsidRPr="00764D73">
        <w:rPr>
          <w:rFonts w:cstheme="minorHAnsi"/>
          <w:color w:val="000000"/>
        </w:rPr>
        <w:t>Intention to publish to IATI</w:t>
      </w:r>
    </w:p>
    <w:p w:rsidR="004E04F7" w:rsidRPr="00764D73" w:rsidRDefault="004E04F7" w:rsidP="00764D73">
      <w:pPr>
        <w:pStyle w:val="ListParagraph"/>
        <w:numPr>
          <w:ilvl w:val="0"/>
          <w:numId w:val="30"/>
        </w:numPr>
        <w:spacing w:after="0" w:line="240" w:lineRule="auto"/>
        <w:rPr>
          <w:rFonts w:cstheme="minorHAnsi"/>
          <w:color w:val="000000"/>
        </w:rPr>
      </w:pPr>
      <w:r w:rsidRPr="00764D73">
        <w:rPr>
          <w:rFonts w:cstheme="minorHAnsi"/>
          <w:color w:val="000000"/>
        </w:rPr>
        <w:t>Publication approach</w:t>
      </w:r>
      <w:r w:rsidR="00764D73">
        <w:rPr>
          <w:rFonts w:cstheme="minorHAnsi"/>
          <w:color w:val="000000"/>
        </w:rPr>
        <w:t>,</w:t>
      </w:r>
      <w:r w:rsidRPr="00764D73">
        <w:rPr>
          <w:rFonts w:cstheme="minorHAnsi"/>
          <w:color w:val="000000"/>
        </w:rPr>
        <w:t xml:space="preserve"> i.e. the frequency of their publication and the licence under which the information is or will be published</w:t>
      </w:r>
    </w:p>
    <w:p w:rsidR="004E04F7" w:rsidRPr="00764D73" w:rsidRDefault="004E04F7" w:rsidP="00764D73">
      <w:pPr>
        <w:pStyle w:val="ListParagraph"/>
        <w:numPr>
          <w:ilvl w:val="0"/>
          <w:numId w:val="30"/>
        </w:numPr>
        <w:spacing w:after="0" w:line="240" w:lineRule="auto"/>
        <w:rPr>
          <w:rFonts w:cstheme="minorHAnsi"/>
          <w:color w:val="000000"/>
        </w:rPr>
      </w:pPr>
      <w:r w:rsidRPr="00764D73">
        <w:rPr>
          <w:rFonts w:cstheme="minorHAnsi"/>
          <w:color w:val="000000"/>
        </w:rPr>
        <w:t>Coverage of fields of the IATI standard</w:t>
      </w:r>
    </w:p>
    <w:p w:rsidR="00C44AC2" w:rsidRDefault="00C44AC2" w:rsidP="007257DB">
      <w:pPr>
        <w:spacing w:after="0" w:line="240" w:lineRule="auto"/>
      </w:pPr>
    </w:p>
    <w:p w:rsidR="004E04F7" w:rsidRPr="00936D10" w:rsidRDefault="004E04F7" w:rsidP="007257DB">
      <w:pPr>
        <w:spacing w:after="0" w:line="240" w:lineRule="auto"/>
      </w:pPr>
      <w:r>
        <w:t>The full details of the scoring approach can be found</w:t>
      </w:r>
      <w:r w:rsidR="00764D73">
        <w:t xml:space="preserve"> in the ‘Plan’ section of the Aid Transparency Tracker: </w:t>
      </w:r>
      <w:hyperlink r:id="rId18" w:history="1">
        <w:r w:rsidR="00764D73">
          <w:rPr>
            <w:rStyle w:val="Hyperlink"/>
          </w:rPr>
          <w:t>http://tracker.publishwhatyoufund.org/plan/about/</w:t>
        </w:r>
      </w:hyperlink>
      <w:r>
        <w:t>.</w:t>
      </w:r>
    </w:p>
    <w:p w:rsidR="004D2A4C" w:rsidRDefault="004D2A4C" w:rsidP="007257DB">
      <w:pPr>
        <w:spacing w:after="0" w:line="240" w:lineRule="auto"/>
      </w:pPr>
    </w:p>
    <w:p w:rsidR="00D22CB8" w:rsidRDefault="00240FD6" w:rsidP="007257DB">
      <w:pPr>
        <w:spacing w:after="0" w:line="240" w:lineRule="auto"/>
      </w:pPr>
      <w:r>
        <w:t>There are s</w:t>
      </w:r>
      <w:r w:rsidR="004E04F7">
        <w:t xml:space="preserve">everal challenges </w:t>
      </w:r>
      <w:r>
        <w:t>with</w:t>
      </w:r>
      <w:r w:rsidR="004E04F7">
        <w:t xml:space="preserve"> completing this analysis</w:t>
      </w:r>
      <w:r w:rsidR="004E04F7" w:rsidRPr="005C3AA4">
        <w:rPr>
          <w:b/>
        </w:rPr>
        <w:t>.</w:t>
      </w:r>
      <w:r w:rsidR="004E04F7" w:rsidRPr="005C3AA4">
        <w:t xml:space="preserve"> While there is an agreed </w:t>
      </w:r>
      <w:r w:rsidR="004E04F7" w:rsidRPr="00D22CB8">
        <w:rPr>
          <w:rFonts w:cs="Times New Roman"/>
        </w:rPr>
        <w:t>template</w:t>
      </w:r>
      <w:r w:rsidR="004E04F7" w:rsidRPr="005C3AA4">
        <w:t xml:space="preserve"> for the common standard implementation schedules, several different versions of the template exist, with donors adding to this complexity by modifying it, changing options, and adding and deleting rows</w:t>
      </w:r>
      <w:r>
        <w:t>. At the time of writing, a total of</w:t>
      </w:r>
      <w:r w:rsidR="004E04F7" w:rsidRPr="005C3AA4">
        <w:t xml:space="preserve"> </w:t>
      </w:r>
      <w:r w:rsidR="00D22CB8">
        <w:t>11</w:t>
      </w:r>
      <w:r w:rsidR="004E04F7" w:rsidRPr="005C3AA4">
        <w:t xml:space="preserve"> different versions </w:t>
      </w:r>
      <w:r>
        <w:t>are being</w:t>
      </w:r>
      <w:r w:rsidR="004E04F7" w:rsidRPr="005C3AA4">
        <w:t xml:space="preserve"> used and </w:t>
      </w:r>
      <w:r>
        <w:t>have</w:t>
      </w:r>
      <w:r w:rsidR="004E04F7" w:rsidRPr="005C3AA4">
        <w:t xml:space="preserve"> to be supported by the application.</w:t>
      </w:r>
      <w:r w:rsidR="00D22CB8">
        <w:rPr>
          <w:rStyle w:val="FootnoteReference"/>
        </w:rPr>
        <w:footnoteReference w:id="20"/>
      </w:r>
      <w:r w:rsidR="004E04F7" w:rsidRPr="005C3AA4">
        <w:t xml:space="preserve"> This create</w:t>
      </w:r>
      <w:r>
        <w:t>s</w:t>
      </w:r>
      <w:r w:rsidR="004E04F7" w:rsidRPr="005C3AA4">
        <w:t xml:space="preserve"> difficulties in analysing the information and necessitate</w:t>
      </w:r>
      <w:r>
        <w:t>s</w:t>
      </w:r>
      <w:r w:rsidR="004E04F7" w:rsidRPr="005C3AA4">
        <w:rPr>
          <w:b/>
        </w:rPr>
        <w:t xml:space="preserve"> </w:t>
      </w:r>
      <w:r w:rsidR="004E04F7" w:rsidRPr="005C3AA4">
        <w:t>considerable interpretation to ensure consistency and comparability across the schedules</w:t>
      </w:r>
      <w:r w:rsidR="00D22CB8">
        <w:t xml:space="preserve">. It </w:t>
      </w:r>
      <w:r>
        <w:t>i</w:t>
      </w:r>
      <w:r w:rsidR="00D22CB8">
        <w:t>s</w:t>
      </w:r>
      <w:r w:rsidR="004E04F7">
        <w:t xml:space="preserve"> also </w:t>
      </w:r>
      <w:r w:rsidR="004E04F7" w:rsidRPr="005C3AA4">
        <w:t xml:space="preserve">evident that </w:t>
      </w:r>
      <w:r w:rsidR="004E04F7" w:rsidRPr="005C3AA4">
        <w:rPr>
          <w:bCs/>
        </w:rPr>
        <w:t>donors' have different approaches to completing the schedule.</w:t>
      </w:r>
      <w:r w:rsidR="004E04F7">
        <w:rPr>
          <w:bCs/>
        </w:rPr>
        <w:t xml:space="preserve"> </w:t>
      </w:r>
      <w:r w:rsidR="004E04F7" w:rsidRPr="00BB71ED">
        <w:rPr>
          <w:bCs/>
        </w:rPr>
        <w:t>S</w:t>
      </w:r>
      <w:r w:rsidR="004E04F7" w:rsidRPr="005C3AA4">
        <w:t xml:space="preserve">ome have taken </w:t>
      </w:r>
      <w:r w:rsidR="004E04F7" w:rsidRPr="00BB71ED">
        <w:t>a conservative approach</w:t>
      </w:r>
      <w:r w:rsidR="004E04F7" w:rsidRPr="005C3AA4">
        <w:t>, by leaving much of the schedule blank (e.g. Poland). Other</w:t>
      </w:r>
      <w:r w:rsidR="00D22CB8">
        <w:t>s</w:t>
      </w:r>
      <w:r w:rsidR="004E04F7" w:rsidRPr="005C3AA4">
        <w:t xml:space="preserve"> have potentially understated the ambition of some of their own agencies (by not specifying those which </w:t>
      </w:r>
      <w:r w:rsidR="004E04F7" w:rsidRPr="005C3AA4">
        <w:rPr>
          <w:i/>
        </w:rPr>
        <w:t>can</w:t>
      </w:r>
      <w:r w:rsidR="004E04F7" w:rsidRPr="005C3AA4">
        <w:t xml:space="preserve"> publish certain fields), where information fields are not feasible from </w:t>
      </w:r>
      <w:r w:rsidR="004E04F7" w:rsidRPr="005C3AA4">
        <w:rPr>
          <w:i/>
        </w:rPr>
        <w:t xml:space="preserve">all </w:t>
      </w:r>
      <w:r w:rsidR="004E04F7" w:rsidRPr="005C3AA4">
        <w:t>of their agencies (e.g. the U.S.).</w:t>
      </w:r>
      <w:r w:rsidR="004E04F7">
        <w:rPr>
          <w:b/>
          <w:bCs/>
        </w:rPr>
        <w:t xml:space="preserve"> </w:t>
      </w:r>
      <w:r w:rsidR="004E04F7" w:rsidRPr="005C3AA4">
        <w:t>Donors have made liberal use of the</w:t>
      </w:r>
      <w:r w:rsidR="004E04F7" w:rsidRPr="00BB71ED">
        <w:t xml:space="preserve"> “not applicable” option. This option is certainly valid in several data fields – those fields that are only sometimes applicable to organisations p</w:t>
      </w:r>
      <w:r w:rsidR="004E04F7" w:rsidRPr="005C3AA4">
        <w:t xml:space="preserve">ublishing to IATI have been excluded from the scoring and final analysis. However, some donors have stated that fields such as results, conditions and even activity budgets are “not applicable”, though rarely with any explanation. </w:t>
      </w:r>
    </w:p>
    <w:p w:rsidR="00D22CB8" w:rsidRDefault="00D22CB8" w:rsidP="007257DB">
      <w:pPr>
        <w:spacing w:after="0" w:line="240" w:lineRule="auto"/>
      </w:pPr>
    </w:p>
    <w:p w:rsidR="004E04F7" w:rsidRPr="00BB71ED" w:rsidRDefault="004E04F7" w:rsidP="007257DB">
      <w:pPr>
        <w:spacing w:after="0" w:line="240" w:lineRule="auto"/>
        <w:rPr>
          <w:b/>
          <w:bCs/>
        </w:rPr>
      </w:pPr>
      <w:r w:rsidRPr="005C3AA4">
        <w:t>We can deduce that donors have chosen “not applicable” in such cases for three broad reasons:</w:t>
      </w:r>
    </w:p>
    <w:p w:rsidR="004E04F7" w:rsidRPr="005C3AA4" w:rsidRDefault="004E04F7" w:rsidP="007257DB">
      <w:pPr>
        <w:numPr>
          <w:ilvl w:val="0"/>
          <w:numId w:val="19"/>
        </w:numPr>
        <w:spacing w:after="0" w:line="240" w:lineRule="auto"/>
      </w:pPr>
      <w:r w:rsidRPr="00D002FD">
        <w:rPr>
          <w:b/>
        </w:rPr>
        <w:lastRenderedPageBreak/>
        <w:t>Where information is available but seen as redundant or repetitive</w:t>
      </w:r>
      <w:r w:rsidRPr="005C3AA4">
        <w:rPr>
          <w:b/>
        </w:rPr>
        <w:t xml:space="preserve">. </w:t>
      </w:r>
      <w:r w:rsidRPr="005C3AA4">
        <w:t>In situations where the organisation’s business model defines the answer (e.g. for “tied aid status”, where tying under DAC definitions is not possible), those organisations do not always realise the utility of completing the field (which is necessary for a complete dataset on tying across donors, sectors and countries).</w:t>
      </w:r>
    </w:p>
    <w:p w:rsidR="004E04F7" w:rsidRPr="005C3AA4" w:rsidRDefault="004E04F7" w:rsidP="007257DB">
      <w:pPr>
        <w:numPr>
          <w:ilvl w:val="0"/>
          <w:numId w:val="19"/>
        </w:numPr>
        <w:spacing w:after="0" w:line="240" w:lineRule="auto"/>
      </w:pPr>
      <w:r w:rsidRPr="005C3AA4">
        <w:rPr>
          <w:b/>
        </w:rPr>
        <w:t xml:space="preserve">Misinterpretation. </w:t>
      </w:r>
      <w:r w:rsidRPr="005C3AA4">
        <w:t>Where the meaning of the field has been misinterpreted (e.g. implementing organisations). For example, some donors excluded funding organisation, even though the funding organisation is (in almost all cases) simply that donor.</w:t>
      </w:r>
    </w:p>
    <w:p w:rsidR="004E04F7" w:rsidRPr="005C3AA4" w:rsidRDefault="004E04F7" w:rsidP="007257DB">
      <w:pPr>
        <w:numPr>
          <w:ilvl w:val="0"/>
          <w:numId w:val="19"/>
        </w:numPr>
        <w:spacing w:after="0" w:line="240" w:lineRule="auto"/>
      </w:pPr>
      <w:r w:rsidRPr="005C3AA4">
        <w:rPr>
          <w:b/>
        </w:rPr>
        <w:t>In error.</w:t>
      </w:r>
      <w:r w:rsidRPr="005C3AA4">
        <w:t xml:space="preserve"> Donors often used “not applicable” when a more accurate status would have been “not publishing now”.</w:t>
      </w:r>
    </w:p>
    <w:p w:rsidR="004D2A4C" w:rsidRDefault="004D2A4C" w:rsidP="007257DB">
      <w:pPr>
        <w:spacing w:after="0" w:line="240" w:lineRule="auto"/>
      </w:pPr>
    </w:p>
    <w:p w:rsidR="004E04F7" w:rsidRDefault="004E04F7" w:rsidP="007257DB">
      <w:pPr>
        <w:spacing w:after="0" w:line="240" w:lineRule="auto"/>
      </w:pPr>
      <w:r w:rsidRPr="005C3AA4">
        <w:t xml:space="preserve">There is also some </w:t>
      </w:r>
      <w:r w:rsidRPr="00D22CB8">
        <w:t>confusion about certain data fields</w:t>
      </w:r>
      <w:r w:rsidRPr="005C3AA4">
        <w:t xml:space="preserve"> or groups of fields, especially “participating organisation” – implementing, funding, extending and accountable – and between “other activity identifiers” and “related activities”. More generally, the schedules do not distinguish whether the organisation intends to implement specific fields according to the IATI approa</w:t>
      </w:r>
      <w:r>
        <w:t xml:space="preserve">ch (e.g. timely and in the IATI </w:t>
      </w:r>
      <w:r w:rsidRPr="005C3AA4">
        <w:t xml:space="preserve">XML format), on account of the overlap between </w:t>
      </w:r>
      <w:r w:rsidR="00D22CB8">
        <w:t>some</w:t>
      </w:r>
      <w:r w:rsidRPr="005C3AA4">
        <w:t xml:space="preserve"> CRS and IATI fields. </w:t>
      </w:r>
    </w:p>
    <w:p w:rsidR="00240FD6" w:rsidRDefault="00240FD6" w:rsidP="007257DB">
      <w:pPr>
        <w:spacing w:after="0" w:line="240" w:lineRule="auto"/>
      </w:pPr>
    </w:p>
    <w:p w:rsidR="004E04F7" w:rsidRDefault="004E04F7" w:rsidP="007257DB">
      <w:pPr>
        <w:spacing w:after="0" w:line="240" w:lineRule="auto"/>
      </w:pPr>
      <w:r>
        <w:t xml:space="preserve">We will </w:t>
      </w:r>
      <w:r w:rsidR="00240FD6">
        <w:t xml:space="preserve">continue to </w:t>
      </w:r>
      <w:r>
        <w:t>work with the IATI Secretariat and the OECD on improving the template and guidance provided for completing it. We encourage donors to revise and re-submit implementation schedules to accurately reflect the current status of their publication and their future plans so that the analysis can be updated to be a more accurate reflection of donors’ publication plans</w:t>
      </w:r>
      <w:r w:rsidR="00D22CB8">
        <w:t>.</w:t>
      </w:r>
    </w:p>
    <w:p w:rsidR="002B748F" w:rsidRDefault="002B748F" w:rsidP="007257DB">
      <w:pPr>
        <w:spacing w:after="0" w:line="240" w:lineRule="auto"/>
      </w:pPr>
    </w:p>
    <w:p w:rsidR="002B748F" w:rsidRDefault="002B748F" w:rsidP="002B748F">
      <w:pPr>
        <w:pStyle w:val="ListBullet"/>
        <w:numPr>
          <w:ilvl w:val="0"/>
          <w:numId w:val="0"/>
        </w:numPr>
        <w:spacing w:after="0" w:line="240" w:lineRule="auto"/>
        <w:rPr>
          <w:rFonts w:ascii="Cambria" w:eastAsiaTheme="majorEastAsia" w:hAnsi="Cambria" w:cstheme="majorBidi"/>
          <w:b/>
          <w:bCs/>
          <w:iCs/>
          <w:color w:val="4F81BD" w:themeColor="accent1"/>
          <w:lang w:val="en-GB" w:eastAsia="en-US" w:bidi="en-US"/>
        </w:rPr>
      </w:pPr>
      <w:r>
        <w:rPr>
          <w:rFonts w:ascii="Cambria" w:eastAsiaTheme="majorEastAsia" w:hAnsi="Cambria" w:cstheme="majorBidi"/>
          <w:b/>
          <w:bCs/>
          <w:iCs/>
          <w:color w:val="4F81BD" w:themeColor="accent1"/>
          <w:lang w:val="en-GB" w:eastAsia="en-US" w:bidi="en-US"/>
        </w:rPr>
        <w:t>Memorandum of Understanding</w:t>
      </w:r>
    </w:p>
    <w:p w:rsidR="002B748F" w:rsidRPr="00B4239F" w:rsidRDefault="00326D8F" w:rsidP="002B748F">
      <w:pPr>
        <w:pStyle w:val="ListBullet"/>
        <w:numPr>
          <w:ilvl w:val="0"/>
          <w:numId w:val="0"/>
        </w:numPr>
        <w:spacing w:after="0" w:line="240" w:lineRule="auto"/>
      </w:pPr>
      <w:r>
        <w:t xml:space="preserve">Some organisations do not sign </w:t>
      </w:r>
      <w:r w:rsidR="00556826">
        <w:t>Memorandums of Understanding (</w:t>
      </w:r>
      <w:r>
        <w:t>MoUs</w:t>
      </w:r>
      <w:r w:rsidR="00556826">
        <w:t>)</w:t>
      </w:r>
      <w:r>
        <w:t>, which are usually government-to-government documents</w:t>
      </w:r>
      <w:r w:rsidR="00B4239F">
        <w:t>, often covering several activities</w:t>
      </w:r>
      <w:r>
        <w:t>. For example, some IFIs have highlighted that</w:t>
      </w:r>
      <w:r w:rsidR="00E86606">
        <w:t xml:space="preserve"> they</w:t>
      </w:r>
      <w:r>
        <w:t xml:space="preserve"> do not always si</w:t>
      </w:r>
      <w:r w:rsidR="00640364">
        <w:t>gn</w:t>
      </w:r>
      <w:r>
        <w:t xml:space="preserve"> MoUs with governments because they operate in the private sector. Similarly, humanitarian organisatio</w:t>
      </w:r>
      <w:r w:rsidR="00B4239F">
        <w:t xml:space="preserve">ns often operate in </w:t>
      </w:r>
      <w:r w:rsidR="00556826">
        <w:t>emergency</w:t>
      </w:r>
      <w:r w:rsidR="00B4239F">
        <w:t xml:space="preserve"> context</w:t>
      </w:r>
      <w:r w:rsidR="00556826">
        <w:t>s</w:t>
      </w:r>
      <w:r w:rsidR="00B4239F">
        <w:t xml:space="preserve"> and do not always sign MoUs, and philanthropic organisations tend to operate at the grantee level and do not have presence at an intermediate level above that of the activity. It could be argue</w:t>
      </w:r>
      <w:r w:rsidR="00640364">
        <w:t>d</w:t>
      </w:r>
      <w:r w:rsidR="00B4239F">
        <w:t xml:space="preserve"> that such organisations should not be expected to have such agreements or be scored down in the Index as a result of not publishing </w:t>
      </w:r>
      <w:r w:rsidR="00556826">
        <w:t>this information</w:t>
      </w:r>
      <w:r w:rsidR="00B4239F">
        <w:t xml:space="preserve">. We carefully considered this issue in relation to the wide variety of </w:t>
      </w:r>
      <w:r w:rsidR="00556826">
        <w:t>organisations</w:t>
      </w:r>
      <w:r w:rsidR="00B4239F">
        <w:t xml:space="preserve"> that are </w:t>
      </w:r>
      <w:r w:rsidR="00556826">
        <w:t>assessed</w:t>
      </w:r>
      <w:r w:rsidR="00B4239F">
        <w:t xml:space="preserve"> in the Index and concluded that it is possible</w:t>
      </w:r>
      <w:r w:rsidR="00640364">
        <w:t xml:space="preserve"> to</w:t>
      </w:r>
      <w:r w:rsidR="00B4239F">
        <w:t xml:space="preserve"> score all organisations based on equivalent documents such as: strategy papers that are jointly developed with recipients</w:t>
      </w:r>
      <w:r w:rsidR="00556826">
        <w:t>;</w:t>
      </w:r>
      <w:r w:rsidR="00B4239F">
        <w:t xml:space="preserve"> activity-level agreement documents</w:t>
      </w:r>
      <w:r w:rsidR="00556826">
        <w:t>;</w:t>
      </w:r>
      <w:r w:rsidR="00B4239F">
        <w:t xml:space="preserve"> and agreements between the donor and the grantee or implementing partner. However, where organisations do sign agreements with recipient governments, these are expected to be published in order to score. </w:t>
      </w:r>
    </w:p>
    <w:p w:rsidR="004D2A4C" w:rsidRPr="004D2A4C" w:rsidRDefault="004D2A4C" w:rsidP="00D22CB8">
      <w:pPr>
        <w:spacing w:after="0" w:line="240" w:lineRule="auto"/>
      </w:pPr>
    </w:p>
    <w:p w:rsidR="004E04F7" w:rsidRDefault="004E04F7" w:rsidP="004E04F7">
      <w:pPr>
        <w:pStyle w:val="Heading4"/>
        <w:spacing w:before="0" w:line="240" w:lineRule="auto"/>
        <w:rPr>
          <w:rFonts w:ascii="Cambria" w:eastAsia="Calibri" w:hAnsi="Cambria" w:cs="Times New Roman"/>
          <w:i w:val="0"/>
          <w:iCs w:val="0"/>
          <w:color w:val="4F81BD"/>
          <w:sz w:val="28"/>
          <w:szCs w:val="26"/>
        </w:rPr>
      </w:pPr>
      <w:r>
        <w:rPr>
          <w:rFonts w:ascii="Cambria" w:eastAsia="Calibri" w:hAnsi="Cambria" w:cs="Times New Roman"/>
          <w:i w:val="0"/>
          <w:iCs w:val="0"/>
          <w:color w:val="4F81BD"/>
          <w:sz w:val="28"/>
          <w:szCs w:val="26"/>
        </w:rPr>
        <w:t>Challenges of survey data collection</w:t>
      </w:r>
    </w:p>
    <w:p w:rsidR="00D002FD" w:rsidRDefault="00D002FD" w:rsidP="004D2A4C">
      <w:pPr>
        <w:pStyle w:val="NoSpacing"/>
        <w:rPr>
          <w:rFonts w:eastAsia="Times New Roman"/>
          <w:color w:val="FF0000"/>
          <w:lang w:bidi="en-US"/>
        </w:rPr>
      </w:pPr>
    </w:p>
    <w:p w:rsidR="004E04F7" w:rsidRDefault="004E04F7" w:rsidP="004D2A4C">
      <w:pPr>
        <w:spacing w:after="0" w:line="240" w:lineRule="auto"/>
      </w:pPr>
      <w:r>
        <w:t>In previous years</w:t>
      </w:r>
      <w:r w:rsidR="00C65C0B">
        <w:t>,</w:t>
      </w:r>
      <w:r>
        <w:t xml:space="preserve"> finding information on donors’ aid activities presented a challenge particularly for those donors who had poorly designed or hard-to-navigate websites. This issue </w:t>
      </w:r>
      <w:r w:rsidR="0016646F">
        <w:t>has been addressed to some extent since</w:t>
      </w:r>
      <w:r>
        <w:t xml:space="preserve"> 2013 by taking into account donors’ IATI publication and automating its assessment. However, for organisations that do not publish information </w:t>
      </w:r>
      <w:r w:rsidR="00EB274F">
        <w:t>to IATI</w:t>
      </w:r>
      <w:r>
        <w:t>, data collection continues to be done using a survey and involves looking at organisations’ website</w:t>
      </w:r>
      <w:r w:rsidR="00C65C0B">
        <w:t>s</w:t>
      </w:r>
      <w:r>
        <w:t xml:space="preserve"> exhaustively and checking </w:t>
      </w:r>
      <w:r w:rsidR="00C65C0B">
        <w:t xml:space="preserve">any </w:t>
      </w:r>
      <w:r>
        <w:t xml:space="preserve">related websites </w:t>
      </w:r>
      <w:r w:rsidR="00C65C0B">
        <w:t>where</w:t>
      </w:r>
      <w:r>
        <w:t xml:space="preserve"> necessary. In some cases, the information may be published but not easily available using the menu or search functions on an organisation’s website</w:t>
      </w:r>
      <w:r w:rsidR="00C65C0B">
        <w:t xml:space="preserve"> or database</w:t>
      </w:r>
      <w:r>
        <w:t>. Time constraints mean that our researchers will search for information up to a reasonable point but if the information appears to be unavailable, will score the indicator as zero.</w:t>
      </w:r>
      <w:r w:rsidR="00643E95">
        <w:t xml:space="preserve"> </w:t>
      </w:r>
    </w:p>
    <w:p w:rsidR="004D2A4C" w:rsidRDefault="004D2A4C" w:rsidP="004D2A4C">
      <w:pPr>
        <w:spacing w:after="0" w:line="240" w:lineRule="auto"/>
      </w:pPr>
    </w:p>
    <w:p w:rsidR="004E04F7" w:rsidRDefault="004E04F7" w:rsidP="004D2A4C">
      <w:pPr>
        <w:spacing w:after="0" w:line="240" w:lineRule="auto"/>
      </w:pPr>
      <w:r>
        <w:t xml:space="preserve">If our researchers </w:t>
      </w:r>
      <w:r w:rsidR="00EB274F">
        <w:t>cannot find</w:t>
      </w:r>
      <w:r>
        <w:t xml:space="preserve"> a piece of information, </w:t>
      </w:r>
      <w:r w:rsidR="00C65C0B">
        <w:t xml:space="preserve">the </w:t>
      </w:r>
      <w:r>
        <w:t>organisations</w:t>
      </w:r>
      <w:r w:rsidR="00C65C0B">
        <w:t xml:space="preserve"> being assessed</w:t>
      </w:r>
      <w:r>
        <w:t xml:space="preserve"> have the opportunity to address this while reviewing the survey data.</w:t>
      </w:r>
      <w:r w:rsidR="00643E95">
        <w:t xml:space="preserve"> </w:t>
      </w:r>
      <w:r>
        <w:t xml:space="preserve">They can provide links to the information directly in order for it to be </w:t>
      </w:r>
      <w:r w:rsidR="00C65C0B">
        <w:t xml:space="preserve">assessed and </w:t>
      </w:r>
      <w:r>
        <w:t xml:space="preserve">scored. </w:t>
      </w:r>
      <w:r w:rsidR="00EB274F">
        <w:t>Surveys are also</w:t>
      </w:r>
      <w:r w:rsidR="00C65C0B">
        <w:t xml:space="preserve"> shared with independent reviewer</w:t>
      </w:r>
      <w:r w:rsidR="00EB274F">
        <w:t>s</w:t>
      </w:r>
      <w:r w:rsidR="00F61E6C">
        <w:t xml:space="preserve"> for verification and to </w:t>
      </w:r>
      <w:r w:rsidR="00F61E6C">
        <w:lastRenderedPageBreak/>
        <w:t>check that information hasn’t been misunderstood or incorrectly scored. This approach to completing the surveys helps ensure</w:t>
      </w:r>
      <w:r>
        <w:t xml:space="preserve"> that the availability of </w:t>
      </w:r>
      <w:r w:rsidR="00F61E6C">
        <w:t xml:space="preserve">current </w:t>
      </w:r>
      <w:r>
        <w:t>information</w:t>
      </w:r>
      <w:r w:rsidR="00F61E6C">
        <w:t xml:space="preserve"> is reflected as accurately as possible</w:t>
      </w:r>
      <w:r>
        <w:t xml:space="preserve">, even though </w:t>
      </w:r>
      <w:r w:rsidR="00F61E6C">
        <w:t>the process of finding it</w:t>
      </w:r>
      <w:r>
        <w:t xml:space="preserve"> may not </w:t>
      </w:r>
      <w:r w:rsidR="00F61E6C">
        <w:t>always be easy</w:t>
      </w:r>
      <w:r>
        <w:t>.</w:t>
      </w:r>
      <w:r w:rsidR="00643E95">
        <w:t xml:space="preserve"> </w:t>
      </w:r>
    </w:p>
    <w:p w:rsidR="004D2A4C" w:rsidRDefault="004D2A4C" w:rsidP="004D2A4C">
      <w:pPr>
        <w:spacing w:after="0" w:line="240" w:lineRule="auto"/>
      </w:pPr>
    </w:p>
    <w:p w:rsidR="004E04F7" w:rsidRPr="00C428DA" w:rsidRDefault="004E04F7" w:rsidP="004D2A4C">
      <w:pPr>
        <w:keepNext/>
        <w:keepLines/>
        <w:spacing w:after="0" w:line="240" w:lineRule="auto"/>
        <w:outlineLvl w:val="3"/>
        <w:rPr>
          <w:rFonts w:ascii="Cambria" w:eastAsiaTheme="majorEastAsia" w:hAnsi="Cambria" w:cstheme="majorBidi"/>
          <w:b/>
          <w:bCs/>
          <w:iCs/>
          <w:color w:val="4F81BD" w:themeColor="accent1"/>
        </w:rPr>
      </w:pPr>
      <w:r w:rsidRPr="00C428DA">
        <w:rPr>
          <w:rFonts w:ascii="Cambria" w:eastAsiaTheme="majorEastAsia" w:hAnsi="Cambria" w:cstheme="majorBidi"/>
          <w:b/>
          <w:bCs/>
          <w:iCs/>
          <w:color w:val="4F81BD" w:themeColor="accent1"/>
        </w:rPr>
        <w:t>Representative nature of activities</w:t>
      </w:r>
    </w:p>
    <w:p w:rsidR="004E04F7" w:rsidRDefault="004E04F7" w:rsidP="004D2A4C">
      <w:pPr>
        <w:spacing w:after="0" w:line="240" w:lineRule="auto"/>
      </w:pPr>
      <w:r>
        <w:t>It is difficult to ascertain</w:t>
      </w:r>
      <w:r w:rsidRPr="00C11028">
        <w:t xml:space="preserve"> how representative the activities assessed </w:t>
      </w:r>
      <w:r w:rsidR="00491ED6">
        <w:t xml:space="preserve">in the survey </w:t>
      </w:r>
      <w:r w:rsidRPr="00C11028">
        <w:t>are. The Index methodology continue</w:t>
      </w:r>
      <w:r w:rsidR="00171B63">
        <w:t>s</w:t>
      </w:r>
      <w:r w:rsidRPr="00C11028">
        <w:t xml:space="preserve"> to be constrained by the fact that, for most donors, it is not possible to randomly sample typical projects. Precisely because </w:t>
      </w:r>
      <w:r w:rsidR="00DA5629">
        <w:t xml:space="preserve">the </w:t>
      </w:r>
      <w:r w:rsidRPr="00C11028">
        <w:t xml:space="preserve">information is usually either not published systematically, or else is only available as unstructured data, it is difficult to calculate what a “typical” project is. There are two ways of approaching this challenge: 1) To look at all published projects for that donor and try to calculate the average based on the information they make publicly available; or 2) to ask the donor to clarify what an average size project is and provide the details for how this figure has been calculated. Option 1 would create an unfeasible increase in the resource intensity of each survey – when multiplied by the number of donors included in the </w:t>
      </w:r>
      <w:r w:rsidR="00EB274F">
        <w:t>ATI</w:t>
      </w:r>
      <w:r w:rsidRPr="00C11028">
        <w:t xml:space="preserve">, it would make the process impossible. Option 2 would not provide independently verifiable data, and there is a risk that responses would not be received from all donors, meaning that two different methodologies would have to be used for activity selection. </w:t>
      </w:r>
      <w:r w:rsidR="00DA5629">
        <w:t>Although</w:t>
      </w:r>
      <w:r w:rsidRPr="00C11028">
        <w:t xml:space="preserve"> the methodology used is not ideal, of the options available, it strikes the right balance </w:t>
      </w:r>
      <w:r w:rsidR="00F61E6C">
        <w:t>where</w:t>
      </w:r>
      <w:r w:rsidRPr="00C11028">
        <w:t xml:space="preserve"> information is not available in structured format</w:t>
      </w:r>
      <w:r w:rsidR="00171B63">
        <w:t>s</w:t>
      </w:r>
      <w:r w:rsidRPr="00C11028">
        <w:t xml:space="preserve">. </w:t>
      </w:r>
    </w:p>
    <w:p w:rsidR="002B748F" w:rsidRDefault="002B748F" w:rsidP="004D2A4C">
      <w:pPr>
        <w:keepNext/>
        <w:keepLines/>
        <w:spacing w:after="0" w:line="240" w:lineRule="auto"/>
        <w:outlineLvl w:val="3"/>
        <w:rPr>
          <w:rFonts w:ascii="Cambria" w:eastAsiaTheme="majorEastAsia" w:hAnsi="Cambria" w:cstheme="majorBidi"/>
          <w:b/>
          <w:bCs/>
          <w:iCs/>
          <w:color w:val="4F81BD" w:themeColor="accent1"/>
        </w:rPr>
      </w:pPr>
    </w:p>
    <w:p w:rsidR="004E04F7" w:rsidRPr="00C428DA" w:rsidRDefault="004E04F7" w:rsidP="004D2A4C">
      <w:pPr>
        <w:keepNext/>
        <w:keepLines/>
        <w:spacing w:after="0" w:line="240" w:lineRule="auto"/>
        <w:outlineLvl w:val="3"/>
        <w:rPr>
          <w:rFonts w:ascii="Cambria" w:eastAsiaTheme="majorEastAsia" w:hAnsi="Cambria" w:cstheme="majorBidi"/>
          <w:b/>
          <w:bCs/>
          <w:iCs/>
          <w:color w:val="4F81BD" w:themeColor="accent1"/>
        </w:rPr>
      </w:pPr>
      <w:r w:rsidRPr="00C428DA">
        <w:rPr>
          <w:rFonts w:ascii="Cambria" w:eastAsiaTheme="majorEastAsia" w:hAnsi="Cambria" w:cstheme="majorBidi"/>
          <w:b/>
          <w:bCs/>
          <w:iCs/>
          <w:color w:val="4F81BD" w:themeColor="accent1"/>
        </w:rPr>
        <w:t>Limits on cross checking ‘always’ scores at the activity level and comprehensiveness of activity-level data</w:t>
      </w:r>
    </w:p>
    <w:p w:rsidR="0011136F" w:rsidRDefault="0011136F" w:rsidP="0011136F">
      <w:pPr>
        <w:spacing w:after="0" w:line="240" w:lineRule="auto"/>
      </w:pPr>
      <w:r>
        <w:t xml:space="preserve">Scores for activity-level indicators for organisations publishing information </w:t>
      </w:r>
      <w:r w:rsidR="00C44AC2">
        <w:t>to the IATI Registry</w:t>
      </w:r>
      <w:r>
        <w:t xml:space="preserve"> are calculated based on the percentage of activities that pass data quality tests underlying each indicator. This process is automated and therefore researchers are not required to sample other activities to determine whether or not information is consistently, i.e. ‘always’, published as they are with the survey data. Information on activities published in IATI XML is subject to a more rigorous assessment. </w:t>
      </w:r>
    </w:p>
    <w:p w:rsidR="004D2A4C" w:rsidRDefault="004D2A4C" w:rsidP="004D2A4C">
      <w:pPr>
        <w:spacing w:after="0" w:line="240" w:lineRule="auto"/>
      </w:pPr>
    </w:p>
    <w:p w:rsidR="004E04F7" w:rsidRDefault="004E04F7" w:rsidP="004D2A4C">
      <w:pPr>
        <w:spacing w:after="0" w:line="240" w:lineRule="auto"/>
      </w:pPr>
      <w:r>
        <w:t>There are limits on cross-checking comprehensiveness of publication</w:t>
      </w:r>
      <w:r w:rsidR="0011136F">
        <w:t xml:space="preserve"> in other formats. </w:t>
      </w:r>
      <w:r>
        <w:t xml:space="preserve">For </w:t>
      </w:r>
      <w:r w:rsidR="00C679EF">
        <w:t>this</w:t>
      </w:r>
      <w:r>
        <w:t xml:space="preserve"> manually collected data, the</w:t>
      </w:r>
      <w:r w:rsidRPr="008972FA">
        <w:t xml:space="preserve"> </w:t>
      </w:r>
      <w:r w:rsidR="0011136F">
        <w:t>process</w:t>
      </w:r>
      <w:r w:rsidRPr="008972FA">
        <w:t xml:space="preserve"> relies on several steps to determine whether </w:t>
      </w:r>
      <w:r>
        <w:t xml:space="preserve">information at the activity level is consistently published. </w:t>
      </w:r>
      <w:r w:rsidRPr="00340E1E">
        <w:t>All surveys</w:t>
      </w:r>
      <w:r>
        <w:t xml:space="preserve"> </w:t>
      </w:r>
      <w:r w:rsidRPr="00340E1E">
        <w:t>are completed using information pertaining to the recipient country receiving the largest amount of aid by</w:t>
      </w:r>
      <w:r w:rsidR="00C679EF">
        <w:t xml:space="preserve"> value from that donor agency. In 201</w:t>
      </w:r>
      <w:r w:rsidR="00C44AC2">
        <w:t>4</w:t>
      </w:r>
      <w:r w:rsidR="00C679EF">
        <w:t>, t</w:t>
      </w:r>
      <w:r w:rsidRPr="00340E1E">
        <w:t xml:space="preserve">he value of aid to recipients </w:t>
      </w:r>
      <w:r w:rsidR="00C44AC2">
        <w:t>i</w:t>
      </w:r>
      <w:r w:rsidR="00C679EF">
        <w:t>s</w:t>
      </w:r>
      <w:r w:rsidRPr="00340E1E">
        <w:t xml:space="preserve"> determined </w:t>
      </w:r>
      <w:r w:rsidR="00C679EF">
        <w:t>using</w:t>
      </w:r>
      <w:r w:rsidRPr="00340E1E">
        <w:t xml:space="preserve"> 201</w:t>
      </w:r>
      <w:r w:rsidR="009611A7">
        <w:t>2</w:t>
      </w:r>
      <w:r w:rsidRPr="00340E1E">
        <w:t xml:space="preserve"> OECD DAC CRS figures. If this information </w:t>
      </w:r>
      <w:r w:rsidR="00C44AC2">
        <w:t>i</w:t>
      </w:r>
      <w:r w:rsidR="00C679EF">
        <w:t>s</w:t>
      </w:r>
      <w:r w:rsidRPr="00340E1E">
        <w:t xml:space="preserve"> not available in the CRS then the largest recipient </w:t>
      </w:r>
      <w:r w:rsidR="00C44AC2">
        <w:t>i</w:t>
      </w:r>
      <w:r w:rsidR="00C679EF">
        <w:t>s</w:t>
      </w:r>
      <w:r w:rsidRPr="00340E1E">
        <w:t xml:space="preserve"> determined using the latest annual report for the agency or related ministry. To establish that information is consistently published at the activity level, a</w:t>
      </w:r>
      <w:r>
        <w:t xml:space="preserve"> </w:t>
      </w:r>
      <w:r w:rsidRPr="00340E1E">
        <w:t>minimum of five activities are selected within the largest recipient country or thematic sector (if the donor agency organises itself along thematic areas or sectors rather than by countries). While checking and verifying data, organisations are asked to confirm if the responses are representative as a whole.</w:t>
      </w:r>
      <w:r>
        <w:t xml:space="preserve"> </w:t>
      </w:r>
    </w:p>
    <w:p w:rsidR="004D2A4C" w:rsidRDefault="004D2A4C" w:rsidP="004D2A4C">
      <w:pPr>
        <w:spacing w:after="0" w:line="240" w:lineRule="auto"/>
      </w:pPr>
    </w:p>
    <w:p w:rsidR="004E04F7" w:rsidRDefault="004E04F7" w:rsidP="004D2A4C">
      <w:pPr>
        <w:spacing w:after="0" w:line="240" w:lineRule="auto"/>
      </w:pPr>
      <w:r>
        <w:t>If it is stated that the project information published is for ‘case studies’, ‘some projects’ or ‘selected projects’ then it is assumed that this information is published only ‘sometimes’ and the organisation is scored zero for th</w:t>
      </w:r>
      <w:r w:rsidR="00C679EF">
        <w:t>at</w:t>
      </w:r>
      <w:r>
        <w:t xml:space="preserve"> indicator. </w:t>
      </w:r>
    </w:p>
    <w:p w:rsidR="004D2A4C" w:rsidRDefault="004D2A4C" w:rsidP="004D2A4C">
      <w:pPr>
        <w:spacing w:after="0" w:line="240" w:lineRule="auto"/>
      </w:pPr>
    </w:p>
    <w:p w:rsidR="004E04F7" w:rsidRDefault="004E04F7" w:rsidP="004D2A4C">
      <w:pPr>
        <w:spacing w:after="0" w:line="240" w:lineRule="auto"/>
        <w:rPr>
          <w:b/>
        </w:rPr>
      </w:pPr>
      <w:r>
        <w:t>We have always acknowledged that this approach cannot give a true picture of the amount of information being published at activity level. The ultimate constraint is not being able to identify all current activities being delivered to all countries</w:t>
      </w:r>
      <w:r w:rsidR="00C679EF">
        <w:t xml:space="preserve"> or sectors</w:t>
      </w:r>
      <w:r>
        <w:t>. Without that information being provided in a well-structured format, it is impossible to randomly sample for an ‘average’ country and an ‘average’ project. The approach taken is therefore a purposive sampling approach. We recognise that this may introduce positive bias, as it seems more likely that donors will publish the most information for their largest recipient, but this has been a deliberate decision. Arguably, it is more important that funds are transparent when flows are larger. The aim is not to try to ‘catch out’ donors.</w:t>
      </w:r>
      <w:r w:rsidR="00643E95">
        <w:t xml:space="preserve"> </w:t>
      </w:r>
      <w:r>
        <w:t xml:space="preserve">Selecting at random a smaller </w:t>
      </w:r>
      <w:r>
        <w:lastRenderedPageBreak/>
        <w:t>recipient country could introduce negative bias, and as the flows assessed would represent a much smaller proportion of the donor’s total, it would reveal less about that donor’s overall approach to aid transparency.</w:t>
      </w:r>
      <w:r w:rsidR="00643E95">
        <w:t xml:space="preserve"> </w:t>
      </w:r>
    </w:p>
    <w:p w:rsidR="004D2A4C" w:rsidRPr="00697F12" w:rsidRDefault="004D2A4C" w:rsidP="004D2A4C">
      <w:pPr>
        <w:spacing w:after="0" w:line="240" w:lineRule="auto"/>
        <w:rPr>
          <w:rFonts w:eastAsiaTheme="minorHAnsi"/>
          <w:b/>
          <w:lang w:bidi="ar-SA"/>
        </w:rPr>
      </w:pPr>
    </w:p>
    <w:p w:rsidR="004E04F7" w:rsidRPr="005F32D4" w:rsidRDefault="004E04F7" w:rsidP="004D2A4C">
      <w:pPr>
        <w:keepNext/>
        <w:keepLines/>
        <w:spacing w:after="0" w:line="240" w:lineRule="auto"/>
        <w:outlineLvl w:val="3"/>
        <w:rPr>
          <w:rFonts w:ascii="Calibri" w:eastAsia="Times New Roman" w:hAnsi="Calibri" w:cs="Times New Roman"/>
          <w:b/>
          <w:bCs/>
          <w:iCs/>
          <w:color w:val="4F81BD"/>
        </w:rPr>
      </w:pPr>
      <w:r w:rsidRPr="00C428DA">
        <w:rPr>
          <w:rFonts w:ascii="Cambria" w:eastAsiaTheme="majorEastAsia" w:hAnsi="Cambria" w:cstheme="majorBidi"/>
          <w:b/>
          <w:bCs/>
          <w:iCs/>
          <w:color w:val="4F81BD" w:themeColor="accent1"/>
        </w:rPr>
        <w:t>Organisations that do not participate in the review process</w:t>
      </w:r>
    </w:p>
    <w:p w:rsidR="004E04F7" w:rsidRDefault="004E04F7" w:rsidP="004D2A4C">
      <w:pPr>
        <w:spacing w:after="0" w:line="240" w:lineRule="auto"/>
      </w:pPr>
      <w:r>
        <w:t xml:space="preserve">All donor organisations are </w:t>
      </w:r>
      <w:r w:rsidR="00C679EF">
        <w:t>invited</w:t>
      </w:r>
      <w:r>
        <w:t xml:space="preserve"> to review </w:t>
      </w:r>
      <w:r w:rsidR="00C679EF">
        <w:t>the</w:t>
      </w:r>
      <w:r>
        <w:t xml:space="preserve"> initial </w:t>
      </w:r>
      <w:r w:rsidR="00C679EF">
        <w:t xml:space="preserve">survey </w:t>
      </w:r>
      <w:r>
        <w:t xml:space="preserve">findings and to provide feedback on any information that may have </w:t>
      </w:r>
      <w:r w:rsidR="00C679EF">
        <w:t xml:space="preserve">been </w:t>
      </w:r>
      <w:r>
        <w:t xml:space="preserve">missed or interpreted incorrectly. All surveys go through a process of verification and standardisation to ensure that what </w:t>
      </w:r>
      <w:r w:rsidR="00C44AC2">
        <w:t>is</w:t>
      </w:r>
      <w:r>
        <w:t xml:space="preserve"> accepted for scoring responses is consistent across all 6</w:t>
      </w:r>
      <w:r w:rsidR="00C44AC2">
        <w:t>8</w:t>
      </w:r>
      <w:r>
        <w:t xml:space="preserve"> </w:t>
      </w:r>
      <w:r w:rsidR="00C679EF">
        <w:t>organisations</w:t>
      </w:r>
      <w:r>
        <w:t>, taking into account the feedback received from donor</w:t>
      </w:r>
      <w:r w:rsidR="00B03254">
        <w:t>s</w:t>
      </w:r>
      <w:r>
        <w:t xml:space="preserve"> and independent reviewers. For organisations that d</w:t>
      </w:r>
      <w:r w:rsidR="00C44AC2">
        <w:t>o</w:t>
      </w:r>
      <w:r>
        <w:t xml:space="preserve"> not participate in the review process, it is possible that information that </w:t>
      </w:r>
      <w:r w:rsidR="00C44AC2">
        <w:t>i</w:t>
      </w:r>
      <w:r>
        <w:t xml:space="preserve">s not easily discoverable </w:t>
      </w:r>
      <w:r w:rsidR="00B03254">
        <w:t xml:space="preserve">on their websites or databases </w:t>
      </w:r>
      <w:r w:rsidR="00C44AC2">
        <w:t>i</w:t>
      </w:r>
      <w:r>
        <w:t>s not been taken into account for their final assessment.</w:t>
      </w:r>
    </w:p>
    <w:p w:rsidR="00C44AC2" w:rsidRDefault="00C44AC2" w:rsidP="004D2A4C">
      <w:pPr>
        <w:spacing w:after="0" w:line="240" w:lineRule="auto"/>
      </w:pPr>
    </w:p>
    <w:p w:rsidR="004E04F7" w:rsidRDefault="004E04F7" w:rsidP="004E04F7">
      <w:pPr>
        <w:pStyle w:val="Heading4"/>
        <w:spacing w:before="0" w:line="240" w:lineRule="auto"/>
        <w:rPr>
          <w:rFonts w:ascii="Cambria" w:eastAsia="Calibri" w:hAnsi="Cambria" w:cs="Times New Roman"/>
          <w:i w:val="0"/>
          <w:iCs w:val="0"/>
          <w:color w:val="4F81BD"/>
          <w:sz w:val="28"/>
          <w:szCs w:val="26"/>
        </w:rPr>
      </w:pPr>
      <w:r>
        <w:rPr>
          <w:rFonts w:ascii="Cambria" w:eastAsia="Calibri" w:hAnsi="Cambria" w:cs="Times New Roman"/>
          <w:i w:val="0"/>
          <w:iCs w:val="0"/>
          <w:color w:val="4F81BD"/>
          <w:sz w:val="28"/>
          <w:szCs w:val="26"/>
        </w:rPr>
        <w:t>Challenges of automating IATI data quality assessment</w:t>
      </w:r>
    </w:p>
    <w:p w:rsidR="004E04F7" w:rsidRPr="00710FB5" w:rsidRDefault="004E04F7" w:rsidP="00710FB5">
      <w:pPr>
        <w:spacing w:after="0" w:line="240" w:lineRule="auto"/>
        <w:rPr>
          <w:rStyle w:val="IntenseEmphasis"/>
          <w:i w:val="0"/>
        </w:rPr>
      </w:pPr>
    </w:p>
    <w:p w:rsidR="004E04F7" w:rsidRDefault="004E04F7" w:rsidP="004D2A4C">
      <w:pPr>
        <w:spacing w:after="0" w:line="240" w:lineRule="auto"/>
      </w:pPr>
      <w:r>
        <w:t xml:space="preserve">The Aid Transparency Tracker is a complex piece of software. For the first time in 2013, a portion of the data collection for the </w:t>
      </w:r>
      <w:r w:rsidR="00C44AC2">
        <w:t>ATI</w:t>
      </w:r>
      <w:r>
        <w:t xml:space="preserve"> was automated through the Tracker’s data quality tool. This is the first tool of its kind to assess the quality of data under any spending standard (not just aid data). Naturally, there </w:t>
      </w:r>
      <w:r w:rsidR="00C2647F">
        <w:t xml:space="preserve">are some </w:t>
      </w:r>
      <w:r>
        <w:t xml:space="preserve">challenges </w:t>
      </w:r>
      <w:r w:rsidR="00C2647F">
        <w:t>automating the testing of data across different organisations</w:t>
      </w:r>
      <w:r w:rsidR="00611778">
        <w:t xml:space="preserve"> </w:t>
      </w:r>
      <w:r>
        <w:t xml:space="preserve">and </w:t>
      </w:r>
      <w:r w:rsidR="00C679EF">
        <w:t>several</w:t>
      </w:r>
      <w:r>
        <w:t xml:space="preserve"> lessons </w:t>
      </w:r>
      <w:r w:rsidR="00C2647F">
        <w:t xml:space="preserve">have been </w:t>
      </w:r>
      <w:r>
        <w:t>learn</w:t>
      </w:r>
      <w:r w:rsidR="00C2647F">
        <w:t>t</w:t>
      </w:r>
      <w:r>
        <w:t xml:space="preserve"> for improvements in future years. </w:t>
      </w:r>
    </w:p>
    <w:p w:rsidR="002B748F" w:rsidRDefault="002B748F" w:rsidP="004D2A4C">
      <w:pPr>
        <w:keepNext/>
        <w:keepLines/>
        <w:spacing w:after="0" w:line="240" w:lineRule="auto"/>
        <w:outlineLvl w:val="3"/>
        <w:rPr>
          <w:rFonts w:ascii="Cambria" w:eastAsiaTheme="majorEastAsia" w:hAnsi="Cambria" w:cstheme="majorBidi"/>
          <w:b/>
          <w:bCs/>
          <w:iCs/>
          <w:color w:val="4F81BD" w:themeColor="accent1"/>
        </w:rPr>
      </w:pPr>
    </w:p>
    <w:p w:rsidR="004E04F7" w:rsidRPr="00C428DA" w:rsidRDefault="004E04F7" w:rsidP="004D2A4C">
      <w:pPr>
        <w:keepNext/>
        <w:keepLines/>
        <w:spacing w:after="0" w:line="240" w:lineRule="auto"/>
        <w:outlineLvl w:val="3"/>
        <w:rPr>
          <w:rFonts w:ascii="Cambria" w:eastAsiaTheme="majorEastAsia" w:hAnsi="Cambria" w:cstheme="majorBidi"/>
          <w:b/>
          <w:bCs/>
          <w:iCs/>
          <w:color w:val="4F81BD" w:themeColor="accent1"/>
        </w:rPr>
      </w:pPr>
      <w:r w:rsidRPr="00C428DA">
        <w:rPr>
          <w:rFonts w:ascii="Cambria" w:eastAsiaTheme="majorEastAsia" w:hAnsi="Cambria" w:cstheme="majorBidi"/>
          <w:b/>
          <w:bCs/>
          <w:iCs/>
          <w:color w:val="4F81BD" w:themeColor="accent1"/>
        </w:rPr>
        <w:t>Designing data quality tests</w:t>
      </w:r>
    </w:p>
    <w:p w:rsidR="00611778" w:rsidRDefault="004E04F7" w:rsidP="00611778">
      <w:pPr>
        <w:spacing w:after="0" w:line="240" w:lineRule="auto"/>
        <w:rPr>
          <w:rFonts w:cstheme="minorHAnsi"/>
          <w:color w:val="000000"/>
        </w:rPr>
      </w:pPr>
      <w:r w:rsidRPr="00611778">
        <w:rPr>
          <w:rFonts w:ascii="Calibri" w:eastAsia="Times New Roman" w:hAnsi="Calibri" w:cs="Times New Roman"/>
        </w:rPr>
        <w:t xml:space="preserve">Data quality </w:t>
      </w:r>
      <w:r w:rsidR="00C679EF" w:rsidRPr="00611778">
        <w:rPr>
          <w:rFonts w:ascii="Calibri" w:eastAsia="Times New Roman" w:hAnsi="Calibri" w:cs="Times New Roman"/>
        </w:rPr>
        <w:t xml:space="preserve">tests </w:t>
      </w:r>
      <w:r w:rsidRPr="00611778">
        <w:rPr>
          <w:rFonts w:ascii="Calibri" w:eastAsia="Times New Roman" w:hAnsi="Calibri" w:cs="Times New Roman"/>
        </w:rPr>
        <w:t xml:space="preserve">have been designed to assess the availability, comprehensiveness and comparability of aid information and to determine whether an organisation’s IATI data conforms to the IATI standard appropriately. As described in Section 2, </w:t>
      </w:r>
      <w:r w:rsidR="00C679EF" w:rsidRPr="00611778">
        <w:rPr>
          <w:rFonts w:ascii="Calibri" w:eastAsia="Times New Roman" w:hAnsi="Calibri" w:cs="Times New Roman"/>
        </w:rPr>
        <w:t xml:space="preserve">the majority of </w:t>
      </w:r>
      <w:r w:rsidRPr="00611778">
        <w:rPr>
          <w:rFonts w:ascii="Calibri" w:eastAsia="Times New Roman" w:hAnsi="Calibri" w:cs="Times New Roman"/>
        </w:rPr>
        <w:t xml:space="preserve">the tests have been derived directly from the IATI schemas which provide </w:t>
      </w:r>
      <w:r w:rsidR="00907D28">
        <w:rPr>
          <w:rFonts w:ascii="Calibri" w:eastAsia="Times New Roman" w:hAnsi="Calibri" w:cs="Times New Roman"/>
        </w:rPr>
        <w:t xml:space="preserve">a </w:t>
      </w:r>
      <w:r w:rsidR="00C81EEA">
        <w:rPr>
          <w:rFonts w:ascii="Calibri" w:eastAsia="Times New Roman" w:hAnsi="Calibri" w:cs="Times New Roman"/>
        </w:rPr>
        <w:t xml:space="preserve">common </w:t>
      </w:r>
      <w:r w:rsidRPr="00611778">
        <w:rPr>
          <w:rFonts w:ascii="Calibri" w:eastAsia="Times New Roman" w:hAnsi="Calibri" w:cs="Times New Roman"/>
        </w:rPr>
        <w:t xml:space="preserve">format for reporting data on various fields to the IATI Registry. Some additional tests have been designed to check that data published </w:t>
      </w:r>
      <w:r w:rsidR="00FA226B">
        <w:rPr>
          <w:rFonts w:ascii="Calibri" w:eastAsia="Times New Roman" w:hAnsi="Calibri" w:cs="Times New Roman"/>
        </w:rPr>
        <w:t xml:space="preserve">to </w:t>
      </w:r>
      <w:r w:rsidRPr="00611778">
        <w:rPr>
          <w:rFonts w:ascii="Calibri" w:eastAsia="Times New Roman" w:hAnsi="Calibri" w:cs="Times New Roman"/>
        </w:rPr>
        <w:t>IATI is presented in a manner which allows for comparison across organisations. Technical reviewers and donors were asked to provide feedback on the tests before and during the data collection process</w:t>
      </w:r>
      <w:r w:rsidR="00611778" w:rsidRPr="00611778">
        <w:rPr>
          <w:rFonts w:ascii="Calibri" w:eastAsia="Times New Roman" w:hAnsi="Calibri" w:cs="Times New Roman"/>
        </w:rPr>
        <w:t xml:space="preserve"> in 2013</w:t>
      </w:r>
      <w:r w:rsidRPr="00611778">
        <w:rPr>
          <w:rFonts w:ascii="Calibri" w:eastAsia="Times New Roman" w:hAnsi="Calibri" w:cs="Times New Roman"/>
        </w:rPr>
        <w:t>.</w:t>
      </w:r>
      <w:r w:rsidR="00611778" w:rsidRPr="00611778">
        <w:rPr>
          <w:rFonts w:ascii="Calibri" w:eastAsia="Times New Roman" w:hAnsi="Calibri" w:cs="Times New Roman"/>
        </w:rPr>
        <w:t xml:space="preserve"> </w:t>
      </w:r>
      <w:r w:rsidR="00611778">
        <w:rPr>
          <w:rFonts w:ascii="Calibri" w:eastAsia="Times New Roman" w:hAnsi="Calibri" w:cs="Times New Roman"/>
        </w:rPr>
        <w:t xml:space="preserve">In addition, a </w:t>
      </w:r>
      <w:r w:rsidR="00611778" w:rsidRPr="00611778">
        <w:rPr>
          <w:rFonts w:cstheme="minorHAnsi"/>
        </w:rPr>
        <w:t>public consultation</w:t>
      </w:r>
      <w:r w:rsidR="00611778" w:rsidRPr="00611778">
        <w:rPr>
          <w:rFonts w:cstheme="minorHAnsi"/>
          <w:color w:val="000000"/>
        </w:rPr>
        <w:t xml:space="preserve"> </w:t>
      </w:r>
      <w:r w:rsidR="00611778">
        <w:rPr>
          <w:rFonts w:cstheme="minorHAnsi"/>
          <w:color w:val="000000"/>
        </w:rPr>
        <w:t xml:space="preserve">was </w:t>
      </w:r>
      <w:r w:rsidR="00611778" w:rsidRPr="00611778">
        <w:rPr>
          <w:rFonts w:cstheme="minorHAnsi"/>
          <w:color w:val="000000"/>
        </w:rPr>
        <w:t>held in January-February 2014</w:t>
      </w:r>
      <w:r w:rsidR="00611778">
        <w:rPr>
          <w:rFonts w:cstheme="minorHAnsi"/>
          <w:color w:val="000000"/>
        </w:rPr>
        <w:t>.</w:t>
      </w:r>
      <w:r w:rsidR="00611778" w:rsidRPr="00611778">
        <w:rPr>
          <w:rFonts w:cstheme="minorHAnsi"/>
          <w:color w:val="000000"/>
        </w:rPr>
        <w:t xml:space="preserve"> Based on </w:t>
      </w:r>
      <w:r w:rsidR="00611778">
        <w:rPr>
          <w:rFonts w:cstheme="minorHAnsi"/>
          <w:color w:val="000000"/>
        </w:rPr>
        <w:t xml:space="preserve">the </w:t>
      </w:r>
      <w:r w:rsidR="00611778" w:rsidRPr="00611778">
        <w:rPr>
          <w:rFonts w:cstheme="minorHAnsi"/>
          <w:color w:val="000000"/>
        </w:rPr>
        <w:t xml:space="preserve">feedback </w:t>
      </w:r>
      <w:r w:rsidR="00611778">
        <w:rPr>
          <w:rFonts w:cstheme="minorHAnsi"/>
          <w:color w:val="000000"/>
        </w:rPr>
        <w:t>received</w:t>
      </w:r>
      <w:r w:rsidR="00611778" w:rsidRPr="00611778">
        <w:rPr>
          <w:rFonts w:cstheme="minorHAnsi"/>
          <w:color w:val="000000"/>
        </w:rPr>
        <w:t xml:space="preserve">, some of the </w:t>
      </w:r>
      <w:r w:rsidR="00611778" w:rsidRPr="00611778">
        <w:rPr>
          <w:rFonts w:cstheme="minorHAnsi"/>
        </w:rPr>
        <w:t>data quality tests</w:t>
      </w:r>
      <w:r w:rsidR="00611778" w:rsidRPr="00611778">
        <w:rPr>
          <w:rFonts w:cstheme="minorHAnsi"/>
          <w:color w:val="000000"/>
        </w:rPr>
        <w:t xml:space="preserve"> have been tightened up to improve the quality of the auto</w:t>
      </w:r>
      <w:r w:rsidR="00611778" w:rsidRPr="00FA226B">
        <w:rPr>
          <w:rFonts w:cstheme="minorHAnsi"/>
          <w:color w:val="000000"/>
        </w:rPr>
        <w:t>mated assessment of IATI data.</w:t>
      </w:r>
      <w:r w:rsidR="00FA226B" w:rsidRPr="00FA226B">
        <w:t xml:space="preserve"> Information on the public consultation, the feedback received and Publish What You Fund’s responses is available at: </w:t>
      </w:r>
      <w:hyperlink r:id="rId19" w:history="1">
        <w:r w:rsidR="00FA226B" w:rsidRPr="00FA226B">
          <w:rPr>
            <w:rStyle w:val="Hyperlink"/>
          </w:rPr>
          <w:t>https://github.com/pwyf/index-data-quality-tests/</w:t>
        </w:r>
      </w:hyperlink>
    </w:p>
    <w:p w:rsidR="00611778" w:rsidRPr="00611778" w:rsidRDefault="00611778" w:rsidP="00611778">
      <w:pPr>
        <w:spacing w:after="0" w:line="240" w:lineRule="auto"/>
        <w:rPr>
          <w:rFonts w:cstheme="minorHAnsi"/>
          <w:color w:val="000000"/>
        </w:rPr>
      </w:pPr>
    </w:p>
    <w:p w:rsidR="004E04F7" w:rsidRDefault="004E04F7" w:rsidP="00611778">
      <w:pPr>
        <w:keepNext/>
        <w:keepLines/>
        <w:spacing w:after="0" w:line="240" w:lineRule="auto"/>
        <w:outlineLvl w:val="3"/>
      </w:pPr>
      <w:r>
        <w:t xml:space="preserve">Several methodological changes were made to the data quality tests in response to the feedback received. The feedback suggested that where possible and reasonably practicable, donors should not be penalised for not publishing information where it should not be expected to be published. For example, </w:t>
      </w:r>
      <w:r w:rsidR="00D43320">
        <w:t xml:space="preserve">activity end dates </w:t>
      </w:r>
      <w:r>
        <w:t xml:space="preserve">should not be expected to exist for projects which are not yet completed. These nuances </w:t>
      </w:r>
      <w:r w:rsidR="00FA226B">
        <w:t>have been</w:t>
      </w:r>
      <w:r>
        <w:t xml:space="preserve"> incorporated into the methodology by </w:t>
      </w:r>
      <w:r w:rsidR="00C679EF">
        <w:t>altering</w:t>
      </w:r>
      <w:r>
        <w:t xml:space="preserve"> the tests to return results based on other related elements in the data. For example, based on activity status codes to only look at activities at least in the implementation stage; or aid type codes to look only at budget support activities.</w:t>
      </w:r>
    </w:p>
    <w:p w:rsidR="00C679EF" w:rsidRDefault="00C679EF" w:rsidP="00611778">
      <w:pPr>
        <w:spacing w:after="0" w:line="240" w:lineRule="auto"/>
      </w:pPr>
    </w:p>
    <w:p w:rsidR="004E04F7" w:rsidRPr="0036065F" w:rsidRDefault="004E04F7" w:rsidP="00611778">
      <w:pPr>
        <w:keepNext/>
        <w:keepLines/>
        <w:spacing w:after="0" w:line="240" w:lineRule="auto"/>
        <w:outlineLvl w:val="3"/>
        <w:rPr>
          <w:rFonts w:eastAsiaTheme="minorHAnsi"/>
          <w:lang w:bidi="ar-SA"/>
        </w:rPr>
      </w:pPr>
      <w:r w:rsidRPr="0036065F">
        <w:rPr>
          <w:rFonts w:eastAsiaTheme="minorHAnsi"/>
          <w:lang w:bidi="ar-SA"/>
        </w:rPr>
        <w:lastRenderedPageBreak/>
        <w:t xml:space="preserve">Tests for </w:t>
      </w:r>
      <w:r w:rsidR="002B748F">
        <w:rPr>
          <w:rFonts w:eastAsiaTheme="minorHAnsi"/>
          <w:lang w:bidi="ar-SA"/>
        </w:rPr>
        <w:t>the following</w:t>
      </w:r>
      <w:r w:rsidR="002B748F" w:rsidRPr="0036065F">
        <w:rPr>
          <w:rFonts w:eastAsiaTheme="minorHAnsi"/>
          <w:lang w:bidi="ar-SA"/>
        </w:rPr>
        <w:t xml:space="preserve"> </w:t>
      </w:r>
      <w:r w:rsidRPr="0036065F">
        <w:rPr>
          <w:rFonts w:eastAsiaTheme="minorHAnsi"/>
          <w:lang w:bidi="ar-SA"/>
        </w:rPr>
        <w:t>indicators were particularly difficult to design</w:t>
      </w:r>
      <w:r w:rsidR="00C679EF">
        <w:rPr>
          <w:rFonts w:eastAsiaTheme="minorHAnsi"/>
          <w:lang w:bidi="ar-SA"/>
        </w:rPr>
        <w:t>:</w:t>
      </w:r>
    </w:p>
    <w:p w:rsidR="004E04F7" w:rsidRDefault="004E04F7" w:rsidP="004D2A4C">
      <w:pPr>
        <w:pStyle w:val="Heading2"/>
        <w:spacing w:before="0" w:line="240" w:lineRule="auto"/>
        <w:rPr>
          <w:rFonts w:ascii="Calibri" w:eastAsia="Calibri" w:hAnsi="Calibri" w:cs="Times New Roman"/>
          <w:b w:val="0"/>
          <w:bCs w:val="0"/>
          <w:color w:val="4F81BD"/>
          <w:sz w:val="22"/>
          <w:szCs w:val="22"/>
        </w:rPr>
      </w:pPr>
    </w:p>
    <w:p w:rsidR="004E04F7" w:rsidRPr="0087570D" w:rsidRDefault="004E04F7" w:rsidP="00C679EF">
      <w:pPr>
        <w:pStyle w:val="ListParagraph"/>
        <w:keepNext/>
        <w:keepLines/>
        <w:numPr>
          <w:ilvl w:val="0"/>
          <w:numId w:val="31"/>
        </w:numPr>
        <w:spacing w:after="0" w:line="240" w:lineRule="auto"/>
        <w:outlineLvl w:val="3"/>
        <w:rPr>
          <w:rFonts w:ascii="Calibri" w:eastAsia="Times New Roman" w:hAnsi="Calibri" w:cs="Times New Roman"/>
          <w:b/>
          <w:bCs/>
          <w:iCs/>
        </w:rPr>
      </w:pPr>
      <w:r w:rsidRPr="0087570D">
        <w:rPr>
          <w:rFonts w:ascii="Calibri" w:eastAsia="Times New Roman" w:hAnsi="Calibri" w:cs="Times New Roman"/>
          <w:b/>
          <w:bCs/>
          <w:iCs/>
        </w:rPr>
        <w:t>Disaggregated budgets</w:t>
      </w:r>
    </w:p>
    <w:p w:rsidR="00D709C0" w:rsidRDefault="004E04F7" w:rsidP="004D2A4C">
      <w:pPr>
        <w:spacing w:after="0" w:line="240" w:lineRule="auto"/>
      </w:pPr>
      <w:r>
        <w:t>Disaggregated budgets are scored for each of the three years ahead for which they are available. This is assessed as the value of all recipient country budgets available for the relevant year as a percentage of 50% of the average of Country Programmable Aid (CPA)</w:t>
      </w:r>
      <w:r>
        <w:rPr>
          <w:rStyle w:val="FootnoteReference"/>
        </w:rPr>
        <w:footnoteReference w:id="21"/>
      </w:r>
      <w:r>
        <w:t xml:space="preserve">, multiplied by the total budget for the relevant year. If the relevant year is not available, the current year is used instead. </w:t>
      </w:r>
    </w:p>
    <w:p w:rsidR="00D709C0" w:rsidRDefault="00D709C0" w:rsidP="004D2A4C">
      <w:pPr>
        <w:spacing w:after="0" w:line="240" w:lineRule="auto"/>
      </w:pPr>
    </w:p>
    <w:p w:rsidR="004E04F7" w:rsidRPr="00330B04" w:rsidRDefault="00D709C0" w:rsidP="004D2A4C">
      <w:pPr>
        <w:spacing w:after="0" w:line="240" w:lineRule="auto"/>
        <w:rPr>
          <w:color w:val="FF0000"/>
        </w:rPr>
      </w:pPr>
      <w:r>
        <w:t>The first year must have an end date of at least 1</w:t>
      </w:r>
      <w:r w:rsidR="00A67FE2">
        <w:t xml:space="preserve">84 </w:t>
      </w:r>
      <w:r>
        <w:t xml:space="preserve">days forward </w:t>
      </w:r>
      <w:r w:rsidR="00A67FE2">
        <w:t>from</w:t>
      </w:r>
      <w:r>
        <w:t xml:space="preserve"> the </w:t>
      </w:r>
      <w:r w:rsidR="00A67FE2">
        <w:t xml:space="preserve">last </w:t>
      </w:r>
      <w:r>
        <w:t xml:space="preserve">date on which tests </w:t>
      </w:r>
      <w:r w:rsidR="00A67FE2">
        <w:t>are run</w:t>
      </w:r>
      <w:r>
        <w:t>.</w:t>
      </w:r>
      <w:r w:rsidR="00D95B62">
        <w:rPr>
          <w:rStyle w:val="FootnoteReference"/>
        </w:rPr>
        <w:footnoteReference w:id="22"/>
      </w:r>
      <w:r>
        <w:t xml:space="preserve"> The second year must be 365 days later, and the third year a further 730 days forward. The points available are </w:t>
      </w:r>
      <w:r w:rsidR="00A67FE2">
        <w:t>derived from an average of the points available from each of the three years</w:t>
      </w:r>
      <w:r>
        <w:t>.</w:t>
      </w:r>
      <w:r w:rsidR="004E04F7">
        <w:rPr>
          <w:color w:val="FF0000"/>
        </w:rPr>
        <w:t xml:space="preserve"> </w:t>
      </w:r>
    </w:p>
    <w:p w:rsidR="004E04F7" w:rsidRDefault="004E04F7" w:rsidP="004D2A4C">
      <w:pPr>
        <w:spacing w:after="0" w:line="240" w:lineRule="auto"/>
      </w:pPr>
    </w:p>
    <w:p w:rsidR="004E04F7" w:rsidRDefault="004E04F7" w:rsidP="004D2A4C">
      <w:pPr>
        <w:spacing w:after="0" w:line="240" w:lineRule="auto"/>
      </w:pPr>
      <w:r>
        <w:t>For example</w:t>
      </w:r>
      <w:r w:rsidR="00D709C0">
        <w:t>, f</w:t>
      </w:r>
      <w:r>
        <w:t>or an organisation with a total budget of USD 1,000</w:t>
      </w:r>
      <w:r w:rsidR="00A67FE2">
        <w:t>,</w:t>
      </w:r>
      <w:r>
        <w:t xml:space="preserve"> the total country spend per year required to receive the full score is USD 213.60. If the following figures on annual spend are found in an organisation’s IATI files</w:t>
      </w:r>
      <w:r w:rsidR="004D2A4C">
        <w:t>:</w:t>
      </w:r>
    </w:p>
    <w:p w:rsidR="008B115C" w:rsidRPr="008B115C" w:rsidRDefault="008B115C" w:rsidP="008B115C">
      <w:pPr>
        <w:pStyle w:val="ListParagraph"/>
        <w:numPr>
          <w:ilvl w:val="0"/>
          <w:numId w:val="47"/>
        </w:numPr>
        <w:spacing w:after="0" w:line="240" w:lineRule="auto"/>
      </w:pPr>
      <w:r w:rsidRPr="008B115C">
        <w:t>Total country budgets in Year 1: USD 300 =&gt; over USD 213.60, so 100 points for year 1</w:t>
      </w:r>
    </w:p>
    <w:p w:rsidR="008B115C" w:rsidRPr="008B115C" w:rsidRDefault="008B115C" w:rsidP="008B115C">
      <w:pPr>
        <w:pStyle w:val="ListParagraph"/>
        <w:numPr>
          <w:ilvl w:val="0"/>
          <w:numId w:val="47"/>
        </w:numPr>
        <w:spacing w:after="0" w:line="240" w:lineRule="auto"/>
      </w:pPr>
      <w:r w:rsidRPr="008B115C">
        <w:t>Total country budgets in Year 2: USD 150 =&gt; 70% of USD 213.60, so 70 points for year 2</w:t>
      </w:r>
    </w:p>
    <w:p w:rsidR="008B115C" w:rsidRPr="008B115C" w:rsidRDefault="008B115C" w:rsidP="008B115C">
      <w:pPr>
        <w:pStyle w:val="ListParagraph"/>
        <w:numPr>
          <w:ilvl w:val="0"/>
          <w:numId w:val="47"/>
        </w:numPr>
        <w:spacing w:after="0" w:line="240" w:lineRule="auto"/>
      </w:pPr>
      <w:r w:rsidRPr="008B115C">
        <w:t>Total country budgets in Year 3: USD 0 =&gt; 0% of USD 213.60, so 0 for year 3</w:t>
      </w:r>
    </w:p>
    <w:p w:rsidR="008B115C" w:rsidRPr="008B115C" w:rsidRDefault="008B115C" w:rsidP="008B115C">
      <w:pPr>
        <w:spacing w:after="0" w:line="240" w:lineRule="auto"/>
      </w:pPr>
    </w:p>
    <w:p w:rsidR="008B115C" w:rsidRPr="008B115C" w:rsidRDefault="008B115C" w:rsidP="008B115C">
      <w:pPr>
        <w:spacing w:after="0" w:line="240" w:lineRule="auto"/>
      </w:pPr>
      <w:r w:rsidRPr="008B115C">
        <w:t>Total data quality score: (100+70+0)/3 = 57</w:t>
      </w:r>
    </w:p>
    <w:p w:rsidR="00D50CC7" w:rsidRDefault="00D50CC7" w:rsidP="004D2A4C">
      <w:pPr>
        <w:spacing w:after="0" w:line="240" w:lineRule="auto"/>
      </w:pPr>
    </w:p>
    <w:p w:rsidR="004E04F7" w:rsidRDefault="004E04F7" w:rsidP="004D2A4C">
      <w:pPr>
        <w:spacing w:after="0" w:line="240" w:lineRule="auto"/>
      </w:pPr>
      <w:r>
        <w:t xml:space="preserve">This means that the scoring approaching for this indicator is </w:t>
      </w:r>
      <w:r w:rsidR="0087570D">
        <w:t>rather</w:t>
      </w:r>
      <w:r>
        <w:t xml:space="preserve"> generous as most donor organisations are likely to allocate more than 21.36% of their overall organisation budget as CPA. </w:t>
      </w:r>
      <w:r w:rsidR="0087570D">
        <w:t>However, i</w:t>
      </w:r>
      <w:r>
        <w:t xml:space="preserve">t also means that an organisation that does not publish at least a total budget for the current year does not score for disaggregated budgets even if the latter are provided in the organisation’s IATI feed. We accept that this methodology is not perfect and welcome suggestions for making further improvements to this test. </w:t>
      </w:r>
    </w:p>
    <w:p w:rsidR="002B748F" w:rsidRDefault="002B748F" w:rsidP="004D2A4C">
      <w:pPr>
        <w:spacing w:after="0" w:line="240" w:lineRule="auto"/>
      </w:pPr>
    </w:p>
    <w:p w:rsidR="003433E8" w:rsidRDefault="00AA26A0" w:rsidP="004D2A4C">
      <w:pPr>
        <w:spacing w:after="0" w:line="240" w:lineRule="auto"/>
        <w:rPr>
          <w:rFonts w:eastAsia="Times New Roman"/>
          <w:b/>
        </w:rPr>
      </w:pPr>
      <w:r>
        <w:t>For organisations that do not allocate their resources by country, but instead do so by sector or thematic area, it is not possible to automate tests to calculate the comprehensiveness of the information as the IATI Standard does not currently include any elements for thematic/sector budgets. Such organisations are scored via the survey.</w:t>
      </w:r>
    </w:p>
    <w:p w:rsidR="003433E8" w:rsidRDefault="003433E8" w:rsidP="004D2A4C">
      <w:pPr>
        <w:spacing w:after="0" w:line="240" w:lineRule="auto"/>
      </w:pPr>
    </w:p>
    <w:p w:rsidR="003433E8" w:rsidRPr="003433E8" w:rsidRDefault="002B748F" w:rsidP="003433E8">
      <w:pPr>
        <w:pStyle w:val="ListParagraph"/>
        <w:numPr>
          <w:ilvl w:val="0"/>
          <w:numId w:val="31"/>
        </w:numPr>
        <w:spacing w:after="0" w:line="240" w:lineRule="auto"/>
        <w:rPr>
          <w:rFonts w:eastAsia="Times New Roman"/>
          <w:b/>
        </w:rPr>
      </w:pPr>
      <w:r w:rsidRPr="003433E8">
        <w:rPr>
          <w:rFonts w:eastAsia="Times New Roman"/>
          <w:b/>
        </w:rPr>
        <w:t>Forward-looking activity budgets</w:t>
      </w:r>
    </w:p>
    <w:p w:rsidR="004E04F7" w:rsidRDefault="003D65E5" w:rsidP="003433E8">
      <w:pPr>
        <w:spacing w:after="0" w:line="240" w:lineRule="auto"/>
      </w:pPr>
      <w:r>
        <w:t>In 2014, a</w:t>
      </w:r>
      <w:r w:rsidR="007860B6">
        <w:t xml:space="preserve"> forward-looking budget is expected for the all activities that are at least in implementation stage. The budget dates must</w:t>
      </w:r>
      <w:r w:rsidR="001615AB">
        <w:t xml:space="preserve"> fall within a window period which starts after the date</w:t>
      </w:r>
      <w:r w:rsidR="007860B6">
        <w:t xml:space="preserve"> of the test-run and </w:t>
      </w:r>
      <w:r w:rsidR="001615AB">
        <w:t>ends</w:t>
      </w:r>
      <w:r w:rsidR="007860B6">
        <w:t xml:space="preserve"> 365 days </w:t>
      </w:r>
      <w:r w:rsidR="001615AB">
        <w:t>later</w:t>
      </w:r>
      <w:r w:rsidR="00143AE3">
        <w:t xml:space="preserve"> </w:t>
      </w:r>
      <w:r w:rsidR="007860B6">
        <w:t>(</w:t>
      </w:r>
      <w:r w:rsidR="00143AE3">
        <w:t>s</w:t>
      </w:r>
      <w:r w:rsidR="007860B6">
        <w:t xml:space="preserve">o if the test is run on </w:t>
      </w:r>
      <w:r w:rsidR="00710FB5">
        <w:t xml:space="preserve">30 </w:t>
      </w:r>
      <w:r w:rsidR="007860B6">
        <w:t xml:space="preserve">June 2014, for an activity to pass this test, it must have a budget with an end date which falls within the period of </w:t>
      </w:r>
      <w:r w:rsidR="001615AB">
        <w:t xml:space="preserve">1 </w:t>
      </w:r>
      <w:r w:rsidR="007860B6">
        <w:t>July 2014–</w:t>
      </w:r>
      <w:r w:rsidR="001615AB">
        <w:t xml:space="preserve">20 </w:t>
      </w:r>
      <w:r w:rsidR="007860B6">
        <w:t>June 201</w:t>
      </w:r>
      <w:r w:rsidR="001615AB">
        <w:t>5. The reason for discounting budgets with end dates beyond June 2015 is that the IATI Standard requires budgets to be broken down annually or by quarters).</w:t>
      </w:r>
      <w:r w:rsidR="00345D43">
        <w:t xml:space="preserve"> </w:t>
      </w:r>
      <w:r w:rsidR="007860B6">
        <w:t xml:space="preserve">If a single budget exists </w:t>
      </w:r>
      <w:r w:rsidR="001615AB">
        <w:t>within the window</w:t>
      </w:r>
      <w:r w:rsidR="007860B6">
        <w:t xml:space="preserve"> period</w:t>
      </w:r>
      <w:r w:rsidR="001615AB">
        <w:t xml:space="preserve"> above</w:t>
      </w:r>
      <w:r w:rsidR="007860B6">
        <w:t xml:space="preserve">, then the organisation passes the first of the </w:t>
      </w:r>
      <w:r w:rsidR="007860B6">
        <w:lastRenderedPageBreak/>
        <w:t xml:space="preserve">two data quality tests for this indicator </w:t>
      </w:r>
      <w:r w:rsidR="001615AB">
        <w:t>which checks to see if a forward-looking budget is available. In order to pass the second test for this indicator, which checks to see if the budget is broken down by quarters, at least three budgets</w:t>
      </w:r>
      <w:r>
        <w:t>, covering at maximum a 90 day period each,</w:t>
      </w:r>
      <w:r w:rsidR="001615AB">
        <w:t xml:space="preserve"> are required within the window period </w:t>
      </w:r>
      <w:r w:rsidR="00710FB5">
        <w:t xml:space="preserve">(see annex 2 </w:t>
      </w:r>
      <w:r w:rsidR="007860B6">
        <w:t>for details o</w:t>
      </w:r>
      <w:r w:rsidR="00710FB5">
        <w:t>n</w:t>
      </w:r>
      <w:r w:rsidR="007860B6">
        <w:t xml:space="preserve"> the data quality tests used).</w:t>
      </w:r>
    </w:p>
    <w:p w:rsidR="001615AB" w:rsidRDefault="001615AB" w:rsidP="004D2A4C">
      <w:pPr>
        <w:keepNext/>
        <w:keepLines/>
        <w:spacing w:after="0" w:line="240" w:lineRule="auto"/>
        <w:outlineLvl w:val="3"/>
      </w:pPr>
    </w:p>
    <w:p w:rsidR="001615AB" w:rsidRPr="003D65E5" w:rsidRDefault="00277752" w:rsidP="004D2A4C">
      <w:pPr>
        <w:keepNext/>
        <w:keepLines/>
        <w:spacing w:after="0" w:line="240" w:lineRule="auto"/>
        <w:outlineLvl w:val="3"/>
      </w:pPr>
      <w:r>
        <w:t xml:space="preserve">This means that </w:t>
      </w:r>
      <w:r w:rsidR="003D65E5">
        <w:t xml:space="preserve">for the purposes of the first test, </w:t>
      </w:r>
      <w:r>
        <w:t>an activity with a forward-looking budget that covers one week is treated the same as a forward-look</w:t>
      </w:r>
      <w:r w:rsidR="00710FB5">
        <w:t xml:space="preserve">ing budget that covers one year, </w:t>
      </w:r>
      <w:r>
        <w:t>as long as it falls within the window pe</w:t>
      </w:r>
      <w:r w:rsidR="003D65E5">
        <w:t>riod assessed.</w:t>
      </w:r>
      <w:r>
        <w:t xml:space="preserve"> However, for an </w:t>
      </w:r>
      <w:r w:rsidR="003D65E5">
        <w:t>organisation to do well on the sec</w:t>
      </w:r>
      <w:r w:rsidR="00710FB5">
        <w:t>ond test, budgets for at least three</w:t>
      </w:r>
      <w:r w:rsidR="003D65E5">
        <w:t xml:space="preserve"> quarters ahead are expected. This test was extremely difficult to design in a way that could programmatically take into account different budget cycles as well as distinguish between activities under implementation that are expected to have additional budgets allocated to them in the future and those that do not. As a result</w:t>
      </w:r>
      <w:r w:rsidR="00710FB5">
        <w:t>,</w:t>
      </w:r>
      <w:r w:rsidR="003D65E5">
        <w:t xml:space="preserve"> it is possible that some organisations may have been over</w:t>
      </w:r>
      <w:r w:rsidR="00710FB5">
        <w:t xml:space="preserve"> or under</w:t>
      </w:r>
      <w:r w:rsidR="003D65E5">
        <w:t>-rewarded. Suggestions on improving this test are welcomed.</w:t>
      </w:r>
    </w:p>
    <w:p w:rsidR="00FF62E8" w:rsidRDefault="00FF62E8" w:rsidP="004D2A4C">
      <w:pPr>
        <w:keepNext/>
        <w:keepLines/>
        <w:spacing w:after="0" w:line="240" w:lineRule="auto"/>
        <w:outlineLvl w:val="3"/>
        <w:rPr>
          <w:rFonts w:ascii="Calibri" w:eastAsia="Times New Roman" w:hAnsi="Calibri" w:cs="Times New Roman"/>
          <w:b/>
          <w:bCs/>
          <w:iCs/>
          <w:color w:val="4F81BD"/>
        </w:rPr>
      </w:pPr>
    </w:p>
    <w:p w:rsidR="004E04F7" w:rsidRPr="00394D03" w:rsidRDefault="004E04F7" w:rsidP="00394D03">
      <w:pPr>
        <w:pStyle w:val="ListParagraph"/>
        <w:keepNext/>
        <w:keepLines/>
        <w:numPr>
          <w:ilvl w:val="0"/>
          <w:numId w:val="31"/>
        </w:numPr>
        <w:spacing w:after="0" w:line="240" w:lineRule="auto"/>
        <w:outlineLvl w:val="3"/>
        <w:rPr>
          <w:rFonts w:eastAsia="Times New Roman"/>
          <w:b/>
        </w:rPr>
      </w:pPr>
      <w:bookmarkStart w:id="18" w:name="_Toc370375780"/>
      <w:bookmarkStart w:id="19" w:name="_Toc370376056"/>
      <w:r w:rsidRPr="00394D03">
        <w:rPr>
          <w:rFonts w:eastAsia="Times New Roman"/>
          <w:b/>
        </w:rPr>
        <w:t>Country strategy papers</w:t>
      </w:r>
      <w:bookmarkEnd w:id="18"/>
      <w:bookmarkEnd w:id="19"/>
      <w:r w:rsidRPr="00394D03">
        <w:rPr>
          <w:rFonts w:eastAsia="Times New Roman"/>
          <w:b/>
        </w:rPr>
        <w:t xml:space="preserve"> </w:t>
      </w:r>
    </w:p>
    <w:p w:rsidR="0087570D" w:rsidRDefault="004E04F7" w:rsidP="0087570D">
      <w:pPr>
        <w:spacing w:after="0" w:line="240" w:lineRule="auto"/>
      </w:pPr>
      <w:r>
        <w:t>Country strategy papers are defined as available if, for each recipient country budget published, there is an equivalent country strategy paper available. Scoring on the country strategy indicator is therefore conditional upon publishing current year bud</w:t>
      </w:r>
      <w:r w:rsidR="0087570D">
        <w:t xml:space="preserve">gets for each recipient country. </w:t>
      </w:r>
      <w:r>
        <w:t>Designing a test for this indicator</w:t>
      </w:r>
      <w:r w:rsidR="0087570D">
        <w:t xml:space="preserve"> proved to be</w:t>
      </w:r>
      <w:r>
        <w:t xml:space="preserve"> difficult g</w:t>
      </w:r>
      <w:r w:rsidR="0087570D">
        <w:t>iven the structure of the IATI s</w:t>
      </w:r>
      <w:r>
        <w:t xml:space="preserve">tandard and the fact that country strategy papers cannot be identified as being related to </w:t>
      </w:r>
      <w:r w:rsidR="0087570D">
        <w:t>specific countries in the IATI s</w:t>
      </w:r>
      <w:r>
        <w:t xml:space="preserve">tandard except by comparing text strings. </w:t>
      </w:r>
      <w:r w:rsidR="0087570D">
        <w:t>Publish What You Fund has</w:t>
      </w:r>
      <w:r>
        <w:t xml:space="preserve"> made a proposal in the past to improve the standard to address th</w:t>
      </w:r>
      <w:r w:rsidR="00FF62E8">
        <w:t>ese</w:t>
      </w:r>
      <w:r>
        <w:t xml:space="preserve"> issue. We welcome feedback on how links between country budgets and country strategies might be improved. </w:t>
      </w:r>
      <w:r w:rsidR="00A230EE">
        <w:t xml:space="preserve">For organisations that do not allocate their resources by country, but instead to do so by sector or thematic area, it is not possible to automate tests to calculate the comprehensiveness of the information as the IATI Standard does not currently include any elements for thematic/sector strategies or budgets. An element for country or thematic strategies is expected to be added in the next iteration of upgrades to the Standard, however sector/thematic budgets are still not included. </w:t>
      </w:r>
      <w:r w:rsidR="00E37A01">
        <w:t>Such organisations are scored via the survey for this indicator.</w:t>
      </w:r>
    </w:p>
    <w:p w:rsidR="002B748F" w:rsidRDefault="002B748F" w:rsidP="0087570D">
      <w:pPr>
        <w:spacing w:after="0" w:line="240" w:lineRule="auto"/>
      </w:pPr>
    </w:p>
    <w:p w:rsidR="00D53618" w:rsidRPr="003433E8" w:rsidRDefault="002B748F" w:rsidP="003433E8">
      <w:pPr>
        <w:pStyle w:val="ListParagraph"/>
        <w:keepNext/>
        <w:keepLines/>
        <w:numPr>
          <w:ilvl w:val="0"/>
          <w:numId w:val="31"/>
        </w:numPr>
        <w:spacing w:after="0" w:line="240" w:lineRule="auto"/>
        <w:outlineLvl w:val="3"/>
        <w:rPr>
          <w:rFonts w:eastAsiaTheme="minorHAnsi"/>
          <w:b/>
          <w:lang w:bidi="ar-SA"/>
        </w:rPr>
      </w:pPr>
      <w:r w:rsidRPr="003433E8">
        <w:rPr>
          <w:b/>
        </w:rPr>
        <w:t xml:space="preserve">Evaluations </w:t>
      </w:r>
    </w:p>
    <w:p w:rsidR="00036641" w:rsidRPr="007B59F5" w:rsidRDefault="00D53618" w:rsidP="007B59F5">
      <w:pPr>
        <w:spacing w:line="240" w:lineRule="auto"/>
      </w:pPr>
      <w:r>
        <w:t xml:space="preserve">The data quality </w:t>
      </w:r>
      <w:r w:rsidRPr="007B59F5">
        <w:t>test</w:t>
      </w:r>
      <w:r>
        <w:t xml:space="preserve"> for the evaluations indicator</w:t>
      </w:r>
      <w:r w:rsidR="00710FB5">
        <w:t xml:space="preserve"> (indicator 28)</w:t>
      </w:r>
      <w:r w:rsidRPr="007B59F5">
        <w:t xml:space="preserve"> </w:t>
      </w:r>
      <w:r>
        <w:t>takes into account</w:t>
      </w:r>
      <w:r w:rsidRPr="007B59F5">
        <w:t xml:space="preserve"> </w:t>
      </w:r>
      <w:r>
        <w:t xml:space="preserve">all activities </w:t>
      </w:r>
      <w:r w:rsidRPr="007B59F5">
        <w:t>that are tagged in IATI as being in completion</w:t>
      </w:r>
      <w:r>
        <w:t xml:space="preserve"> or later</w:t>
      </w:r>
      <w:r w:rsidRPr="007B59F5">
        <w:t xml:space="preserve"> stage</w:t>
      </w:r>
      <w:r>
        <w:t>s</w:t>
      </w:r>
      <w:r w:rsidRPr="007B59F5">
        <w:t xml:space="preserve"> without taking into account the dates when the activities ended. This means that projects that </w:t>
      </w:r>
      <w:r>
        <w:t xml:space="preserve">are completed in recent months before the date of the test run </w:t>
      </w:r>
      <w:r w:rsidRPr="007B59F5">
        <w:t xml:space="preserve">are checked to see if an evaluation report is published. </w:t>
      </w:r>
      <w:r w:rsidR="00710FB5">
        <w:t>A</w:t>
      </w:r>
      <w:r w:rsidR="004714C9">
        <w:t>ll types of activities, regardless of size and type</w:t>
      </w:r>
      <w:r w:rsidR="00710FB5">
        <w:t>,</w:t>
      </w:r>
      <w:r w:rsidR="004714C9">
        <w:t xml:space="preserve"> are expected to have evaluations. We recognise that it is not </w:t>
      </w:r>
      <w:r>
        <w:t>reasonable</w:t>
      </w:r>
      <w:r w:rsidRPr="007B59F5">
        <w:t xml:space="preserve"> to expect evaluation documents to be published</w:t>
      </w:r>
      <w:r w:rsidR="004714C9">
        <w:t xml:space="preserve"> for all projects and</w:t>
      </w:r>
      <w:r w:rsidRPr="007B59F5">
        <w:t xml:space="preserve"> immediately </w:t>
      </w:r>
      <w:r>
        <w:t xml:space="preserve">after a project is completed. </w:t>
      </w:r>
      <w:r w:rsidR="00710FB5">
        <w:t>W</w:t>
      </w:r>
      <w:r>
        <w:t>e</w:t>
      </w:r>
      <w:r w:rsidRPr="007B59F5">
        <w:t xml:space="preserve"> considered adding a time-lag </w:t>
      </w:r>
      <w:r>
        <w:t xml:space="preserve">after project completion to the test and consulted with peer reviewers and several donor organisations to </w:t>
      </w:r>
      <w:r w:rsidR="004714C9">
        <w:t>understand whether this would work</w:t>
      </w:r>
      <w:r>
        <w:t xml:space="preserve">. </w:t>
      </w:r>
      <w:r w:rsidR="004714C9">
        <w:t xml:space="preserve">Based on our consultations, we found that </w:t>
      </w:r>
      <w:r w:rsidR="00036641" w:rsidRPr="007B59F5">
        <w:t xml:space="preserve">approaches vary widely depending on the project intervention </w:t>
      </w:r>
      <w:r w:rsidR="004714C9" w:rsidRPr="007B59F5">
        <w:t>type and size. Further, s</w:t>
      </w:r>
      <w:r w:rsidR="00036641" w:rsidRPr="007B59F5">
        <w:t xml:space="preserve">ome </w:t>
      </w:r>
      <w:r>
        <w:t>large</w:t>
      </w:r>
      <w:r w:rsidR="00036641" w:rsidRPr="007B59F5">
        <w:t xml:space="preserve"> donors ha</w:t>
      </w:r>
      <w:r w:rsidRPr="007B59F5">
        <w:t>ve dedicated, semi-independent monitoring and evaluations</w:t>
      </w:r>
      <w:r w:rsidR="00036641" w:rsidRPr="007B59F5">
        <w:t xml:space="preserve"> divisions whereas others complete evaluations internally or </w:t>
      </w:r>
      <w:r w:rsidR="00163163">
        <w:t>contract</w:t>
      </w:r>
      <w:r w:rsidR="00036641" w:rsidRPr="007B59F5">
        <w:t xml:space="preserve"> external consultants</w:t>
      </w:r>
      <w:r w:rsidR="00710FB5">
        <w:t xml:space="preserve"> to conduct them</w:t>
      </w:r>
      <w:r w:rsidR="00036641" w:rsidRPr="007B59F5">
        <w:t xml:space="preserve">, meaning that the timelines </w:t>
      </w:r>
      <w:r>
        <w:t xml:space="preserve">for publishing evaluations </w:t>
      </w:r>
      <w:r w:rsidR="00036641" w:rsidRPr="007B59F5">
        <w:t>vary significantly.</w:t>
      </w:r>
      <w:r>
        <w:t xml:space="preserve"> </w:t>
      </w:r>
      <w:r w:rsidR="00036641" w:rsidRPr="007B59F5">
        <w:t>Given that we want to assess the comprehensiveness of publication for evaluations (rather than assessing different</w:t>
      </w:r>
      <w:r w:rsidR="004714C9" w:rsidRPr="007B59F5">
        <w:t xml:space="preserve"> approaches to conducting them), the difficulties associated with</w:t>
      </w:r>
      <w:r>
        <w:t xml:space="preserve"> programmatically</w:t>
      </w:r>
      <w:r w:rsidRPr="007B59F5">
        <w:t xml:space="preserve"> </w:t>
      </w:r>
      <w:r>
        <w:t>assess</w:t>
      </w:r>
      <w:r w:rsidR="004714C9">
        <w:t>ing</w:t>
      </w:r>
      <w:r>
        <w:t xml:space="preserve"> donors based on their individual approaches to evaluations</w:t>
      </w:r>
      <w:r w:rsidR="00036641" w:rsidRPr="007B59F5">
        <w:t xml:space="preserve">, </w:t>
      </w:r>
      <w:r w:rsidR="004714C9">
        <w:t xml:space="preserve">and that we want to encourage best case practices and timely publication, we did not include a time lag in the test used in 2014. While we recognise that the test as it stands is imperfect and would like to consider further </w:t>
      </w:r>
      <w:r w:rsidR="00163163">
        <w:t>improvements</w:t>
      </w:r>
      <w:r w:rsidR="004714C9">
        <w:t xml:space="preserve">, we did not want to make changes that would not be sustainable </w:t>
      </w:r>
      <w:r w:rsidR="00163163">
        <w:t>in</w:t>
      </w:r>
      <w:r w:rsidR="004714C9">
        <w:t xml:space="preserve"> the future. One </w:t>
      </w:r>
      <w:r w:rsidR="00163163">
        <w:t xml:space="preserve">suggested </w:t>
      </w:r>
      <w:r w:rsidR="004714C9">
        <w:t xml:space="preserve">option for testing evaluations </w:t>
      </w:r>
      <w:r w:rsidR="00163163">
        <w:t xml:space="preserve">published to </w:t>
      </w:r>
      <w:r w:rsidR="00D81462">
        <w:t xml:space="preserve">IATI </w:t>
      </w:r>
      <w:r w:rsidR="004714C9">
        <w:t xml:space="preserve">in the future </w:t>
      </w:r>
      <w:r w:rsidR="00163163">
        <w:t>i</w:t>
      </w:r>
      <w:r w:rsidR="000B647D">
        <w:t>s to allow organisations to</w:t>
      </w:r>
      <w:r w:rsidR="004714C9">
        <w:t xml:space="preserve"> </w:t>
      </w:r>
      <w:r w:rsidR="000B647D">
        <w:t>add</w:t>
      </w:r>
      <w:r w:rsidR="004714C9">
        <w:t xml:space="preserve"> a flag or marker against activities that are expected to</w:t>
      </w:r>
      <w:r w:rsidR="000B647D">
        <w:t xml:space="preserve"> be</w:t>
      </w:r>
      <w:r w:rsidR="004714C9">
        <w:t xml:space="preserve"> evaluated </w:t>
      </w:r>
      <w:r w:rsidR="000B647D">
        <w:t xml:space="preserve">along with dates for expected publication, so </w:t>
      </w:r>
      <w:r w:rsidR="004714C9">
        <w:t xml:space="preserve">activities </w:t>
      </w:r>
      <w:r w:rsidR="000B647D">
        <w:t xml:space="preserve">can be selected </w:t>
      </w:r>
      <w:r w:rsidR="004714C9">
        <w:t>for assessment accordingly.</w:t>
      </w:r>
      <w:r w:rsidR="000B647D">
        <w:t xml:space="preserve"> However, such a flagging system does not exist in the Standard currently.</w:t>
      </w:r>
      <w:r w:rsidR="004714C9">
        <w:t xml:space="preserve"> </w:t>
      </w:r>
    </w:p>
    <w:p w:rsidR="0087570D" w:rsidRDefault="0087570D" w:rsidP="0087570D">
      <w:pPr>
        <w:spacing w:after="0" w:line="240" w:lineRule="auto"/>
        <w:rPr>
          <w:rFonts w:eastAsiaTheme="minorHAnsi"/>
          <w:b/>
          <w:u w:val="single"/>
          <w:lang w:bidi="ar-SA"/>
        </w:rPr>
      </w:pPr>
    </w:p>
    <w:p w:rsidR="002B748F" w:rsidRDefault="002B748F" w:rsidP="002B748F">
      <w:pPr>
        <w:keepNext/>
        <w:keepLines/>
        <w:spacing w:after="0" w:line="240" w:lineRule="auto"/>
        <w:outlineLvl w:val="3"/>
        <w:rPr>
          <w:rFonts w:ascii="Cambria" w:eastAsiaTheme="majorEastAsia" w:hAnsi="Cambria" w:cstheme="majorBidi"/>
          <w:b/>
          <w:bCs/>
          <w:iCs/>
          <w:color w:val="4F81BD" w:themeColor="accent1"/>
        </w:rPr>
      </w:pPr>
      <w:r>
        <w:rPr>
          <w:rFonts w:ascii="Cambria" w:eastAsiaTheme="majorEastAsia" w:hAnsi="Cambria" w:cstheme="majorBidi"/>
          <w:b/>
          <w:bCs/>
          <w:iCs/>
          <w:color w:val="4F81BD" w:themeColor="accent1"/>
        </w:rPr>
        <w:lastRenderedPageBreak/>
        <w:t>Calculating frequency</w:t>
      </w:r>
    </w:p>
    <w:p w:rsidR="003433E8" w:rsidRDefault="005455EF" w:rsidP="003433E8">
      <w:pPr>
        <w:spacing w:after="0" w:line="240" w:lineRule="auto"/>
      </w:pPr>
      <w:r>
        <w:t>For the purposes of the Index, t</w:t>
      </w:r>
      <w:r w:rsidR="003433E8" w:rsidRPr="003D1EEA">
        <w:t xml:space="preserve">he frequency of publication is </w:t>
      </w:r>
      <w:r w:rsidR="003433E8">
        <w:t xml:space="preserve">currently </w:t>
      </w:r>
      <w:r w:rsidR="003433E8" w:rsidRPr="003D1EEA">
        <w:t xml:space="preserve">calculated based on the number of </w:t>
      </w:r>
      <w:r w:rsidR="003433E8">
        <w:t>months in which there are update</w:t>
      </w:r>
      <w:r w:rsidR="003433E8" w:rsidRPr="003D1EEA">
        <w:t>s in the previous six month period as recorded in the IATI Registry logs.</w:t>
      </w:r>
      <w:r w:rsidR="003433E8">
        <w:t xml:space="preserve"> </w:t>
      </w:r>
      <w:r w:rsidR="003433E8" w:rsidRPr="003D1EEA">
        <w:t>To score as a monthly publisher, an organisation needs</w:t>
      </w:r>
      <w:r w:rsidR="003433E8">
        <w:t xml:space="preserve"> to update its files in five of the</w:t>
      </w:r>
      <w:r w:rsidR="003433E8" w:rsidRPr="003D1EEA">
        <w:t xml:space="preserve"> previous six months</w:t>
      </w:r>
      <w:r w:rsidR="003433E8">
        <w:t xml:space="preserve"> (</w:t>
      </w:r>
      <w:r w:rsidR="003433E8" w:rsidRPr="003D1EEA">
        <w:t>January–June 2014</w:t>
      </w:r>
      <w:r w:rsidR="003433E8">
        <w:t>, at the end of data collection)</w:t>
      </w:r>
      <w:r w:rsidR="003433E8" w:rsidRPr="003D1EEA">
        <w:t xml:space="preserve">. For quarterly, the organisation needs to </w:t>
      </w:r>
      <w:r w:rsidR="003433E8">
        <w:t>update</w:t>
      </w:r>
      <w:r w:rsidR="003433E8" w:rsidRPr="003D1EEA">
        <w:t xml:space="preserve"> its files </w:t>
      </w:r>
      <w:r w:rsidR="003433E8">
        <w:t>in two of the previous six months.</w:t>
      </w:r>
      <w:r w:rsidR="003433E8">
        <w:rPr>
          <w:rFonts w:cs="Times New Roman"/>
          <w:bCs/>
          <w:kern w:val="36"/>
        </w:rPr>
        <w:t xml:space="preserve"> </w:t>
      </w:r>
      <w:r w:rsidR="003433E8">
        <w:t xml:space="preserve">The six month window is defined as 184 days, which is the maximum number of days in any six month period. </w:t>
      </w:r>
      <w:r w:rsidR="003A0579">
        <w:t>The methodology used to measure frequency in the 2014 IATI Annual Report is based on a similar principle of calculating the number of updates in a given number of months, although the thresholds for distinguishing between the various frequencies differ.</w:t>
      </w:r>
      <w:r w:rsidR="003A0579">
        <w:rPr>
          <w:rStyle w:val="FootnoteReference"/>
        </w:rPr>
        <w:footnoteReference w:id="23"/>
      </w:r>
      <w:r>
        <w:t xml:space="preserve"> As a result, there are a few discrepancies in frequency of publication recorded for some organisations in the two reports. </w:t>
      </w:r>
    </w:p>
    <w:p w:rsidR="003433E8" w:rsidRDefault="003433E8" w:rsidP="003433E8">
      <w:pPr>
        <w:spacing w:after="0" w:line="240" w:lineRule="auto"/>
      </w:pPr>
    </w:p>
    <w:p w:rsidR="005455EF" w:rsidRPr="008D4218" w:rsidRDefault="003A0579" w:rsidP="0087570D">
      <w:pPr>
        <w:spacing w:after="0" w:line="240" w:lineRule="auto"/>
      </w:pPr>
      <w:r>
        <w:t>The main challenge in using both these approaches</w:t>
      </w:r>
      <w:r w:rsidR="008A5C1D">
        <w:t xml:space="preserve"> is that it is difficult to distinguish between updates that involve minor corrections to existing information from </w:t>
      </w:r>
      <w:r w:rsidR="005455EF">
        <w:t xml:space="preserve">those that involve </w:t>
      </w:r>
      <w:r w:rsidR="008A5C1D">
        <w:t>adding new information.</w:t>
      </w:r>
      <w:r w:rsidR="00345D43">
        <w:t xml:space="preserve"> </w:t>
      </w:r>
      <w:r w:rsidR="005455EF">
        <w:t>Assessing when new transactions are added to IATI files would allow for better and more accurate measurement of frequency. However, this requires considerable investments in the underlying software programs that would be needed to record and retrieve information on new transactions. We will continue to work on improving the frequency, including by working with the IATI Secretaria</w:t>
      </w:r>
      <w:r w:rsidR="008D4218">
        <w:t>t on aligning the measures used in the Index and the IATI Annual Report.</w:t>
      </w:r>
    </w:p>
    <w:p w:rsidR="002B748F" w:rsidRDefault="002B748F" w:rsidP="0087570D">
      <w:pPr>
        <w:spacing w:after="0" w:line="240" w:lineRule="auto"/>
        <w:rPr>
          <w:rFonts w:eastAsiaTheme="minorHAnsi"/>
          <w:b/>
          <w:u w:val="single"/>
          <w:lang w:bidi="ar-SA"/>
        </w:rPr>
      </w:pPr>
    </w:p>
    <w:p w:rsidR="0087570D" w:rsidRPr="00C428DA" w:rsidRDefault="0087570D" w:rsidP="00C428DA">
      <w:pPr>
        <w:keepNext/>
        <w:keepLines/>
        <w:spacing w:after="0" w:line="240" w:lineRule="auto"/>
        <w:outlineLvl w:val="3"/>
        <w:rPr>
          <w:rFonts w:ascii="Cambria" w:eastAsiaTheme="majorEastAsia" w:hAnsi="Cambria" w:cstheme="majorBidi"/>
          <w:b/>
          <w:bCs/>
          <w:iCs/>
          <w:color w:val="4F81BD" w:themeColor="accent1"/>
        </w:rPr>
      </w:pPr>
      <w:r w:rsidRPr="00FC0BC5">
        <w:rPr>
          <w:rFonts w:ascii="Cambria" w:eastAsiaTheme="majorEastAsia" w:hAnsi="Cambria" w:cstheme="majorBidi"/>
          <w:b/>
          <w:bCs/>
          <w:iCs/>
          <w:color w:val="4F81BD" w:themeColor="accent1"/>
        </w:rPr>
        <w:t>E</w:t>
      </w:r>
      <w:r w:rsidR="004E04F7" w:rsidRPr="00FC0BC5">
        <w:rPr>
          <w:rFonts w:ascii="Cambria" w:eastAsiaTheme="majorEastAsia" w:hAnsi="Cambria" w:cstheme="majorBidi"/>
          <w:b/>
          <w:bCs/>
          <w:iCs/>
          <w:color w:val="4F81BD" w:themeColor="accent1"/>
        </w:rPr>
        <w:t>nsuring documents published as links in IATI meet the criteria set out in the scoring guidelines for indicators</w:t>
      </w:r>
    </w:p>
    <w:p w:rsidR="00A75829" w:rsidRDefault="0087570D" w:rsidP="0087570D">
      <w:pPr>
        <w:spacing w:after="0" w:line="240" w:lineRule="auto"/>
      </w:pPr>
      <w:r w:rsidRPr="0087570D">
        <w:rPr>
          <w:rFonts w:ascii="Calibri" w:eastAsia="Times New Roman" w:hAnsi="Calibri" w:cs="Times New Roman"/>
          <w:bCs/>
          <w:iCs/>
        </w:rPr>
        <w:t>I</w:t>
      </w:r>
      <w:r w:rsidR="004E04F7" w:rsidRPr="0087570D">
        <w:rPr>
          <w:rFonts w:eastAsiaTheme="minorHAnsi"/>
          <w:lang w:bidi="ar-SA"/>
        </w:rPr>
        <w:t xml:space="preserve">t </w:t>
      </w:r>
      <w:r w:rsidR="004E04F7" w:rsidRPr="00984A0F">
        <w:rPr>
          <w:rFonts w:eastAsiaTheme="minorHAnsi"/>
          <w:lang w:bidi="ar-SA"/>
        </w:rPr>
        <w:t xml:space="preserve">is possible to add </w:t>
      </w:r>
      <w:r w:rsidR="004E04F7">
        <w:t xml:space="preserve">organisation documents such as annual reports, allocation </w:t>
      </w:r>
      <w:r>
        <w:t>policies and</w:t>
      </w:r>
      <w:r w:rsidR="004E04F7">
        <w:t xml:space="preserve"> procurement </w:t>
      </w:r>
      <w:r>
        <w:t>guidelines,</w:t>
      </w:r>
      <w:r w:rsidR="004E04F7">
        <w:t xml:space="preserve"> and </w:t>
      </w:r>
      <w:r w:rsidR="004E04F7" w:rsidRPr="00984A0F">
        <w:rPr>
          <w:rFonts w:eastAsiaTheme="minorHAnsi"/>
          <w:lang w:bidi="ar-SA"/>
        </w:rPr>
        <w:t xml:space="preserve">related </w:t>
      </w:r>
      <w:r w:rsidR="004E04F7">
        <w:t>documents for</w:t>
      </w:r>
      <w:r w:rsidR="004E04F7" w:rsidRPr="00984A0F">
        <w:rPr>
          <w:rFonts w:eastAsiaTheme="minorHAnsi"/>
          <w:lang w:bidi="ar-SA"/>
        </w:rPr>
        <w:t xml:space="preserve"> an activity</w:t>
      </w:r>
      <w:r>
        <w:t xml:space="preserve"> </w:t>
      </w:r>
      <w:r w:rsidR="004E04F7">
        <w:t>such as contracts, budget documents, evaluations</w:t>
      </w:r>
      <w:r>
        <w:t>,</w:t>
      </w:r>
      <w:r w:rsidR="004E04F7">
        <w:t xml:space="preserve"> etc.</w:t>
      </w:r>
      <w:r w:rsidR="004E04F7" w:rsidRPr="00984A0F">
        <w:rPr>
          <w:rFonts w:eastAsiaTheme="minorHAnsi"/>
          <w:lang w:bidi="ar-SA"/>
        </w:rPr>
        <w:t xml:space="preserve"> in order to provide a wider context for </w:t>
      </w:r>
      <w:r>
        <w:rPr>
          <w:rFonts w:eastAsiaTheme="minorHAnsi"/>
          <w:lang w:bidi="ar-SA"/>
        </w:rPr>
        <w:t>an activity. T</w:t>
      </w:r>
      <w:r w:rsidR="004E04F7" w:rsidRPr="00423FCC">
        <w:t xml:space="preserve">his makes </w:t>
      </w:r>
      <w:r w:rsidR="00221A8B">
        <w:t>documents</w:t>
      </w:r>
      <w:r w:rsidR="00221A8B" w:rsidRPr="00423FCC">
        <w:t xml:space="preserve"> </w:t>
      </w:r>
      <w:r w:rsidR="004E04F7" w:rsidRPr="00423FCC">
        <w:t>easier to locate and identify than documents available just on the organisation’s website</w:t>
      </w:r>
      <w:r w:rsidR="00221A8B">
        <w:t>,</w:t>
      </w:r>
      <w:r w:rsidR="004E04F7" w:rsidRPr="00423FCC">
        <w:t xml:space="preserve"> he</w:t>
      </w:r>
      <w:r w:rsidR="004E04F7">
        <w:t>nce they are scored more highly in the Index.</w:t>
      </w:r>
      <w:r w:rsidR="00A75829">
        <w:t xml:space="preserve"> </w:t>
      </w:r>
    </w:p>
    <w:p w:rsidR="00A75829" w:rsidRDefault="00A75829" w:rsidP="0087570D">
      <w:pPr>
        <w:spacing w:after="0" w:line="240" w:lineRule="auto"/>
      </w:pPr>
    </w:p>
    <w:p w:rsidR="0087570D" w:rsidRDefault="004E04F7" w:rsidP="0087570D">
      <w:pPr>
        <w:spacing w:after="0" w:line="240" w:lineRule="auto"/>
      </w:pPr>
      <w:r>
        <w:t xml:space="preserve">However, it is difficult to verify the quality of each document linked in an organisation’s IATI file. The number of documents that would </w:t>
      </w:r>
      <w:r w:rsidR="00DA5629">
        <w:t>require individual</w:t>
      </w:r>
      <w:r>
        <w:t xml:space="preserve"> checking is prohibitive (especially for donors reporting thousands of activities in their IATI files). </w:t>
      </w:r>
      <w:r w:rsidR="00DA5629">
        <w:t xml:space="preserve">In 2013, </w:t>
      </w:r>
      <w:r w:rsidR="001670E1">
        <w:t xml:space="preserve">some </w:t>
      </w:r>
      <w:r>
        <w:t xml:space="preserve">random spot checks </w:t>
      </w:r>
      <w:r w:rsidR="00DA5629">
        <w:t>were made</w:t>
      </w:r>
      <w:r w:rsidR="001670E1">
        <w:t xml:space="preserve"> on organisation-level documents</w:t>
      </w:r>
      <w:r>
        <w:t xml:space="preserve"> to ensure </w:t>
      </w:r>
      <w:r w:rsidR="001670E1">
        <w:t>these</w:t>
      </w:r>
      <w:r>
        <w:t xml:space="preserve"> met the criteria defined in the scoring guidelines. </w:t>
      </w:r>
      <w:r w:rsidRPr="004514D7">
        <w:t xml:space="preserve">In </w:t>
      </w:r>
      <w:r w:rsidR="00FC0BC5" w:rsidRPr="004514D7">
        <w:t xml:space="preserve">2014, </w:t>
      </w:r>
      <w:r w:rsidRPr="004514D7">
        <w:t xml:space="preserve">a more systematic procedure </w:t>
      </w:r>
      <w:r w:rsidR="00216D75" w:rsidRPr="004514D7">
        <w:t>is</w:t>
      </w:r>
      <w:r w:rsidR="00FC0BC5" w:rsidRPr="004514D7">
        <w:t xml:space="preserve"> used </w:t>
      </w:r>
      <w:r w:rsidRPr="004514D7">
        <w:t xml:space="preserve">for </w:t>
      </w:r>
      <w:r w:rsidR="001670E1" w:rsidRPr="004514D7">
        <w:t xml:space="preserve">sampling and </w:t>
      </w:r>
      <w:r w:rsidRPr="004514D7">
        <w:t>conducting checks</w:t>
      </w:r>
      <w:r w:rsidR="00FC0BC5" w:rsidRPr="004514D7">
        <w:t xml:space="preserve"> against all </w:t>
      </w:r>
      <w:r w:rsidR="001670E1" w:rsidRPr="004514D7">
        <w:t>document types published at both the organisation and activity level</w:t>
      </w:r>
      <w:r w:rsidR="00FC0BC5" w:rsidRPr="004514D7">
        <w:t xml:space="preserve">, as detailed </w:t>
      </w:r>
      <w:r w:rsidR="00163163">
        <w:t xml:space="preserve">in section 1 </w:t>
      </w:r>
      <w:r w:rsidR="00FC0BC5" w:rsidRPr="004514D7">
        <w:t>on p.</w:t>
      </w:r>
      <w:r w:rsidR="00216D75" w:rsidRPr="004514D7">
        <w:t>11</w:t>
      </w:r>
      <w:r w:rsidRPr="004514D7">
        <w:t>.</w:t>
      </w:r>
      <w:r>
        <w:t xml:space="preserve"> </w:t>
      </w:r>
    </w:p>
    <w:p w:rsidR="0087570D" w:rsidRDefault="0087570D" w:rsidP="0087570D">
      <w:pPr>
        <w:spacing w:after="0" w:line="240" w:lineRule="auto"/>
      </w:pPr>
    </w:p>
    <w:p w:rsidR="0087570D" w:rsidRPr="00C428DA" w:rsidRDefault="0087570D" w:rsidP="00C428DA">
      <w:pPr>
        <w:keepNext/>
        <w:keepLines/>
        <w:spacing w:after="0" w:line="240" w:lineRule="auto"/>
        <w:outlineLvl w:val="3"/>
        <w:rPr>
          <w:rFonts w:ascii="Cambria" w:eastAsiaTheme="majorEastAsia" w:hAnsi="Cambria" w:cstheme="majorBidi"/>
          <w:b/>
          <w:bCs/>
          <w:iCs/>
          <w:color w:val="4F81BD" w:themeColor="accent1"/>
        </w:rPr>
      </w:pPr>
      <w:r w:rsidRPr="00C428DA">
        <w:rPr>
          <w:rFonts w:ascii="Cambria" w:eastAsiaTheme="majorEastAsia" w:hAnsi="Cambria" w:cstheme="majorBidi"/>
          <w:b/>
          <w:bCs/>
          <w:iCs/>
          <w:color w:val="4F81BD" w:themeColor="accent1"/>
        </w:rPr>
        <w:t>C</w:t>
      </w:r>
      <w:r w:rsidR="004E04F7" w:rsidRPr="00C428DA">
        <w:rPr>
          <w:rFonts w:ascii="Cambria" w:eastAsiaTheme="majorEastAsia" w:hAnsi="Cambria" w:cstheme="majorBidi"/>
          <w:b/>
          <w:bCs/>
          <w:iCs/>
          <w:color w:val="4F81BD" w:themeColor="accent1"/>
        </w:rPr>
        <w:t>larifying the methodology of the automated assessment to donors and partner organisations</w:t>
      </w:r>
    </w:p>
    <w:p w:rsidR="00FA226B" w:rsidRDefault="00171B63" w:rsidP="00FA226B">
      <w:pPr>
        <w:spacing w:after="0" w:line="240" w:lineRule="auto"/>
      </w:pPr>
      <w:r>
        <w:t xml:space="preserve">Explaining the process for automatically collecting and assessing IATI XML data </w:t>
      </w:r>
      <w:r w:rsidR="00A67FE2">
        <w:t>is</w:t>
      </w:r>
      <w:r>
        <w:t xml:space="preserve"> challenging. I</w:t>
      </w:r>
      <w:r w:rsidR="004E04F7">
        <w:t xml:space="preserve">ndicator scoring guidelines and </w:t>
      </w:r>
      <w:r>
        <w:t xml:space="preserve">details of </w:t>
      </w:r>
      <w:r w:rsidR="004E04F7">
        <w:t xml:space="preserve">the tests underlying the automated assessment </w:t>
      </w:r>
      <w:r w:rsidR="00A67FE2">
        <w:t>a</w:t>
      </w:r>
      <w:r w:rsidR="004E04F7">
        <w:t xml:space="preserve">re made available on </w:t>
      </w:r>
      <w:r w:rsidR="00DA5629">
        <w:t>Publish What You Fund’s</w:t>
      </w:r>
      <w:r w:rsidR="004E04F7">
        <w:t xml:space="preserve"> website and the Tracker </w:t>
      </w:r>
      <w:r w:rsidR="00DA5629">
        <w:t xml:space="preserve">during </w:t>
      </w:r>
      <w:r w:rsidR="004E04F7">
        <w:t xml:space="preserve">data collection. </w:t>
      </w:r>
      <w:r w:rsidR="00FA226B">
        <w:t xml:space="preserve">Cross-references have also been included in the indicator guidelines so publishers can see which element of IATI the tests are being run against for a particular indicator. </w:t>
      </w:r>
    </w:p>
    <w:p w:rsidR="00FA226B" w:rsidRDefault="00FA226B" w:rsidP="00FA226B">
      <w:pPr>
        <w:spacing w:after="0" w:line="240" w:lineRule="auto"/>
      </w:pPr>
    </w:p>
    <w:p w:rsidR="000445AB" w:rsidRDefault="00A67FE2" w:rsidP="00FA226B">
      <w:pPr>
        <w:spacing w:after="0" w:line="240" w:lineRule="auto"/>
      </w:pPr>
      <w:r>
        <w:t xml:space="preserve">We are happy to provide clarifications to donors and CSOs on how </w:t>
      </w:r>
      <w:r w:rsidR="005232AF">
        <w:t>scores</w:t>
      </w:r>
      <w:r w:rsidR="00171B63">
        <w:t xml:space="preserve"> from the automated tests </w:t>
      </w:r>
      <w:r>
        <w:t>are</w:t>
      </w:r>
      <w:r w:rsidR="00171B63">
        <w:t xml:space="preserve"> amalgamated with those</w:t>
      </w:r>
      <w:r w:rsidR="005232AF">
        <w:t xml:space="preserve"> from the survey</w:t>
      </w:r>
      <w:r w:rsidR="009311CD">
        <w:t xml:space="preserve">, </w:t>
      </w:r>
      <w:r w:rsidR="004E04F7">
        <w:t xml:space="preserve">particularly </w:t>
      </w:r>
      <w:r w:rsidR="009311CD">
        <w:t>so that</w:t>
      </w:r>
      <w:r w:rsidR="004E04F7">
        <w:t xml:space="preserve"> donors </w:t>
      </w:r>
      <w:r w:rsidR="009311CD">
        <w:t>can</w:t>
      </w:r>
      <w:r w:rsidR="004E04F7">
        <w:t xml:space="preserve"> understand the gaps in their data and identify areas of improvement. </w:t>
      </w:r>
    </w:p>
    <w:p w:rsidR="00EE5EEE" w:rsidRDefault="00EE5EEE" w:rsidP="00FA226B">
      <w:pPr>
        <w:spacing w:after="0" w:line="240" w:lineRule="auto"/>
      </w:pPr>
    </w:p>
    <w:p w:rsidR="00163163" w:rsidRDefault="00163163">
      <w:pPr>
        <w:rPr>
          <w:rFonts w:ascii="Cambria" w:eastAsia="Calibri" w:hAnsi="Cambria" w:cs="Times New Roman"/>
          <w:b/>
          <w:bCs/>
          <w:color w:val="4F81BD"/>
          <w:sz w:val="28"/>
          <w:szCs w:val="26"/>
        </w:rPr>
      </w:pPr>
      <w:bookmarkStart w:id="20" w:name="_GoBack"/>
      <w:bookmarkEnd w:id="20"/>
    </w:p>
    <w:p w:rsidR="00EE5EEE" w:rsidRPr="00EE5EEE" w:rsidRDefault="00EE5EEE" w:rsidP="00FA226B">
      <w:pPr>
        <w:spacing w:after="0" w:line="240" w:lineRule="auto"/>
        <w:rPr>
          <w:rFonts w:ascii="Cambria" w:eastAsia="Calibri" w:hAnsi="Cambria" w:cs="Times New Roman"/>
          <w:b/>
          <w:bCs/>
          <w:color w:val="4F81BD"/>
          <w:sz w:val="28"/>
          <w:szCs w:val="26"/>
        </w:rPr>
      </w:pPr>
      <w:r w:rsidRPr="00EE5EEE">
        <w:rPr>
          <w:rFonts w:ascii="Cambria" w:eastAsia="Calibri" w:hAnsi="Cambria" w:cs="Times New Roman"/>
          <w:b/>
          <w:bCs/>
          <w:color w:val="4F81BD"/>
          <w:sz w:val="28"/>
          <w:szCs w:val="26"/>
        </w:rPr>
        <w:lastRenderedPageBreak/>
        <w:t>Future iterations of the ATI</w:t>
      </w:r>
    </w:p>
    <w:p w:rsidR="00EE5EEE" w:rsidRDefault="00EE5EEE" w:rsidP="00EE5EEE">
      <w:pPr>
        <w:spacing w:after="0" w:line="240" w:lineRule="auto"/>
      </w:pPr>
    </w:p>
    <w:p w:rsidR="00EE5EEE" w:rsidRDefault="00EE5EEE" w:rsidP="00EE5EEE">
      <w:pPr>
        <w:spacing w:after="0" w:line="240" w:lineRule="auto"/>
      </w:pPr>
      <w:r>
        <w:t xml:space="preserve">The new methodology that was introduced in 2013 allows for a more accurate reflection of </w:t>
      </w:r>
      <w:r w:rsidR="00163163">
        <w:t>organisation</w:t>
      </w:r>
      <w:r>
        <w:t xml:space="preserve">s’ publication practices. However, we recognise that the automated component used to assess the quality of IATI data needed some refinement. A key priority in 2014 has been to improve the data quality tests to address some of the challenges described above. We will continue to revisit the tests, particularly those used for measuring country strategy papers and disaggregated budgets. </w:t>
      </w:r>
    </w:p>
    <w:p w:rsidR="00EE5EEE" w:rsidRDefault="00EE5EEE" w:rsidP="00EE5EEE">
      <w:pPr>
        <w:spacing w:after="0" w:line="240" w:lineRule="auto"/>
      </w:pPr>
    </w:p>
    <w:p w:rsidR="00EE5EEE" w:rsidRDefault="00EE5EEE" w:rsidP="00EE5EEE">
      <w:pPr>
        <w:spacing w:after="0" w:line="240" w:lineRule="auto"/>
      </w:pPr>
      <w:r>
        <w:t>It is anticipated that data collection and analysis will become easier in future years as more donors publish to IATI, automating a large amount of the data collection. This may allow for the inclusion of an increased number of donors in future iterations. We would also like to consider extending our assessment to include more D</w:t>
      </w:r>
      <w:r w:rsidR="00163163">
        <w:t>FIs</w:t>
      </w:r>
      <w:r>
        <w:t xml:space="preserve"> and/or providers of south-south cooperation, either as part of the annual ATI process or in separate publications that focus on the specific practices of these </w:t>
      </w:r>
      <w:r w:rsidR="00163163">
        <w:t>organisations</w:t>
      </w:r>
      <w:r>
        <w:t xml:space="preserve"> and the challenges they face in enhancing their transparency. </w:t>
      </w:r>
    </w:p>
    <w:p w:rsidR="00EE5EEE" w:rsidRDefault="00EE5EEE" w:rsidP="00EE5EEE">
      <w:pPr>
        <w:spacing w:after="0" w:line="240" w:lineRule="auto"/>
      </w:pPr>
    </w:p>
    <w:p w:rsidR="00EE5EEE" w:rsidRDefault="00EE5EEE" w:rsidP="00EE5EEE">
      <w:pPr>
        <w:spacing w:after="0" w:line="240" w:lineRule="auto"/>
      </w:pPr>
      <w:r>
        <w:t xml:space="preserve">We welcome feedback and comments on further improvements and in response to the challenges outlined in Section 6. Please send suggestions to: </w:t>
      </w:r>
      <w:hyperlink r:id="rId20" w:history="1">
        <w:r w:rsidRPr="0074066E">
          <w:rPr>
            <w:rStyle w:val="Hyperlink"/>
          </w:rPr>
          <w:t>2014tracker@publishwhatyoufund.org</w:t>
        </w:r>
      </w:hyperlink>
    </w:p>
    <w:p w:rsidR="00EE5EEE" w:rsidRDefault="00EE5EEE" w:rsidP="00FA226B">
      <w:pPr>
        <w:spacing w:after="0" w:line="240" w:lineRule="auto"/>
      </w:pPr>
    </w:p>
    <w:p w:rsidR="00EE5EEE" w:rsidRDefault="00EE5EEE" w:rsidP="00FA226B">
      <w:pPr>
        <w:spacing w:after="0" w:line="240" w:lineRule="auto"/>
        <w:rPr>
          <w:sz w:val="36"/>
        </w:rPr>
        <w:sectPr w:rsidR="00EE5EEE" w:rsidSect="002B2AC5">
          <w:pgSz w:w="16838" w:h="11906" w:orient="landscape"/>
          <w:pgMar w:top="1021" w:right="1021" w:bottom="1021" w:left="1021" w:header="709" w:footer="709" w:gutter="0"/>
          <w:cols w:space="708"/>
          <w:docGrid w:linePitch="360"/>
        </w:sectPr>
      </w:pPr>
    </w:p>
    <w:p w:rsidR="00FD2C62" w:rsidRPr="000445AB" w:rsidRDefault="007B1271" w:rsidP="000D5F0D">
      <w:pPr>
        <w:pStyle w:val="Heading1"/>
        <w:spacing w:before="0" w:line="240" w:lineRule="auto"/>
        <w:rPr>
          <w:sz w:val="36"/>
        </w:rPr>
      </w:pPr>
      <w:bookmarkStart w:id="21" w:name="_Toc399168592"/>
      <w:r w:rsidRPr="000445AB">
        <w:rPr>
          <w:sz w:val="36"/>
        </w:rPr>
        <w:lastRenderedPageBreak/>
        <w:t>Annex 1: Indicator definitions</w:t>
      </w:r>
      <w:bookmarkEnd w:id="21"/>
    </w:p>
    <w:p w:rsidR="007B1271" w:rsidRPr="00F01BB0" w:rsidRDefault="007B1271" w:rsidP="00935A49">
      <w:pPr>
        <w:spacing w:after="0" w:line="240" w:lineRule="auto"/>
        <w:rPr>
          <w:sz w:val="20"/>
          <w:szCs w:val="20"/>
        </w:rPr>
      </w:pPr>
    </w:p>
    <w:p w:rsidR="00553543" w:rsidRDefault="00A326C5" w:rsidP="00935A49">
      <w:pPr>
        <w:spacing w:after="0" w:line="240" w:lineRule="auto"/>
        <w:rPr>
          <w:rFonts w:ascii="Cambria" w:eastAsia="Calibri" w:hAnsi="Cambria" w:cs="Times New Roman"/>
          <w:b/>
          <w:bCs/>
          <w:color w:val="4F81BD"/>
          <w:sz w:val="24"/>
        </w:rPr>
      </w:pPr>
      <w:r>
        <w:rPr>
          <w:rFonts w:ascii="Cambria" w:eastAsia="Calibri" w:hAnsi="Cambria" w:cs="Times New Roman"/>
          <w:b/>
          <w:bCs/>
          <w:color w:val="4F81BD"/>
          <w:sz w:val="24"/>
        </w:rPr>
        <w:t>Table 5</w:t>
      </w:r>
      <w:r w:rsidR="00553543" w:rsidRPr="00913ED9">
        <w:rPr>
          <w:rFonts w:ascii="Cambria" w:eastAsia="Calibri" w:hAnsi="Cambria" w:cs="Times New Roman"/>
          <w:b/>
          <w:bCs/>
          <w:color w:val="4F81BD"/>
          <w:sz w:val="24"/>
        </w:rPr>
        <w:t xml:space="preserve">: </w:t>
      </w:r>
      <w:r w:rsidR="00553543">
        <w:rPr>
          <w:rFonts w:ascii="Cambria" w:eastAsia="Calibri" w:hAnsi="Cambria" w:cs="Times New Roman"/>
          <w:b/>
          <w:bCs/>
          <w:color w:val="4F81BD"/>
          <w:sz w:val="24"/>
        </w:rPr>
        <w:t xml:space="preserve">Definitions used for the 39 </w:t>
      </w:r>
      <w:r w:rsidR="000D5F0D">
        <w:rPr>
          <w:rFonts w:ascii="Cambria" w:eastAsia="Calibri" w:hAnsi="Cambria" w:cs="Times New Roman"/>
          <w:b/>
          <w:bCs/>
          <w:color w:val="4F81BD"/>
          <w:sz w:val="24"/>
        </w:rPr>
        <w:t xml:space="preserve">Aid Transparency </w:t>
      </w:r>
      <w:r w:rsidR="00553543">
        <w:rPr>
          <w:rFonts w:ascii="Cambria" w:eastAsia="Calibri" w:hAnsi="Cambria" w:cs="Times New Roman"/>
          <w:b/>
          <w:bCs/>
          <w:color w:val="4F81BD"/>
          <w:sz w:val="24"/>
        </w:rPr>
        <w:t>Index indicators</w:t>
      </w:r>
    </w:p>
    <w:p w:rsidR="00553543" w:rsidRPr="00F01BB0" w:rsidRDefault="00553543" w:rsidP="00935A49">
      <w:pPr>
        <w:spacing w:after="0" w:line="240" w:lineRule="auto"/>
        <w:rPr>
          <w:sz w:val="20"/>
          <w:szCs w:val="20"/>
        </w:rPr>
      </w:pPr>
    </w:p>
    <w:tbl>
      <w:tblPr>
        <w:tblW w:w="14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418"/>
        <w:gridCol w:w="1843"/>
        <w:gridCol w:w="2126"/>
        <w:gridCol w:w="4961"/>
        <w:gridCol w:w="4394"/>
      </w:tblGrid>
      <w:tr w:rsidR="009C7D14" w:rsidRPr="007D3871" w:rsidTr="00AF7769">
        <w:trPr>
          <w:trHeight w:val="227"/>
          <w:tblHeader/>
        </w:trPr>
        <w:tc>
          <w:tcPr>
            <w:tcW w:w="1418" w:type="dxa"/>
            <w:tcBorders>
              <w:bottom w:val="single" w:sz="4" w:space="0" w:color="auto"/>
            </w:tcBorders>
            <w:shd w:val="clear" w:color="auto" w:fill="8DB3E2"/>
            <w:hideMark/>
          </w:tcPr>
          <w:p w:rsidR="009C7D14" w:rsidRPr="007D3871" w:rsidRDefault="009C7D14" w:rsidP="003B57E4">
            <w:pPr>
              <w:spacing w:after="0" w:line="240" w:lineRule="auto"/>
              <w:jc w:val="center"/>
              <w:rPr>
                <w:b/>
                <w:bCs/>
                <w:sz w:val="20"/>
                <w:szCs w:val="20"/>
              </w:rPr>
            </w:pPr>
            <w:r w:rsidRPr="007D3871">
              <w:rPr>
                <w:b/>
                <w:bCs/>
                <w:sz w:val="20"/>
                <w:szCs w:val="20"/>
              </w:rPr>
              <w:t>Sub</w:t>
            </w:r>
            <w:r>
              <w:rPr>
                <w:b/>
                <w:bCs/>
                <w:sz w:val="20"/>
                <w:szCs w:val="20"/>
              </w:rPr>
              <w:t>-</w:t>
            </w:r>
            <w:r w:rsidRPr="007D3871">
              <w:rPr>
                <w:b/>
                <w:bCs/>
                <w:sz w:val="20"/>
                <w:szCs w:val="20"/>
              </w:rPr>
              <w:t>group</w:t>
            </w:r>
          </w:p>
        </w:tc>
        <w:tc>
          <w:tcPr>
            <w:tcW w:w="1843" w:type="dxa"/>
            <w:tcBorders>
              <w:bottom w:val="single" w:sz="4" w:space="0" w:color="auto"/>
            </w:tcBorders>
            <w:shd w:val="clear" w:color="auto" w:fill="8DB3E2"/>
            <w:noWrap/>
            <w:hideMark/>
          </w:tcPr>
          <w:p w:rsidR="009C7D14" w:rsidRPr="007D3871" w:rsidRDefault="009C7D14" w:rsidP="003B57E4">
            <w:pPr>
              <w:spacing w:after="0" w:line="240" w:lineRule="auto"/>
              <w:jc w:val="center"/>
              <w:rPr>
                <w:b/>
                <w:bCs/>
                <w:sz w:val="20"/>
                <w:szCs w:val="20"/>
              </w:rPr>
            </w:pPr>
            <w:r w:rsidRPr="007D3871">
              <w:rPr>
                <w:b/>
                <w:bCs/>
                <w:sz w:val="20"/>
                <w:szCs w:val="20"/>
              </w:rPr>
              <w:t>Indicator</w:t>
            </w:r>
          </w:p>
        </w:tc>
        <w:tc>
          <w:tcPr>
            <w:tcW w:w="2126" w:type="dxa"/>
            <w:tcBorders>
              <w:bottom w:val="single" w:sz="4" w:space="0" w:color="auto"/>
            </w:tcBorders>
            <w:shd w:val="clear" w:color="auto" w:fill="8DB3E2"/>
          </w:tcPr>
          <w:p w:rsidR="009C7D14" w:rsidRPr="007D3871" w:rsidRDefault="009C7D14" w:rsidP="003B57E4">
            <w:pPr>
              <w:spacing w:after="0" w:line="240" w:lineRule="auto"/>
              <w:jc w:val="center"/>
              <w:rPr>
                <w:b/>
                <w:bCs/>
                <w:sz w:val="20"/>
                <w:szCs w:val="20"/>
              </w:rPr>
            </w:pPr>
            <w:r w:rsidRPr="007D3871">
              <w:rPr>
                <w:b/>
                <w:bCs/>
                <w:sz w:val="20"/>
                <w:szCs w:val="20"/>
              </w:rPr>
              <w:t xml:space="preserve">Survey </w:t>
            </w:r>
            <w:r>
              <w:rPr>
                <w:b/>
                <w:bCs/>
                <w:sz w:val="20"/>
                <w:szCs w:val="20"/>
              </w:rPr>
              <w:t>q</w:t>
            </w:r>
            <w:r w:rsidRPr="007D3871">
              <w:rPr>
                <w:b/>
                <w:bCs/>
                <w:sz w:val="20"/>
                <w:szCs w:val="20"/>
              </w:rPr>
              <w:t>uestion</w:t>
            </w:r>
          </w:p>
        </w:tc>
        <w:tc>
          <w:tcPr>
            <w:tcW w:w="4961" w:type="dxa"/>
            <w:tcBorders>
              <w:bottom w:val="single" w:sz="4" w:space="0" w:color="auto"/>
            </w:tcBorders>
            <w:shd w:val="clear" w:color="auto" w:fill="8DB3E2"/>
          </w:tcPr>
          <w:p w:rsidR="009C7D14" w:rsidRPr="007D3871" w:rsidRDefault="009C7D14" w:rsidP="003B57E4">
            <w:pPr>
              <w:spacing w:after="0" w:line="240" w:lineRule="auto"/>
              <w:jc w:val="center"/>
              <w:rPr>
                <w:b/>
                <w:bCs/>
                <w:sz w:val="20"/>
                <w:szCs w:val="20"/>
              </w:rPr>
            </w:pPr>
            <w:r w:rsidRPr="007D3871">
              <w:rPr>
                <w:b/>
                <w:bCs/>
                <w:sz w:val="20"/>
                <w:szCs w:val="20"/>
              </w:rPr>
              <w:t>Definition</w:t>
            </w:r>
          </w:p>
        </w:tc>
        <w:tc>
          <w:tcPr>
            <w:tcW w:w="4394" w:type="dxa"/>
            <w:tcBorders>
              <w:bottom w:val="single" w:sz="4" w:space="0" w:color="auto"/>
            </w:tcBorders>
            <w:shd w:val="clear" w:color="auto" w:fill="8DB3E2"/>
          </w:tcPr>
          <w:p w:rsidR="009C7D14" w:rsidRPr="007D3871" w:rsidRDefault="009C7D14" w:rsidP="003B57E4">
            <w:pPr>
              <w:spacing w:after="0" w:line="240" w:lineRule="auto"/>
              <w:jc w:val="center"/>
              <w:rPr>
                <w:b/>
                <w:bCs/>
                <w:sz w:val="20"/>
                <w:szCs w:val="20"/>
              </w:rPr>
            </w:pPr>
            <w:r w:rsidRPr="007D3871">
              <w:rPr>
                <w:b/>
                <w:bCs/>
                <w:sz w:val="20"/>
                <w:szCs w:val="20"/>
              </w:rPr>
              <w:t>Additional definitions and notes</w:t>
            </w:r>
          </w:p>
        </w:tc>
      </w:tr>
      <w:tr w:rsidR="009C7D14" w:rsidRPr="007D3871" w:rsidTr="00AF7769">
        <w:trPr>
          <w:trHeight w:val="227"/>
        </w:trPr>
        <w:tc>
          <w:tcPr>
            <w:tcW w:w="14742" w:type="dxa"/>
            <w:gridSpan w:val="5"/>
            <w:shd w:val="clear" w:color="auto" w:fill="auto"/>
          </w:tcPr>
          <w:p w:rsidR="009C7D14" w:rsidRPr="007D3871" w:rsidRDefault="009C7D14" w:rsidP="003B57E4">
            <w:pPr>
              <w:pStyle w:val="ListParagraph"/>
              <w:spacing w:after="0" w:line="240" w:lineRule="auto"/>
              <w:ind w:left="33"/>
              <w:contextualSpacing w:val="0"/>
              <w:rPr>
                <w:b/>
                <w:sz w:val="20"/>
                <w:szCs w:val="20"/>
              </w:rPr>
            </w:pPr>
            <w:r w:rsidRPr="007D3871">
              <w:rPr>
                <w:b/>
                <w:sz w:val="20"/>
                <w:szCs w:val="20"/>
              </w:rPr>
              <w:t>Commitment level</w:t>
            </w:r>
          </w:p>
        </w:tc>
      </w:tr>
      <w:tr w:rsidR="009C7D14" w:rsidRPr="007D3871" w:rsidTr="00AF7769">
        <w:trPr>
          <w:trHeight w:val="227"/>
        </w:trPr>
        <w:tc>
          <w:tcPr>
            <w:tcW w:w="1418" w:type="dxa"/>
            <w:vMerge w:val="restart"/>
            <w:shd w:val="clear" w:color="auto" w:fill="auto"/>
          </w:tcPr>
          <w:p w:rsidR="009C7D14" w:rsidRPr="007D3871" w:rsidRDefault="009C7D14" w:rsidP="003B57E4">
            <w:pPr>
              <w:spacing w:after="0" w:line="240" w:lineRule="auto"/>
              <w:rPr>
                <w:sz w:val="20"/>
                <w:szCs w:val="20"/>
              </w:rPr>
            </w:pPr>
            <w:r w:rsidRPr="007D3871">
              <w:rPr>
                <w:sz w:val="20"/>
                <w:szCs w:val="20"/>
              </w:rPr>
              <w:t>Commitment</w:t>
            </w:r>
          </w:p>
          <w:p w:rsidR="009C7D14" w:rsidRPr="007D3871" w:rsidRDefault="009C7D14" w:rsidP="003B57E4">
            <w:pPr>
              <w:spacing w:after="0" w:line="240" w:lineRule="auto"/>
              <w:rPr>
                <w:sz w:val="20"/>
                <w:szCs w:val="20"/>
              </w:rPr>
            </w:pPr>
          </w:p>
        </w:tc>
        <w:tc>
          <w:tcPr>
            <w:tcW w:w="1843" w:type="dxa"/>
            <w:shd w:val="clear" w:color="auto" w:fill="auto"/>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Quality of FOI legislation</w:t>
            </w:r>
          </w:p>
        </w:tc>
        <w:tc>
          <w:tcPr>
            <w:tcW w:w="2126" w:type="dxa"/>
            <w:shd w:val="clear" w:color="auto" w:fill="auto"/>
          </w:tcPr>
          <w:p w:rsidR="009C7D14" w:rsidRPr="007D3871" w:rsidRDefault="009C7D14" w:rsidP="003B57E4">
            <w:pPr>
              <w:pStyle w:val="ListParagraph"/>
              <w:spacing w:after="0" w:line="240" w:lineRule="auto"/>
              <w:ind w:left="33"/>
              <w:contextualSpacing w:val="0"/>
              <w:rPr>
                <w:sz w:val="20"/>
                <w:szCs w:val="20"/>
              </w:rPr>
            </w:pPr>
            <w:r w:rsidRPr="007D3871">
              <w:rPr>
                <w:sz w:val="20"/>
                <w:szCs w:val="20"/>
              </w:rPr>
              <w:t>Quality of Freedom of Information Act (FOIA) or disclosure policy</w:t>
            </w:r>
          </w:p>
        </w:tc>
        <w:tc>
          <w:tcPr>
            <w:tcW w:w="4961" w:type="dxa"/>
            <w:shd w:val="clear" w:color="auto" w:fill="auto"/>
          </w:tcPr>
          <w:p w:rsidR="003B57E4" w:rsidRPr="007D3871" w:rsidRDefault="009C7D14" w:rsidP="003B57E4">
            <w:pPr>
              <w:spacing w:after="0" w:line="240" w:lineRule="auto"/>
              <w:rPr>
                <w:sz w:val="20"/>
                <w:szCs w:val="20"/>
              </w:rPr>
            </w:pPr>
            <w:r w:rsidRPr="007D3871">
              <w:rPr>
                <w:sz w:val="20"/>
                <w:szCs w:val="20"/>
              </w:rPr>
              <w:t xml:space="preserve">The definition used in the </w:t>
            </w:r>
            <w:r>
              <w:rPr>
                <w:sz w:val="20"/>
                <w:szCs w:val="20"/>
              </w:rPr>
              <w:t xml:space="preserve">Global </w:t>
            </w:r>
            <w:r w:rsidRPr="007D3871">
              <w:rPr>
                <w:sz w:val="20"/>
                <w:szCs w:val="20"/>
              </w:rPr>
              <w:t>RTI Rating is that it has to be a law in the strict sense, it must include the right of access to information, this right has to be enforceable and there must be complaint, court and high court appeal possibilities. Decrees are included if they meet the same standards. In addition, the FOIA must be in use for at least the executive part of the government; therefore, FOIAs which are only adopted, approved or still in draft form are not counted.</w:t>
            </w:r>
          </w:p>
        </w:tc>
        <w:tc>
          <w:tcPr>
            <w:tcW w:w="4394" w:type="dxa"/>
            <w:shd w:val="clear" w:color="auto" w:fill="auto"/>
          </w:tcPr>
          <w:p w:rsidR="009C7D14" w:rsidRPr="007D3871" w:rsidRDefault="009C7D14" w:rsidP="003B57E4">
            <w:pPr>
              <w:pStyle w:val="ListParagraph"/>
              <w:spacing w:after="0" w:line="240" w:lineRule="auto"/>
              <w:ind w:left="33"/>
              <w:contextualSpacing w:val="0"/>
              <w:rPr>
                <w:sz w:val="20"/>
                <w:szCs w:val="20"/>
              </w:rPr>
            </w:pPr>
            <w:r w:rsidRPr="007D3871">
              <w:rPr>
                <w:sz w:val="20"/>
                <w:szCs w:val="20"/>
              </w:rPr>
              <w:t>For multilateral donors, international finance institutions (IFIs) and private foundations, a disclosure or transparency policy is accepted as equivalent to a FOIA. Publish What You Fund completes an assessment of the quality of these disclosure policies based on the overarching approach taken in the Global RTI Rating.</w:t>
            </w:r>
          </w:p>
        </w:tc>
      </w:tr>
      <w:tr w:rsidR="009C7D14" w:rsidRPr="007D3871" w:rsidTr="00AF7769">
        <w:trPr>
          <w:trHeight w:val="1924"/>
        </w:trPr>
        <w:tc>
          <w:tcPr>
            <w:tcW w:w="1418" w:type="dxa"/>
            <w:vMerge/>
            <w:shd w:val="clear" w:color="auto" w:fill="auto"/>
            <w:hideMark/>
          </w:tcPr>
          <w:p w:rsidR="009C7D14" w:rsidRPr="007D3871" w:rsidRDefault="009C7D14" w:rsidP="003B57E4">
            <w:pPr>
              <w:spacing w:after="0" w:line="240" w:lineRule="auto"/>
              <w:rPr>
                <w:sz w:val="20"/>
                <w:szCs w:val="20"/>
              </w:rPr>
            </w:pPr>
          </w:p>
        </w:tc>
        <w:tc>
          <w:tcPr>
            <w:tcW w:w="1843" w:type="dxa"/>
            <w:shd w:val="clear" w:color="auto" w:fill="auto"/>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Implementation schedules</w:t>
            </w:r>
          </w:p>
        </w:tc>
        <w:tc>
          <w:tcPr>
            <w:tcW w:w="2126" w:type="dxa"/>
            <w:shd w:val="clear" w:color="auto" w:fill="auto"/>
          </w:tcPr>
          <w:p w:rsidR="009C7D14" w:rsidRPr="007D3871" w:rsidRDefault="009C7D14" w:rsidP="003B57E4">
            <w:pPr>
              <w:spacing w:after="0" w:line="240" w:lineRule="auto"/>
              <w:ind w:left="34"/>
              <w:rPr>
                <w:sz w:val="20"/>
                <w:szCs w:val="20"/>
              </w:rPr>
            </w:pPr>
            <w:r w:rsidRPr="007D3871">
              <w:rPr>
                <w:sz w:val="20"/>
                <w:szCs w:val="20"/>
              </w:rPr>
              <w:t>Quality of Implementation Schedules</w:t>
            </w:r>
          </w:p>
        </w:tc>
        <w:tc>
          <w:tcPr>
            <w:tcW w:w="4961" w:type="dxa"/>
            <w:shd w:val="clear" w:color="auto" w:fill="auto"/>
          </w:tcPr>
          <w:p w:rsidR="009C7D14" w:rsidRPr="00F01BB0" w:rsidRDefault="009C7D14" w:rsidP="00F01BB0">
            <w:pPr>
              <w:spacing w:after="0" w:line="240" w:lineRule="auto"/>
              <w:rPr>
                <w:sz w:val="20"/>
                <w:szCs w:val="20"/>
              </w:rPr>
            </w:pPr>
            <w:r w:rsidRPr="007D3871">
              <w:rPr>
                <w:sz w:val="20"/>
                <w:szCs w:val="20"/>
              </w:rPr>
              <w:t xml:space="preserve">The Busan </w:t>
            </w:r>
            <w:r>
              <w:rPr>
                <w:sz w:val="20"/>
                <w:szCs w:val="20"/>
              </w:rPr>
              <w:t xml:space="preserve">Partnership </w:t>
            </w:r>
            <w:r w:rsidRPr="007D3871">
              <w:rPr>
                <w:sz w:val="20"/>
                <w:szCs w:val="20"/>
              </w:rPr>
              <w:t xml:space="preserve">agreement required schedules for implementing the common standard to be published by December 2012. Publish What You Fund </w:t>
            </w:r>
            <w:r>
              <w:rPr>
                <w:sz w:val="20"/>
                <w:szCs w:val="20"/>
              </w:rPr>
              <w:t>conducted</w:t>
            </w:r>
            <w:r w:rsidRPr="007D3871">
              <w:rPr>
                <w:sz w:val="20"/>
                <w:szCs w:val="20"/>
              </w:rPr>
              <w:t xml:space="preserve"> an assessment of the schedules completed by </w:t>
            </w:r>
            <w:r>
              <w:rPr>
                <w:sz w:val="20"/>
                <w:szCs w:val="20"/>
              </w:rPr>
              <w:t>development providers and submitted to the OECD common standard i</w:t>
            </w:r>
            <w:r w:rsidRPr="007D3871">
              <w:rPr>
                <w:sz w:val="20"/>
                <w:szCs w:val="20"/>
              </w:rPr>
              <w:t>mplementation website</w:t>
            </w:r>
            <w:r>
              <w:rPr>
                <w:sz w:val="20"/>
                <w:szCs w:val="20"/>
              </w:rPr>
              <w:t>. S</w:t>
            </w:r>
            <w:r w:rsidRPr="007D3871">
              <w:rPr>
                <w:sz w:val="20"/>
                <w:szCs w:val="20"/>
              </w:rPr>
              <w:t xml:space="preserve">chedules are scored on the level of ambition shown by </w:t>
            </w:r>
            <w:r>
              <w:rPr>
                <w:sz w:val="20"/>
                <w:szCs w:val="20"/>
              </w:rPr>
              <w:t>organisations</w:t>
            </w:r>
            <w:r w:rsidRPr="007D3871">
              <w:rPr>
                <w:sz w:val="20"/>
                <w:szCs w:val="20"/>
              </w:rPr>
              <w:t xml:space="preserve"> in implementing the IATI component of the common standard.</w:t>
            </w:r>
          </w:p>
        </w:tc>
        <w:tc>
          <w:tcPr>
            <w:tcW w:w="4394" w:type="dxa"/>
            <w:shd w:val="clear" w:color="auto" w:fill="auto"/>
          </w:tcPr>
          <w:p w:rsidR="009C7D14" w:rsidRPr="007D3871" w:rsidRDefault="009C7D14" w:rsidP="003B57E4">
            <w:pPr>
              <w:spacing w:after="0" w:line="240" w:lineRule="auto"/>
              <w:ind w:left="34"/>
              <w:rPr>
                <w:sz w:val="20"/>
                <w:szCs w:val="20"/>
              </w:rPr>
            </w:pPr>
            <w:r w:rsidRPr="007D3871">
              <w:rPr>
                <w:sz w:val="20"/>
                <w:szCs w:val="20"/>
              </w:rPr>
              <w:t xml:space="preserve">The complete assessment can be found on Publish What You Fund’s </w:t>
            </w:r>
            <w:hyperlink r:id="rId21" w:history="1">
              <w:r w:rsidRPr="003B57E4">
                <w:rPr>
                  <w:rStyle w:val="Hyperlink"/>
                  <w:sz w:val="20"/>
                  <w:szCs w:val="20"/>
                </w:rPr>
                <w:t>Aid Transparency Tracker</w:t>
              </w:r>
            </w:hyperlink>
            <w:r w:rsidRPr="007D3871">
              <w:rPr>
                <w:sz w:val="20"/>
                <w:szCs w:val="20"/>
              </w:rPr>
              <w:t xml:space="preserve"> website.</w:t>
            </w:r>
          </w:p>
          <w:p w:rsidR="009C7D14" w:rsidRPr="007D3871" w:rsidRDefault="009C7D14" w:rsidP="003B57E4">
            <w:pPr>
              <w:spacing w:after="0" w:line="240" w:lineRule="auto"/>
              <w:ind w:left="34"/>
              <w:rPr>
                <w:sz w:val="20"/>
                <w:szCs w:val="20"/>
              </w:rPr>
            </w:pPr>
          </w:p>
          <w:p w:rsidR="009C7D14" w:rsidRPr="00807CCC" w:rsidRDefault="009C7D14" w:rsidP="00F01BB0">
            <w:pPr>
              <w:spacing w:after="0" w:line="240" w:lineRule="auto"/>
              <w:ind w:left="34"/>
              <w:rPr>
                <w:sz w:val="20"/>
                <w:szCs w:val="20"/>
              </w:rPr>
            </w:pPr>
            <w:r w:rsidRPr="007D3871">
              <w:rPr>
                <w:sz w:val="20"/>
                <w:szCs w:val="20"/>
              </w:rPr>
              <w:t>IATI implementation schedules are also accepted.</w:t>
            </w:r>
          </w:p>
        </w:tc>
      </w:tr>
      <w:tr w:rsidR="009C7D14" w:rsidRPr="007D3871" w:rsidTr="00AF7769">
        <w:trPr>
          <w:trHeight w:val="227"/>
        </w:trPr>
        <w:tc>
          <w:tcPr>
            <w:tcW w:w="1418" w:type="dxa"/>
            <w:vMerge/>
            <w:shd w:val="clear" w:color="auto" w:fill="auto"/>
            <w:hideMark/>
          </w:tcPr>
          <w:p w:rsidR="009C7D14" w:rsidRPr="007D3871" w:rsidRDefault="009C7D14" w:rsidP="003B57E4">
            <w:pPr>
              <w:spacing w:after="0" w:line="240" w:lineRule="auto"/>
              <w:rPr>
                <w:sz w:val="20"/>
                <w:szCs w:val="20"/>
              </w:rPr>
            </w:pPr>
          </w:p>
        </w:tc>
        <w:tc>
          <w:tcPr>
            <w:tcW w:w="1843" w:type="dxa"/>
            <w:shd w:val="clear" w:color="auto" w:fill="auto"/>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 xml:space="preserve">Accessibility </w:t>
            </w:r>
          </w:p>
        </w:tc>
        <w:tc>
          <w:tcPr>
            <w:tcW w:w="2126" w:type="dxa"/>
            <w:shd w:val="clear" w:color="auto" w:fill="auto"/>
          </w:tcPr>
          <w:p w:rsidR="009C7D14" w:rsidRPr="007D3871" w:rsidRDefault="009C7D14" w:rsidP="003B57E4">
            <w:pPr>
              <w:spacing w:after="0" w:line="240" w:lineRule="auto"/>
              <w:ind w:left="34"/>
              <w:rPr>
                <w:sz w:val="20"/>
                <w:szCs w:val="20"/>
              </w:rPr>
            </w:pPr>
            <w:r w:rsidRPr="007D3871">
              <w:rPr>
                <w:sz w:val="20"/>
                <w:szCs w:val="20"/>
              </w:rPr>
              <w:t>Does this organisation promote access and use of its aid information?</w:t>
            </w:r>
          </w:p>
        </w:tc>
        <w:tc>
          <w:tcPr>
            <w:tcW w:w="4961" w:type="dxa"/>
            <w:shd w:val="clear" w:color="auto" w:fill="auto"/>
          </w:tcPr>
          <w:p w:rsidR="009C7D14" w:rsidRPr="007D3871" w:rsidRDefault="009C7D14" w:rsidP="003B57E4">
            <w:pPr>
              <w:spacing w:after="0" w:line="240" w:lineRule="auto"/>
              <w:ind w:left="34"/>
              <w:rPr>
                <w:sz w:val="20"/>
                <w:szCs w:val="20"/>
              </w:rPr>
            </w:pPr>
            <w:r w:rsidRPr="007D3871">
              <w:rPr>
                <w:sz w:val="20"/>
                <w:szCs w:val="20"/>
              </w:rPr>
              <w:t>The overall accessibility of aid information through the organisations’ portals, project databases or searchable data sources. These are scored using three criteria: 1) the portal allows free, bulk export of data; 2) it contains detailed disaggregated data; 3) the data is published under an open licence.</w:t>
            </w:r>
          </w:p>
        </w:tc>
        <w:tc>
          <w:tcPr>
            <w:tcW w:w="4394" w:type="dxa"/>
            <w:shd w:val="clear" w:color="auto" w:fill="auto"/>
          </w:tcPr>
          <w:p w:rsidR="009C7D14" w:rsidRDefault="009C7D14" w:rsidP="003B57E4">
            <w:pPr>
              <w:spacing w:after="0" w:line="240" w:lineRule="auto"/>
              <w:rPr>
                <w:sz w:val="20"/>
                <w:szCs w:val="20"/>
              </w:rPr>
            </w:pPr>
            <w:r w:rsidRPr="007D3871">
              <w:rPr>
                <w:sz w:val="20"/>
                <w:szCs w:val="20"/>
              </w:rPr>
              <w:t xml:space="preserve">Data sources </w:t>
            </w:r>
            <w:r>
              <w:rPr>
                <w:sz w:val="20"/>
                <w:szCs w:val="20"/>
              </w:rPr>
              <w:t>are</w:t>
            </w:r>
            <w:r w:rsidRPr="007D3871">
              <w:rPr>
                <w:sz w:val="20"/>
                <w:szCs w:val="20"/>
              </w:rPr>
              <w:t xml:space="preserve"> the organisations’ own aid portals, publicly accessible databases or websites – accessed in that order. </w:t>
            </w:r>
            <w:r>
              <w:rPr>
                <w:sz w:val="20"/>
                <w:szCs w:val="20"/>
              </w:rPr>
              <w:t>The portal or database must include information on current activities for the countries or sectors the organisation is working in rather than just one individual country/sector</w:t>
            </w:r>
            <w:r w:rsidR="00FB6702">
              <w:rPr>
                <w:sz w:val="20"/>
                <w:szCs w:val="20"/>
              </w:rPr>
              <w:t xml:space="preserve"> or a selected group</w:t>
            </w:r>
            <w:r>
              <w:rPr>
                <w:sz w:val="20"/>
                <w:szCs w:val="20"/>
              </w:rPr>
              <w:t>. It should contain information on at least five of the activity-level indicators, at least one of which should cover financial information.</w:t>
            </w:r>
          </w:p>
          <w:p w:rsidR="009C7D14" w:rsidRDefault="009C7D14" w:rsidP="003B57E4">
            <w:pPr>
              <w:spacing w:after="0" w:line="240" w:lineRule="auto"/>
              <w:rPr>
                <w:sz w:val="20"/>
                <w:szCs w:val="20"/>
              </w:rPr>
            </w:pPr>
          </w:p>
          <w:p w:rsidR="00EE25A0" w:rsidRDefault="009C7D14" w:rsidP="003B57E4">
            <w:pPr>
              <w:spacing w:after="0" w:line="240" w:lineRule="auto"/>
              <w:rPr>
                <w:sz w:val="20"/>
                <w:szCs w:val="20"/>
              </w:rPr>
            </w:pPr>
            <w:r w:rsidRPr="007D3871">
              <w:rPr>
                <w:sz w:val="20"/>
                <w:szCs w:val="20"/>
              </w:rPr>
              <w:t xml:space="preserve">The same data source </w:t>
            </w:r>
            <w:r>
              <w:rPr>
                <w:sz w:val="20"/>
                <w:szCs w:val="20"/>
              </w:rPr>
              <w:t>is</w:t>
            </w:r>
            <w:r w:rsidRPr="007D3871">
              <w:rPr>
                <w:sz w:val="20"/>
                <w:szCs w:val="20"/>
              </w:rPr>
              <w:t xml:space="preserve"> used for all three checks. For example, if the aid portal does not state that the data is published under an open licence, this </w:t>
            </w:r>
            <w:r w:rsidR="00D7254E">
              <w:rPr>
                <w:sz w:val="20"/>
                <w:szCs w:val="20"/>
              </w:rPr>
              <w:t>is not</w:t>
            </w:r>
            <w:r w:rsidRPr="007D3871">
              <w:rPr>
                <w:sz w:val="20"/>
                <w:szCs w:val="20"/>
              </w:rPr>
              <w:t xml:space="preserve"> checked elsewhere on the organisation’s project database or website. If the organisation’s </w:t>
            </w:r>
            <w:r w:rsidRPr="007D3871">
              <w:rPr>
                <w:sz w:val="20"/>
                <w:szCs w:val="20"/>
              </w:rPr>
              <w:lastRenderedPageBreak/>
              <w:t xml:space="preserve">website is the data source then it cannot score on the “free bulk export” criterion. </w:t>
            </w:r>
          </w:p>
          <w:p w:rsidR="00EE25A0" w:rsidRDefault="00EE25A0" w:rsidP="003B57E4">
            <w:pPr>
              <w:spacing w:after="0" w:line="240" w:lineRule="auto"/>
              <w:rPr>
                <w:sz w:val="20"/>
                <w:szCs w:val="20"/>
              </w:rPr>
            </w:pPr>
          </w:p>
          <w:p w:rsidR="009C7D14" w:rsidRDefault="009C7D14" w:rsidP="003B57E4">
            <w:pPr>
              <w:spacing w:after="0" w:line="240" w:lineRule="auto"/>
              <w:rPr>
                <w:sz w:val="20"/>
                <w:szCs w:val="20"/>
              </w:rPr>
            </w:pPr>
            <w:r w:rsidRPr="007D3871">
              <w:rPr>
                <w:sz w:val="20"/>
                <w:szCs w:val="20"/>
              </w:rPr>
              <w:t>If a portal allows bulk export through its API but not through its web-user interface, this is accepted as allowing free, bulk export of data.</w:t>
            </w:r>
          </w:p>
          <w:p w:rsidR="00FB6702" w:rsidRDefault="00FB6702" w:rsidP="003B57E4">
            <w:pPr>
              <w:spacing w:after="0" w:line="240" w:lineRule="auto"/>
              <w:rPr>
                <w:sz w:val="20"/>
                <w:szCs w:val="20"/>
              </w:rPr>
            </w:pPr>
          </w:p>
          <w:p w:rsidR="00FB6702" w:rsidRPr="007D3871" w:rsidRDefault="00FB6702" w:rsidP="003B57E4">
            <w:pPr>
              <w:spacing w:after="0" w:line="240" w:lineRule="auto"/>
              <w:rPr>
                <w:sz w:val="20"/>
                <w:szCs w:val="20"/>
              </w:rPr>
            </w:pPr>
            <w:r>
              <w:rPr>
                <w:sz w:val="20"/>
                <w:szCs w:val="20"/>
              </w:rPr>
              <w:t>Note: that raw IATI files are not accepted for this indicator as the underlying principle behind this indicator is to assess what organisations are doing to promote access and use of their aid information. Information published to the IATI Registry is taken into account for the publication indicators.</w:t>
            </w:r>
          </w:p>
        </w:tc>
      </w:tr>
      <w:tr w:rsidR="009C7D14" w:rsidRPr="007D3871" w:rsidTr="00AF7769">
        <w:trPr>
          <w:trHeight w:val="227"/>
        </w:trPr>
        <w:tc>
          <w:tcPr>
            <w:tcW w:w="14742" w:type="dxa"/>
            <w:gridSpan w:val="5"/>
            <w:shd w:val="clear" w:color="auto" w:fill="FFFFFF" w:themeFill="background1"/>
          </w:tcPr>
          <w:p w:rsidR="009C7D14" w:rsidRPr="007D3871" w:rsidRDefault="009C7D14" w:rsidP="003B57E4">
            <w:pPr>
              <w:spacing w:after="0" w:line="240" w:lineRule="auto"/>
              <w:ind w:left="34"/>
              <w:rPr>
                <w:b/>
                <w:sz w:val="20"/>
                <w:szCs w:val="20"/>
              </w:rPr>
            </w:pPr>
            <w:r w:rsidRPr="007D3871">
              <w:rPr>
                <w:b/>
                <w:sz w:val="20"/>
                <w:szCs w:val="20"/>
              </w:rPr>
              <w:lastRenderedPageBreak/>
              <w:t>Publication – organisation level</w:t>
            </w:r>
          </w:p>
        </w:tc>
      </w:tr>
      <w:tr w:rsidR="009C7D14" w:rsidRPr="007D3871" w:rsidTr="00AF7769">
        <w:trPr>
          <w:trHeight w:val="227"/>
        </w:trPr>
        <w:tc>
          <w:tcPr>
            <w:tcW w:w="1418" w:type="dxa"/>
            <w:vMerge w:val="restart"/>
            <w:shd w:val="clear" w:color="auto" w:fill="FFFFFF" w:themeFill="background1"/>
          </w:tcPr>
          <w:p w:rsidR="009C7D14" w:rsidRPr="007D3871" w:rsidRDefault="009C7D14" w:rsidP="003B57E4">
            <w:pPr>
              <w:spacing w:after="0" w:line="240" w:lineRule="auto"/>
              <w:rPr>
                <w:sz w:val="20"/>
                <w:szCs w:val="20"/>
              </w:rPr>
            </w:pPr>
            <w:r w:rsidRPr="007D3871">
              <w:rPr>
                <w:sz w:val="20"/>
                <w:szCs w:val="20"/>
              </w:rPr>
              <w:t>Planning</w:t>
            </w:r>
          </w:p>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Strategy</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publish an overarching strategy document?</w:t>
            </w:r>
          </w:p>
        </w:tc>
        <w:tc>
          <w:tcPr>
            <w:tcW w:w="4961" w:type="dxa"/>
            <w:shd w:val="clear" w:color="auto" w:fill="FFFFFF" w:themeFill="background1"/>
          </w:tcPr>
          <w:p w:rsidR="009C7D14" w:rsidRDefault="009C7D14" w:rsidP="003B57E4">
            <w:pPr>
              <w:spacing w:after="0" w:line="240" w:lineRule="auto"/>
              <w:rPr>
                <w:sz w:val="20"/>
                <w:szCs w:val="20"/>
              </w:rPr>
            </w:pPr>
            <w:r w:rsidRPr="007D3871">
              <w:rPr>
                <w:sz w:val="20"/>
                <w:szCs w:val="20"/>
              </w:rPr>
              <w:t xml:space="preserve">An overarching strategy document explains the general approach and policies of the organisation towards international development. This should be forward looking. </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Institutional strategy paper (document code = B02).</w:t>
            </w:r>
          </w:p>
        </w:tc>
        <w:tc>
          <w:tcPr>
            <w:tcW w:w="4394" w:type="dxa"/>
            <w:shd w:val="clear" w:color="auto" w:fill="FFFFFF" w:themeFill="background1"/>
          </w:tcPr>
          <w:p w:rsidR="009C7D14" w:rsidRPr="007D3871" w:rsidRDefault="009C7D14" w:rsidP="003B57E4">
            <w:pPr>
              <w:spacing w:after="0" w:line="240" w:lineRule="auto"/>
              <w:ind w:left="34"/>
              <w:rPr>
                <w:sz w:val="20"/>
                <w:szCs w:val="20"/>
              </w:rPr>
            </w:pPr>
            <w:r w:rsidRPr="007D3871">
              <w:rPr>
                <w:sz w:val="20"/>
                <w:szCs w:val="20"/>
              </w:rPr>
              <w:t xml:space="preserve">For organisations whose primary mandate is not development, </w:t>
            </w:r>
            <w:r>
              <w:rPr>
                <w:sz w:val="20"/>
                <w:szCs w:val="20"/>
              </w:rPr>
              <w:t xml:space="preserve">a </w:t>
            </w:r>
            <w:r w:rsidRPr="007D3871">
              <w:rPr>
                <w:sz w:val="20"/>
                <w:szCs w:val="20"/>
              </w:rPr>
              <w:t xml:space="preserve">document clarifying </w:t>
            </w:r>
            <w:r>
              <w:rPr>
                <w:sz w:val="20"/>
                <w:szCs w:val="20"/>
              </w:rPr>
              <w:t>that its</w:t>
            </w:r>
            <w:r w:rsidRPr="007D3871">
              <w:rPr>
                <w:sz w:val="20"/>
                <w:szCs w:val="20"/>
              </w:rPr>
              <w:t xml:space="preserve"> overarching development strategy </w:t>
            </w:r>
            <w:r>
              <w:rPr>
                <w:sz w:val="20"/>
                <w:szCs w:val="20"/>
              </w:rPr>
              <w:t>is</w:t>
            </w:r>
            <w:r w:rsidRPr="007D3871">
              <w:rPr>
                <w:sz w:val="20"/>
                <w:szCs w:val="20"/>
              </w:rPr>
              <w:t xml:space="preserve"> accepted. This information needs to be forward</w:t>
            </w:r>
            <w:r>
              <w:rPr>
                <w:sz w:val="20"/>
                <w:szCs w:val="20"/>
              </w:rPr>
              <w:t xml:space="preserve"> </w:t>
            </w:r>
            <w:r w:rsidRPr="007D3871">
              <w:rPr>
                <w:sz w:val="20"/>
                <w:szCs w:val="20"/>
              </w:rPr>
              <w:t>looking.</w:t>
            </w:r>
            <w:r>
              <w:rPr>
                <w:sz w:val="20"/>
                <w:szCs w:val="20"/>
              </w:rPr>
              <w:t xml:space="preserve"> </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Annual report</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publish an annual report?</w:t>
            </w:r>
          </w:p>
        </w:tc>
        <w:tc>
          <w:tcPr>
            <w:tcW w:w="4961"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Annual reports outline basic (normally aggregate) information about how aid was spent in the previous year, broken down by sector and/or country. This should be backward looking. </w:t>
            </w:r>
          </w:p>
          <w:p w:rsidR="009C7D14" w:rsidRPr="007D3871" w:rsidRDefault="009C7D14" w:rsidP="003B57E4">
            <w:pPr>
              <w:spacing w:after="0" w:line="240" w:lineRule="auto"/>
              <w:rPr>
                <w:sz w:val="20"/>
                <w:szCs w:val="20"/>
              </w:rPr>
            </w:pPr>
          </w:p>
          <w:p w:rsidR="009C7D14" w:rsidRDefault="009C7D14" w:rsidP="003B57E4">
            <w:pPr>
              <w:spacing w:after="0" w:line="240" w:lineRule="auto"/>
              <w:rPr>
                <w:sz w:val="20"/>
                <w:szCs w:val="20"/>
              </w:rPr>
            </w:pPr>
            <w:r w:rsidRPr="007D3871">
              <w:rPr>
                <w:sz w:val="20"/>
                <w:szCs w:val="20"/>
              </w:rPr>
              <w:t>Annual reports which are up to date within their regular cycle, i.e. the organisation publishes an annual report a year behind, the most recent document within this time frame are accepted.</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Annual report (document code = B01).</w:t>
            </w:r>
          </w:p>
        </w:tc>
        <w:tc>
          <w:tcPr>
            <w:tcW w:w="4394" w:type="dxa"/>
            <w:shd w:val="clear" w:color="auto" w:fill="FFFFFF" w:themeFill="background1"/>
          </w:tcPr>
          <w:p w:rsidR="009C7D14" w:rsidRPr="007D3871" w:rsidRDefault="009C7D14" w:rsidP="003B57E4">
            <w:pPr>
              <w:spacing w:after="0" w:line="240" w:lineRule="auto"/>
              <w:ind w:left="34"/>
              <w:rPr>
                <w:sz w:val="20"/>
                <w:szCs w:val="20"/>
              </w:rPr>
            </w:pPr>
            <w:r w:rsidRPr="007D3871">
              <w:rPr>
                <w:sz w:val="20"/>
                <w:szCs w:val="20"/>
              </w:rPr>
              <w:t>To score for this indicator, the annual report needs to include details of where the organisation is spending its resources and the information needs to be forward</w:t>
            </w:r>
            <w:r>
              <w:rPr>
                <w:sz w:val="20"/>
                <w:szCs w:val="20"/>
              </w:rPr>
              <w:t xml:space="preserve"> </w:t>
            </w:r>
            <w:r w:rsidRPr="007D3871">
              <w:rPr>
                <w:sz w:val="20"/>
                <w:szCs w:val="20"/>
              </w:rPr>
              <w:t xml:space="preserve">looking, i.e. cover current activity period. </w:t>
            </w:r>
          </w:p>
          <w:p w:rsidR="009C7D14" w:rsidRPr="007D3871" w:rsidRDefault="009C7D14" w:rsidP="003B57E4">
            <w:pPr>
              <w:spacing w:after="0" w:line="240" w:lineRule="auto"/>
              <w:ind w:left="34"/>
              <w:rPr>
                <w:sz w:val="20"/>
                <w:szCs w:val="20"/>
              </w:rPr>
            </w:pPr>
          </w:p>
          <w:p w:rsidR="009C7D14" w:rsidRPr="007D3871" w:rsidRDefault="009C7D14" w:rsidP="003B57E4">
            <w:pPr>
              <w:spacing w:after="0" w:line="240" w:lineRule="auto"/>
              <w:ind w:left="34"/>
              <w:rPr>
                <w:sz w:val="20"/>
                <w:szCs w:val="20"/>
              </w:rPr>
            </w:pPr>
          </w:p>
        </w:tc>
      </w:tr>
      <w:tr w:rsidR="009C7D14" w:rsidRPr="007D3871" w:rsidTr="00AF7769">
        <w:trPr>
          <w:trHeight w:val="1723"/>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Allocation policy</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publish its aid allocation policy?</w:t>
            </w:r>
          </w:p>
        </w:tc>
        <w:tc>
          <w:tcPr>
            <w:tcW w:w="4961" w:type="dxa"/>
            <w:shd w:val="clear" w:color="auto" w:fill="FFFFFF" w:themeFill="background1"/>
          </w:tcPr>
          <w:p w:rsidR="009C7D14" w:rsidRDefault="009C7D14" w:rsidP="003B57E4">
            <w:pPr>
              <w:spacing w:after="0" w:line="240" w:lineRule="auto"/>
              <w:rPr>
                <w:sz w:val="20"/>
                <w:szCs w:val="20"/>
              </w:rPr>
            </w:pPr>
            <w:r w:rsidRPr="007D3871">
              <w:rPr>
                <w:sz w:val="20"/>
                <w:szCs w:val="20"/>
              </w:rPr>
              <w:t>Aid allocation policies are the detailed policy documents by which the organisation chooses where to spend its resources, i.e. on which countries or themes rather than others. Relatively general documents or web pages outlining which countries, themes and institutions the agency will fund are accepted, as long as this is forward</w:t>
            </w:r>
            <w:r>
              <w:rPr>
                <w:sz w:val="20"/>
                <w:szCs w:val="20"/>
              </w:rPr>
              <w:t xml:space="preserve"> </w:t>
            </w:r>
            <w:r w:rsidRPr="007D3871">
              <w:rPr>
                <w:sz w:val="20"/>
                <w:szCs w:val="20"/>
              </w:rPr>
              <w:t>looking and not wholly retrospective.</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Aid allocation policy (document code = B04).</w:t>
            </w:r>
          </w:p>
        </w:tc>
        <w:tc>
          <w:tcPr>
            <w:tcW w:w="4394" w:type="dxa"/>
            <w:shd w:val="clear" w:color="auto" w:fill="FFFFFF" w:themeFill="background1"/>
          </w:tcPr>
          <w:p w:rsidR="009C7D14" w:rsidRPr="007D3871" w:rsidRDefault="009C7D14" w:rsidP="003B57E4">
            <w:pPr>
              <w:spacing w:after="0" w:line="240" w:lineRule="auto"/>
              <w:ind w:left="34"/>
              <w:rPr>
                <w:sz w:val="20"/>
                <w:szCs w:val="20"/>
              </w:rPr>
            </w:pPr>
            <w:r w:rsidRPr="007D3871">
              <w:rPr>
                <w:sz w:val="20"/>
                <w:szCs w:val="20"/>
              </w:rPr>
              <w:t xml:space="preserve">For organisations such as IFIs and private foundations which do not have an “aid allocation” policy, equivalent documents are accepted; for example, “investment strategy/policy” or “grant-making policy”. </w:t>
            </w:r>
          </w:p>
        </w:tc>
      </w:tr>
      <w:tr w:rsidR="009C7D14" w:rsidRPr="007D3871" w:rsidTr="00AF7769">
        <w:trPr>
          <w:trHeight w:val="2394"/>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Procurement policy</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publish its procurement procedures?</w:t>
            </w:r>
          </w:p>
        </w:tc>
        <w:tc>
          <w:tcPr>
            <w:tcW w:w="4961" w:type="dxa"/>
            <w:shd w:val="clear" w:color="auto" w:fill="FFFFFF" w:themeFill="background1"/>
          </w:tcPr>
          <w:p w:rsidR="009C7D14" w:rsidRDefault="009C7D14" w:rsidP="003B57E4">
            <w:pPr>
              <w:spacing w:after="0" w:line="240" w:lineRule="auto"/>
              <w:rPr>
                <w:sz w:val="20"/>
                <w:szCs w:val="20"/>
              </w:rPr>
            </w:pPr>
            <w:r w:rsidRPr="007D3871">
              <w:rPr>
                <w:sz w:val="20"/>
                <w:szCs w:val="20"/>
              </w:rPr>
              <w:t>An organisation’s procurement procedures explain the process used to tender and contract (invite bids for) goods and services. This must fully explain the criteria on which decisions are made, and could be in a single procurement policy document or attached to each tender.</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Procurement policy and procedure (document code = B05).</w:t>
            </w:r>
          </w:p>
        </w:tc>
        <w:tc>
          <w:tcPr>
            <w:tcW w:w="4394" w:type="dxa"/>
            <w:shd w:val="clear" w:color="auto" w:fill="FFFFFF" w:themeFill="background1"/>
          </w:tcPr>
          <w:p w:rsidR="009C7D14" w:rsidRDefault="009C7D14" w:rsidP="003B57E4">
            <w:pPr>
              <w:spacing w:after="0" w:line="240" w:lineRule="auto"/>
              <w:ind w:left="34"/>
              <w:rPr>
                <w:sz w:val="20"/>
                <w:szCs w:val="20"/>
              </w:rPr>
            </w:pPr>
            <w:r w:rsidRPr="007D3871">
              <w:rPr>
                <w:sz w:val="20"/>
                <w:szCs w:val="20"/>
              </w:rPr>
              <w:t>For IFIs which are often demand-driven, this is understood as their investment policy. For private foundations, this is their grant making policy.</w:t>
            </w:r>
          </w:p>
          <w:p w:rsidR="009C7D14" w:rsidRDefault="009C7D14" w:rsidP="003B57E4">
            <w:pPr>
              <w:spacing w:after="0" w:line="240" w:lineRule="auto"/>
              <w:ind w:left="34"/>
              <w:rPr>
                <w:sz w:val="20"/>
                <w:szCs w:val="20"/>
              </w:rPr>
            </w:pPr>
          </w:p>
          <w:p w:rsidR="009C7D14" w:rsidRPr="007D3871" w:rsidRDefault="009C7D14" w:rsidP="003B57E4">
            <w:pPr>
              <w:spacing w:after="0" w:line="240" w:lineRule="auto"/>
              <w:rPr>
                <w:sz w:val="20"/>
                <w:szCs w:val="20"/>
              </w:rPr>
            </w:pPr>
            <w:r>
              <w:rPr>
                <w:sz w:val="20"/>
                <w:szCs w:val="20"/>
              </w:rPr>
              <w:t xml:space="preserve">For organisations that do not undertake procurement related to aid projects (e.g. if procurement is undertaken by grantees or other implementing agencies), a statement explicitly clarifying this is required, as well as the overall policy for procuring goods and services at the headquarter level. </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Strategy (country</w:t>
            </w:r>
            <w:r>
              <w:rPr>
                <w:sz w:val="20"/>
                <w:szCs w:val="20"/>
              </w:rPr>
              <w:t>/ sector</w:t>
            </w:r>
            <w:r w:rsidRPr="007D3871">
              <w:rPr>
                <w:sz w:val="20"/>
                <w:szCs w:val="20"/>
              </w:rPr>
              <w:t>)</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publish the country strategy paper for this recipient country?</w:t>
            </w:r>
          </w:p>
        </w:tc>
        <w:tc>
          <w:tcPr>
            <w:tcW w:w="4961" w:type="dxa"/>
            <w:shd w:val="clear" w:color="auto" w:fill="FFFFFF" w:themeFill="background1"/>
          </w:tcPr>
          <w:p w:rsidR="009C7D14" w:rsidRDefault="009C7D14" w:rsidP="003B57E4">
            <w:pPr>
              <w:spacing w:after="0" w:line="240" w:lineRule="auto"/>
              <w:rPr>
                <w:sz w:val="20"/>
                <w:szCs w:val="20"/>
              </w:rPr>
            </w:pPr>
            <w:r w:rsidRPr="007D3871">
              <w:rPr>
                <w:sz w:val="20"/>
                <w:szCs w:val="20"/>
              </w:rPr>
              <w:t>A country strategy paper sets out the organisation’s planned approach and activities in the recipient country. For it to be accepted it needs to be a detailed document, rather than just a paragraph on the organisation’s website.</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Country strategy paper (document code = B03).</w:t>
            </w:r>
          </w:p>
        </w:tc>
        <w:tc>
          <w:tcPr>
            <w:tcW w:w="4394" w:type="dxa"/>
            <w:shd w:val="clear" w:color="auto" w:fill="FFFFFF" w:themeFill="background1"/>
          </w:tcPr>
          <w:p w:rsidR="009C7D14" w:rsidRDefault="009C7D14" w:rsidP="003B57E4">
            <w:pPr>
              <w:spacing w:after="0" w:line="240" w:lineRule="auto"/>
              <w:ind w:left="34"/>
              <w:rPr>
                <w:sz w:val="20"/>
                <w:szCs w:val="20"/>
              </w:rPr>
            </w:pPr>
            <w:r w:rsidRPr="007D3871">
              <w:rPr>
                <w:sz w:val="20"/>
                <w:szCs w:val="20"/>
              </w:rPr>
              <w:t>For organisations such as IFIs</w:t>
            </w:r>
            <w:r>
              <w:rPr>
                <w:sz w:val="20"/>
                <w:szCs w:val="20"/>
              </w:rPr>
              <w:t>, philanthropic organisations</w:t>
            </w:r>
            <w:r w:rsidRPr="007D3871">
              <w:rPr>
                <w:sz w:val="20"/>
                <w:szCs w:val="20"/>
              </w:rPr>
              <w:t xml:space="preserve"> and vertical funds which may not have country-level strategies, mid-level documents between organisation and activity-level are accepted, e.g. thematic or sectoral level documents.</w:t>
            </w:r>
          </w:p>
          <w:p w:rsidR="009C7D14" w:rsidRDefault="009C7D14" w:rsidP="003B57E4">
            <w:pPr>
              <w:spacing w:after="0" w:line="240" w:lineRule="auto"/>
              <w:ind w:left="34"/>
              <w:rPr>
                <w:sz w:val="20"/>
                <w:szCs w:val="20"/>
              </w:rPr>
            </w:pPr>
          </w:p>
          <w:p w:rsidR="009C7D14" w:rsidRPr="007D3871" w:rsidRDefault="009C7D14" w:rsidP="003B57E4">
            <w:pPr>
              <w:spacing w:after="0" w:line="240" w:lineRule="auto"/>
              <w:ind w:left="34"/>
              <w:rPr>
                <w:sz w:val="20"/>
                <w:szCs w:val="20"/>
              </w:rPr>
            </w:pPr>
            <w:r>
              <w:rPr>
                <w:sz w:val="20"/>
                <w:szCs w:val="20"/>
              </w:rPr>
              <w:t>If the organisation follows the strategy of a parent or related organisation, a statement clarifying this is needed on the website along with a link to the relevant strategy document. Similarly, if the organisation supports a country-led or developed strategy, this must be explicitly stated on the website and the link to the relevant strategy document needs to be provided.</w:t>
            </w:r>
          </w:p>
        </w:tc>
      </w:tr>
      <w:tr w:rsidR="009C7D14" w:rsidRPr="007D3871" w:rsidTr="00AF7769">
        <w:trPr>
          <w:trHeight w:val="227"/>
        </w:trPr>
        <w:tc>
          <w:tcPr>
            <w:tcW w:w="1418" w:type="dxa"/>
            <w:vMerge w:val="restart"/>
            <w:shd w:val="clear" w:color="auto" w:fill="FFFFFF" w:themeFill="background1"/>
          </w:tcPr>
          <w:p w:rsidR="009C7D14" w:rsidRPr="007D3871" w:rsidRDefault="009C7D14" w:rsidP="003B57E4">
            <w:pPr>
              <w:spacing w:after="0" w:line="240" w:lineRule="auto"/>
              <w:rPr>
                <w:sz w:val="20"/>
                <w:szCs w:val="20"/>
              </w:rPr>
            </w:pPr>
            <w:r>
              <w:rPr>
                <w:sz w:val="20"/>
                <w:szCs w:val="20"/>
              </w:rPr>
              <w:t>Financial</w:t>
            </w: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Total organisation budget</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Does this organisation publish the total organisation budget </w:t>
            </w:r>
            <w:r w:rsidRPr="007D3871">
              <w:rPr>
                <w:sz w:val="20"/>
                <w:szCs w:val="20"/>
              </w:rPr>
              <w:lastRenderedPageBreak/>
              <w:t>per year for the next three years, up to 201</w:t>
            </w:r>
            <w:r>
              <w:rPr>
                <w:sz w:val="20"/>
                <w:szCs w:val="20"/>
              </w:rPr>
              <w:t>6</w:t>
            </w:r>
            <w:r w:rsidRPr="007D3871">
              <w:rPr>
                <w:sz w:val="20"/>
                <w:szCs w:val="20"/>
              </w:rPr>
              <w:t>?</w:t>
            </w:r>
          </w:p>
        </w:tc>
        <w:tc>
          <w:tcPr>
            <w:tcW w:w="4961" w:type="dxa"/>
            <w:shd w:val="clear" w:color="auto" w:fill="FFFFFF" w:themeFill="background1"/>
          </w:tcPr>
          <w:p w:rsidR="009C7D14" w:rsidRDefault="009C7D14" w:rsidP="003B57E4">
            <w:pPr>
              <w:spacing w:after="0" w:line="240" w:lineRule="auto"/>
              <w:rPr>
                <w:sz w:val="20"/>
                <w:szCs w:val="20"/>
              </w:rPr>
            </w:pPr>
            <w:r w:rsidRPr="007D3871">
              <w:rPr>
                <w:sz w:val="20"/>
                <w:szCs w:val="20"/>
              </w:rPr>
              <w:lastRenderedPageBreak/>
              <w:t xml:space="preserve">The total organisation budget is the total amount that the organisation will be allocated by the government or its funders per year for the next three years. This is money </w:t>
            </w:r>
            <w:r w:rsidRPr="007D3871">
              <w:rPr>
                <w:sz w:val="20"/>
                <w:szCs w:val="20"/>
              </w:rPr>
              <w:lastRenderedPageBreak/>
              <w:t xml:space="preserve">going to the organisation and can be indicative. Each year ahead is worth one third of the total possible score for this indicator. Aggregate budgets of between 2–3 years </w:t>
            </w:r>
            <w:r w:rsidR="00D7254E">
              <w:rPr>
                <w:sz w:val="20"/>
                <w:szCs w:val="20"/>
              </w:rPr>
              <w:t>are</w:t>
            </w:r>
            <w:r w:rsidRPr="007D3871">
              <w:rPr>
                <w:sz w:val="20"/>
                <w:szCs w:val="20"/>
              </w:rPr>
              <w:t xml:space="preserve"> scored the s</w:t>
            </w:r>
            <w:r>
              <w:rPr>
                <w:sz w:val="20"/>
                <w:szCs w:val="20"/>
              </w:rPr>
              <w:t>ame as 1 year forward budgets.</w:t>
            </w:r>
            <w:r>
              <w:rPr>
                <w:sz w:val="20"/>
                <w:szCs w:val="20"/>
              </w:rPr>
              <w:br/>
            </w:r>
          </w:p>
          <w:p w:rsidR="009C7D14" w:rsidRPr="007D3871" w:rsidRDefault="009C7D14" w:rsidP="003B57E4">
            <w:pPr>
              <w:spacing w:after="0" w:line="240" w:lineRule="auto"/>
              <w:rPr>
                <w:sz w:val="20"/>
                <w:szCs w:val="20"/>
              </w:rPr>
            </w:pPr>
            <w:r>
              <w:rPr>
                <w:sz w:val="20"/>
                <w:szCs w:val="20"/>
              </w:rPr>
              <w:t>The IATI reference for this indicator is: Annual forward planning budget (total-budget)</w:t>
            </w:r>
          </w:p>
        </w:tc>
        <w:tc>
          <w:tcPr>
            <w:tcW w:w="4394"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lastRenderedPageBreak/>
              <w:t xml:space="preserve">IFIs and DFIs do not have budgets allocated to them as traditional aid agencies do. In many cases, total budgets are established annually, once total </w:t>
            </w:r>
            <w:r w:rsidRPr="007D3871">
              <w:rPr>
                <w:sz w:val="20"/>
                <w:szCs w:val="20"/>
              </w:rPr>
              <w:lastRenderedPageBreak/>
              <w:t xml:space="preserve">financial figures of all investments are taken into account. However, they do have projected total spend figures that they sometimes publish. If published, these projected figures are accepted for this indicator. </w:t>
            </w:r>
          </w:p>
          <w:p w:rsidR="009C7D14" w:rsidRPr="007D3871"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sidRPr="007D3871">
              <w:rPr>
                <w:sz w:val="20"/>
                <w:szCs w:val="20"/>
              </w:rPr>
              <w:t xml:space="preserve">Similarly, for private foundations and humanitarian </w:t>
            </w:r>
            <w:r>
              <w:rPr>
                <w:sz w:val="20"/>
                <w:szCs w:val="20"/>
              </w:rPr>
              <w:t>agencies,</w:t>
            </w:r>
            <w:r w:rsidRPr="007D3871">
              <w:rPr>
                <w:sz w:val="20"/>
                <w:szCs w:val="20"/>
              </w:rPr>
              <w:t xml:space="preserve"> indicative figures of available </w:t>
            </w:r>
            <w:r>
              <w:rPr>
                <w:sz w:val="20"/>
                <w:szCs w:val="20"/>
              </w:rPr>
              <w:t>funds</w:t>
            </w:r>
            <w:r w:rsidRPr="007D3871">
              <w:rPr>
                <w:sz w:val="20"/>
                <w:szCs w:val="20"/>
              </w:rPr>
              <w:t xml:space="preserve"> are accepted.</w:t>
            </w:r>
            <w:r w:rsidR="00345D43">
              <w:rPr>
                <w:sz w:val="20"/>
                <w:szCs w:val="20"/>
              </w:rPr>
              <w:t xml:space="preserve">            </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Disaggregated budget</w:t>
            </w:r>
            <w:r>
              <w:rPr>
                <w:sz w:val="20"/>
                <w:szCs w:val="20"/>
              </w:rPr>
              <w:t xml:space="preserve"> </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publish their annual forward planning budget for assistance to different countries and institutions per year for the next three years, up to</w:t>
            </w:r>
            <w:r>
              <w:rPr>
                <w:sz w:val="20"/>
                <w:szCs w:val="20"/>
              </w:rPr>
              <w:t xml:space="preserve"> </w:t>
            </w:r>
            <w:r w:rsidRPr="007D3871">
              <w:rPr>
                <w:sz w:val="20"/>
                <w:szCs w:val="20"/>
              </w:rPr>
              <w:t>201</w:t>
            </w:r>
            <w:r>
              <w:rPr>
                <w:sz w:val="20"/>
                <w:szCs w:val="20"/>
              </w:rPr>
              <w:t>6</w:t>
            </w:r>
            <w:r w:rsidRPr="007D3871">
              <w:rPr>
                <w:sz w:val="20"/>
                <w:szCs w:val="20"/>
              </w:rPr>
              <w:t>?</w:t>
            </w:r>
          </w:p>
        </w:tc>
        <w:tc>
          <w:tcPr>
            <w:tcW w:w="4961"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The organisation’s annual forward planning budget for assistance is the disaggregated budget that the organisation or agency will spend on different countries, programmes and institutions per year, for at least the next three years. The figure could be indicative. </w:t>
            </w:r>
          </w:p>
          <w:p w:rsidR="009C7D14" w:rsidRPr="007D3871" w:rsidRDefault="009C7D14" w:rsidP="003B57E4">
            <w:pPr>
              <w:spacing w:after="0" w:line="240" w:lineRule="auto"/>
              <w:rPr>
                <w:sz w:val="20"/>
                <w:szCs w:val="20"/>
              </w:rPr>
            </w:pPr>
          </w:p>
          <w:p w:rsidR="009C7D14" w:rsidRDefault="009C7D14" w:rsidP="003B57E4">
            <w:pPr>
              <w:spacing w:after="0" w:line="240" w:lineRule="auto"/>
              <w:rPr>
                <w:sz w:val="20"/>
                <w:szCs w:val="20"/>
              </w:rPr>
            </w:pPr>
            <w:r w:rsidRPr="007D3871">
              <w:rPr>
                <w:sz w:val="20"/>
                <w:szCs w:val="20"/>
              </w:rPr>
              <w:t xml:space="preserve">Scores are awarded on the basis of the number of years (up to three years) for which organisations are publishing budget information. Each year ahead is worth 33.33 points out of a total possible score of 100. Aggregate budgets of between 2–3 years </w:t>
            </w:r>
            <w:r w:rsidR="00D7254E">
              <w:rPr>
                <w:sz w:val="20"/>
                <w:szCs w:val="20"/>
              </w:rPr>
              <w:t>are</w:t>
            </w:r>
            <w:r w:rsidRPr="007D3871">
              <w:rPr>
                <w:sz w:val="20"/>
                <w:szCs w:val="20"/>
              </w:rPr>
              <w:t xml:space="preserve"> scored the same as 1 year forward budgets.</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Annual forward planning budgets for recipient countries (recipient-country-budget).</w:t>
            </w:r>
          </w:p>
        </w:tc>
        <w:tc>
          <w:tcPr>
            <w:tcW w:w="4394"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Both country budgets </w:t>
            </w:r>
            <w:r w:rsidR="00FB6702">
              <w:rPr>
                <w:sz w:val="20"/>
                <w:szCs w:val="20"/>
              </w:rPr>
              <w:t>and</w:t>
            </w:r>
            <w:r w:rsidRPr="007D3871">
              <w:rPr>
                <w:sz w:val="20"/>
                <w:szCs w:val="20"/>
              </w:rPr>
              <w:t xml:space="preserve"> thematic budgets are accepted for organisations that </w:t>
            </w:r>
            <w:r>
              <w:rPr>
                <w:sz w:val="20"/>
                <w:szCs w:val="20"/>
              </w:rPr>
              <w:t>prioritise their work</w:t>
            </w:r>
            <w:r w:rsidRPr="007D3871">
              <w:rPr>
                <w:sz w:val="20"/>
                <w:szCs w:val="20"/>
              </w:rPr>
              <w:t xml:space="preserve"> by countries. Projected figures disaggregated along thematic and sectoral priorities, at a near similar level of detail to total organisation budgets are accepted. IFIs and DFIs sometimes publish “road maps” which contain this information.</w:t>
            </w:r>
          </w:p>
          <w:p w:rsidR="009C7D14" w:rsidRPr="007D3871" w:rsidRDefault="009C7D14" w:rsidP="003B57E4">
            <w:pPr>
              <w:spacing w:after="0" w:line="240" w:lineRule="auto"/>
              <w:rPr>
                <w:sz w:val="20"/>
                <w:szCs w:val="20"/>
              </w:rPr>
            </w:pPr>
          </w:p>
          <w:p w:rsidR="009C7D14" w:rsidRDefault="009C7D14" w:rsidP="003B57E4">
            <w:pPr>
              <w:spacing w:after="0" w:line="240" w:lineRule="auto"/>
              <w:ind w:left="34"/>
              <w:rPr>
                <w:sz w:val="20"/>
                <w:szCs w:val="20"/>
              </w:rPr>
            </w:pPr>
            <w:r w:rsidRPr="007D3871">
              <w:rPr>
                <w:sz w:val="20"/>
                <w:szCs w:val="20"/>
              </w:rPr>
              <w:t xml:space="preserve">The start and end date for forward budgets are calculated based on </w:t>
            </w:r>
            <w:r>
              <w:rPr>
                <w:sz w:val="20"/>
                <w:szCs w:val="20"/>
              </w:rPr>
              <w:t>organisations</w:t>
            </w:r>
            <w:r w:rsidRPr="007D3871">
              <w:rPr>
                <w:sz w:val="20"/>
                <w:szCs w:val="20"/>
              </w:rPr>
              <w:t>' fiscal years</w:t>
            </w:r>
            <w:r>
              <w:rPr>
                <w:sz w:val="20"/>
                <w:szCs w:val="20"/>
              </w:rPr>
              <w:t xml:space="preserve"> for information collected via the survey</w:t>
            </w:r>
            <w:r w:rsidRPr="007D3871">
              <w:rPr>
                <w:sz w:val="20"/>
                <w:szCs w:val="20"/>
              </w:rPr>
              <w:t>. Budgets need to run up to a minimum of December 201</w:t>
            </w:r>
            <w:r>
              <w:rPr>
                <w:sz w:val="20"/>
                <w:szCs w:val="20"/>
              </w:rPr>
              <w:t>6</w:t>
            </w:r>
            <w:r w:rsidRPr="007D3871">
              <w:rPr>
                <w:sz w:val="20"/>
                <w:szCs w:val="20"/>
              </w:rPr>
              <w:t xml:space="preserve"> to score for 'three years forward'. Organisations at the end of their fixed budget cycles and therefore without a published budget for the next three years do not receive points for this indicator. </w:t>
            </w:r>
          </w:p>
          <w:p w:rsidR="009C7D14" w:rsidRDefault="009C7D14" w:rsidP="003B57E4">
            <w:pPr>
              <w:spacing w:after="0" w:line="240" w:lineRule="auto"/>
              <w:ind w:left="34"/>
              <w:rPr>
                <w:sz w:val="20"/>
                <w:szCs w:val="20"/>
              </w:rPr>
            </w:pPr>
          </w:p>
          <w:p w:rsidR="009C7D14" w:rsidRPr="007D3871" w:rsidRDefault="009C7D14" w:rsidP="003B57E4">
            <w:pPr>
              <w:spacing w:after="0" w:line="240" w:lineRule="auto"/>
              <w:ind w:left="34"/>
              <w:rPr>
                <w:sz w:val="20"/>
                <w:szCs w:val="20"/>
              </w:rPr>
            </w:pPr>
            <w:r>
              <w:rPr>
                <w:sz w:val="20"/>
                <w:szCs w:val="20"/>
              </w:rPr>
              <w:t xml:space="preserve">Forward Spending Survey data reported to the OECD DAC is taken into account only if it is available for the specific organisation under assessment. </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Audit</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publish an annual audit of its aid programmes?</w:t>
            </w:r>
          </w:p>
        </w:tc>
        <w:tc>
          <w:tcPr>
            <w:tcW w:w="4961"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The organisation’s annual audit of its activities is an official inspection of the accounts and activities of this organisation, typically by an independent body.</w:t>
            </w:r>
          </w:p>
          <w:p w:rsidR="009C7D14" w:rsidRPr="007D3871" w:rsidRDefault="009C7D14" w:rsidP="003B57E4">
            <w:pPr>
              <w:spacing w:after="0" w:line="240" w:lineRule="auto"/>
              <w:rPr>
                <w:sz w:val="20"/>
                <w:szCs w:val="20"/>
              </w:rPr>
            </w:pPr>
          </w:p>
          <w:p w:rsidR="009C7D14" w:rsidRDefault="009C7D14" w:rsidP="003B57E4">
            <w:pPr>
              <w:spacing w:after="0" w:line="240" w:lineRule="auto"/>
              <w:rPr>
                <w:sz w:val="20"/>
                <w:szCs w:val="20"/>
              </w:rPr>
            </w:pPr>
            <w:r w:rsidRPr="007D3871">
              <w:rPr>
                <w:sz w:val="20"/>
                <w:szCs w:val="20"/>
              </w:rPr>
              <w:t>Audits up to date with regular audit cycles are accepted, i.e. if the organisation publishes biennial audits, the most recent document within this time frame is accepted.</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Institutional audit report (document code = B06).</w:t>
            </w:r>
          </w:p>
        </w:tc>
        <w:tc>
          <w:tcPr>
            <w:tcW w:w="4394" w:type="dxa"/>
            <w:shd w:val="clear" w:color="auto" w:fill="FFFFFF" w:themeFill="background1"/>
          </w:tcPr>
          <w:p w:rsidR="009C7D14" w:rsidRPr="007D3871" w:rsidRDefault="009C7D14" w:rsidP="003B57E4">
            <w:pPr>
              <w:spacing w:after="0" w:line="240" w:lineRule="auto"/>
              <w:ind w:left="34"/>
              <w:rPr>
                <w:sz w:val="20"/>
                <w:szCs w:val="20"/>
              </w:rPr>
            </w:pPr>
            <w:r>
              <w:rPr>
                <w:sz w:val="20"/>
                <w:szCs w:val="20"/>
              </w:rPr>
              <w:t>A formally approved audit of annual accounts is required to score on this indicator. Audits conducted by official government agencies such as State Audit Offices or Controller General Reports are accepted for this indicator.</w:t>
            </w:r>
          </w:p>
        </w:tc>
      </w:tr>
      <w:tr w:rsidR="009C7D14" w:rsidRPr="007D3871" w:rsidTr="00AF7769">
        <w:trPr>
          <w:trHeight w:val="227"/>
        </w:trPr>
        <w:tc>
          <w:tcPr>
            <w:tcW w:w="14742" w:type="dxa"/>
            <w:gridSpan w:val="5"/>
            <w:shd w:val="clear" w:color="auto" w:fill="FFFFFF" w:themeFill="background1"/>
            <w:hideMark/>
          </w:tcPr>
          <w:p w:rsidR="009C7D14" w:rsidRPr="007D3871" w:rsidRDefault="009C7D14" w:rsidP="003B57E4">
            <w:pPr>
              <w:spacing w:after="0" w:line="240" w:lineRule="auto"/>
              <w:rPr>
                <w:b/>
                <w:sz w:val="20"/>
                <w:szCs w:val="20"/>
              </w:rPr>
            </w:pPr>
            <w:r w:rsidRPr="007D3871">
              <w:rPr>
                <w:b/>
                <w:sz w:val="20"/>
                <w:szCs w:val="20"/>
              </w:rPr>
              <w:t>Publication – activity level</w:t>
            </w:r>
          </w:p>
        </w:tc>
      </w:tr>
      <w:tr w:rsidR="009C7D14" w:rsidRPr="007D3871" w:rsidTr="00AF7769">
        <w:trPr>
          <w:trHeight w:val="227"/>
        </w:trPr>
        <w:tc>
          <w:tcPr>
            <w:tcW w:w="1418" w:type="dxa"/>
            <w:vMerge w:val="restart"/>
            <w:shd w:val="clear" w:color="auto" w:fill="FFFFFF" w:themeFill="background1"/>
            <w:hideMark/>
          </w:tcPr>
          <w:p w:rsidR="009C7D14" w:rsidRPr="007D3871" w:rsidRDefault="009C7D14" w:rsidP="003B57E4">
            <w:pPr>
              <w:spacing w:after="0" w:line="240" w:lineRule="auto"/>
              <w:rPr>
                <w:sz w:val="20"/>
                <w:szCs w:val="20"/>
              </w:rPr>
            </w:pPr>
            <w:r w:rsidRPr="007D3871">
              <w:rPr>
                <w:sz w:val="20"/>
                <w:szCs w:val="20"/>
              </w:rPr>
              <w:t xml:space="preserve">Basic activity </w:t>
            </w:r>
            <w:r w:rsidRPr="007D3871">
              <w:rPr>
                <w:sz w:val="20"/>
                <w:szCs w:val="20"/>
              </w:rPr>
              <w:lastRenderedPageBreak/>
              <w:t>information</w:t>
            </w: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lastRenderedPageBreak/>
              <w:t>Implementer</w:t>
            </w:r>
            <w:r>
              <w:rPr>
                <w:sz w:val="20"/>
                <w:szCs w:val="20"/>
              </w:rPr>
              <w:t xml:space="preserve"> </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Does this organisation </w:t>
            </w:r>
            <w:r w:rsidRPr="007D3871">
              <w:rPr>
                <w:sz w:val="20"/>
                <w:szCs w:val="20"/>
              </w:rPr>
              <w:lastRenderedPageBreak/>
              <w:t xml:space="preserve">publish which organisation implements the activity? </w:t>
            </w:r>
          </w:p>
        </w:tc>
        <w:tc>
          <w:tcPr>
            <w:tcW w:w="4961"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lastRenderedPageBreak/>
              <w:t xml:space="preserve">The implementer of the activity is the organisation which </w:t>
            </w:r>
            <w:r w:rsidRPr="007D3871">
              <w:rPr>
                <w:sz w:val="20"/>
                <w:szCs w:val="20"/>
              </w:rPr>
              <w:lastRenderedPageBreak/>
              <w:t>is principally responsible for delivering this activity.</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Implementing organisation (participating-org role = implementing).</w:t>
            </w:r>
          </w:p>
        </w:tc>
        <w:tc>
          <w:tcPr>
            <w:tcW w:w="4394"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lastRenderedPageBreak/>
              <w:t xml:space="preserve">This information may not be available in all cases </w:t>
            </w:r>
            <w:r w:rsidRPr="007D3871">
              <w:rPr>
                <w:sz w:val="20"/>
                <w:szCs w:val="20"/>
              </w:rPr>
              <w:lastRenderedPageBreak/>
              <w:t>due to “legitimate exclusions”. For example, humanitarian agencies may not be able to reveal who the implementing agencies are due to security reasons. Such exclusions are accepted but need to be explicitly stated (in order to distinguish these from cases of simple omission).</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Unique ID</w:t>
            </w:r>
            <w:r>
              <w:rPr>
                <w:sz w:val="20"/>
                <w:szCs w:val="20"/>
              </w:rPr>
              <w:t xml:space="preserve"> </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publish a unique activity identifier?</w:t>
            </w:r>
          </w:p>
        </w:tc>
        <w:tc>
          <w:tcPr>
            <w:tcW w:w="4961" w:type="dxa"/>
            <w:shd w:val="clear" w:color="auto" w:fill="FFFFFF" w:themeFill="background1"/>
          </w:tcPr>
          <w:p w:rsidR="009C7D14" w:rsidRDefault="009C7D14" w:rsidP="003B57E4">
            <w:pPr>
              <w:spacing w:after="0" w:line="240" w:lineRule="auto"/>
              <w:rPr>
                <w:sz w:val="20"/>
                <w:szCs w:val="20"/>
              </w:rPr>
            </w:pPr>
            <w:r w:rsidRPr="007D3871">
              <w:rPr>
                <w:sz w:val="20"/>
                <w:szCs w:val="20"/>
              </w:rPr>
              <w:t>The activity identifier is a unique reference ID for the activity, e.g. a project number. It allows an activity to be referred to and searched for by a code, which can be used to retrieve the project from a database or filing system.</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IATI identifier.</w:t>
            </w:r>
          </w:p>
        </w:tc>
        <w:tc>
          <w:tcPr>
            <w:tcW w:w="4394"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The project ID must be stated clearly on the page. It is not sufficient if it is only stated in the URL. It must be numeric or alpha-numeric.</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Title</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publish the title of the activity?</w:t>
            </w:r>
          </w:p>
        </w:tc>
        <w:tc>
          <w:tcPr>
            <w:tcW w:w="4961"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The title of the activity is the name of the activity. This is preferably the formal name of the activity, but does not have to be.</w:t>
            </w:r>
          </w:p>
          <w:p w:rsidR="009C7D14" w:rsidRPr="007D3871"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sidRPr="007D3871">
              <w:rPr>
                <w:sz w:val="20"/>
                <w:szCs w:val="20"/>
              </w:rPr>
              <w:t>The title needs to be complete with any abbreviations or acronyms explained.</w:t>
            </w:r>
          </w:p>
        </w:tc>
        <w:tc>
          <w:tcPr>
            <w:tcW w:w="4394" w:type="dxa"/>
            <w:shd w:val="clear" w:color="auto" w:fill="FFFFFF" w:themeFill="background1"/>
          </w:tcPr>
          <w:p w:rsidR="009C7D14" w:rsidRPr="007D3871" w:rsidRDefault="009C7D14" w:rsidP="003B57E4">
            <w:pPr>
              <w:spacing w:after="0" w:line="240" w:lineRule="auto"/>
              <w:rPr>
                <w:sz w:val="20"/>
                <w:szCs w:val="20"/>
              </w:rPr>
            </w:pP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Description</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publish a description of the activity?</w:t>
            </w:r>
          </w:p>
        </w:tc>
        <w:tc>
          <w:tcPr>
            <w:tcW w:w="4961"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The description of the activity is a descriptive text, longer than the title, explaining what the activity is. Sometimes it is just a short sentence but could also be more detailed. Either is accepted.</w:t>
            </w:r>
          </w:p>
        </w:tc>
        <w:tc>
          <w:tcPr>
            <w:tcW w:w="4394"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The description of the activity needs to contain a minimum of 10 words in order to be considered a description rather than just a title.</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Planned dates</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publish the planned start and end dates?</w:t>
            </w:r>
          </w:p>
        </w:tc>
        <w:tc>
          <w:tcPr>
            <w:tcW w:w="4961" w:type="dxa"/>
            <w:shd w:val="clear" w:color="auto" w:fill="FFFFFF" w:themeFill="background1"/>
          </w:tcPr>
          <w:p w:rsidR="009C7D14" w:rsidRDefault="009C7D14" w:rsidP="003B57E4">
            <w:pPr>
              <w:spacing w:after="0" w:line="240" w:lineRule="auto"/>
              <w:rPr>
                <w:sz w:val="20"/>
                <w:szCs w:val="20"/>
              </w:rPr>
            </w:pPr>
            <w:r w:rsidRPr="007D3871">
              <w:rPr>
                <w:sz w:val="20"/>
                <w:szCs w:val="20"/>
              </w:rPr>
              <w:t>The planned dates are the dates that the activity is scheduled to start and end on. If there are one set of dates but they are not explicitly planned or actual dates, given that these are for activities which are current (i.e. being implemented at the time of data collection) it is assumed that they are planned dates.</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Activity date (activity date type = start-planned and end-planned).</w:t>
            </w:r>
          </w:p>
        </w:tc>
        <w:tc>
          <w:tcPr>
            <w:tcW w:w="4394" w:type="dxa"/>
            <w:shd w:val="clear" w:color="auto" w:fill="FFFFFF" w:themeFill="background1"/>
          </w:tcPr>
          <w:p w:rsidR="009C7D14" w:rsidRDefault="009C7D14" w:rsidP="003B57E4">
            <w:pPr>
              <w:spacing w:after="0" w:line="240" w:lineRule="auto"/>
              <w:rPr>
                <w:sz w:val="20"/>
                <w:szCs w:val="20"/>
              </w:rPr>
            </w:pPr>
            <w:r w:rsidRPr="007D3871">
              <w:rPr>
                <w:sz w:val="20"/>
                <w:szCs w:val="20"/>
              </w:rPr>
              <w:t>Both month and year are required to score on this indicator in recognition of recipient countries needing to be able to map activities to their own financial year rather than the calendar year.</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If the activity has started or has finished, the original planned start and end dates must be retained in addition to the actual dates in order to score on this indicator.</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Actual dates</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publish the actual start and end dates?</w:t>
            </w:r>
            <w:r w:rsidRPr="007D3871">
              <w:rPr>
                <w:sz w:val="20"/>
                <w:szCs w:val="20"/>
              </w:rPr>
              <w:br/>
              <w:t>(If they are not explicitly stated as actual dates then it is assumed that they are planned dates.)</w:t>
            </w:r>
          </w:p>
        </w:tc>
        <w:tc>
          <w:tcPr>
            <w:tcW w:w="4961" w:type="dxa"/>
            <w:shd w:val="clear" w:color="auto" w:fill="FFFFFF" w:themeFill="background1"/>
          </w:tcPr>
          <w:p w:rsidR="009C7D14" w:rsidRDefault="009C7D14" w:rsidP="003B57E4">
            <w:pPr>
              <w:spacing w:after="0" w:line="240" w:lineRule="auto"/>
              <w:rPr>
                <w:sz w:val="20"/>
                <w:szCs w:val="20"/>
              </w:rPr>
            </w:pPr>
            <w:r w:rsidRPr="007D3871">
              <w:rPr>
                <w:sz w:val="20"/>
                <w:szCs w:val="20"/>
              </w:rPr>
              <w:t xml:space="preserve">These are the dates that the activity actually started (and ended on, if the activity has finished). If there is only one set of dates but they are not explicitly stated as planned or actual dates, then it is assumed they are planned dates. Actual dates are accepted where specific events occurred, </w:t>
            </w:r>
            <w:r>
              <w:rPr>
                <w:sz w:val="20"/>
                <w:szCs w:val="20"/>
              </w:rPr>
              <w:t>e.g.</w:t>
            </w:r>
            <w:r w:rsidRPr="007D3871">
              <w:rPr>
                <w:sz w:val="20"/>
                <w:szCs w:val="20"/>
              </w:rPr>
              <w:t xml:space="preserve"> the date the project/programme agreement is signed, a board presentation or an appraisal date.</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lastRenderedPageBreak/>
              <w:t>The IATI reference for this indicator is: Activity date (activity date type = start-actual and end-actual).</w:t>
            </w:r>
          </w:p>
        </w:tc>
        <w:tc>
          <w:tcPr>
            <w:tcW w:w="4394"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lastRenderedPageBreak/>
              <w:t>Both month and year are required to score on this indicator in recognition of recipient countries needing to be able to map activities to their own financial year rather than the calendar year.</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Current status</w:t>
            </w:r>
            <w:r>
              <w:rPr>
                <w:sz w:val="20"/>
                <w:szCs w:val="20"/>
              </w:rPr>
              <w:t xml:space="preserve"> </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publish the current status of the aid activity (e.g.in pipe line, implementation, completion, post-completion or cancelled)?</w:t>
            </w:r>
          </w:p>
        </w:tc>
        <w:tc>
          <w:tcPr>
            <w:tcW w:w="4961" w:type="dxa"/>
            <w:shd w:val="clear" w:color="auto" w:fill="FFFFFF" w:themeFill="background1"/>
          </w:tcPr>
          <w:p w:rsidR="009C7D14" w:rsidRDefault="009C7D14" w:rsidP="003B57E4">
            <w:pPr>
              <w:spacing w:after="0" w:line="240" w:lineRule="auto"/>
              <w:rPr>
                <w:sz w:val="20"/>
                <w:szCs w:val="20"/>
              </w:rPr>
            </w:pPr>
            <w:r w:rsidRPr="007D3871">
              <w:rPr>
                <w:sz w:val="20"/>
                <w:szCs w:val="20"/>
              </w:rPr>
              <w:t>This shows whether the activity is currently under design, being implemented, has finished or has been cancelled.</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Activity status</w:t>
            </w:r>
            <w:r w:rsidR="000D5F0D">
              <w:rPr>
                <w:sz w:val="20"/>
                <w:szCs w:val="20"/>
              </w:rPr>
              <w:t>.</w:t>
            </w:r>
          </w:p>
        </w:tc>
        <w:tc>
          <w:tcPr>
            <w:tcW w:w="4394" w:type="dxa"/>
            <w:shd w:val="clear" w:color="auto" w:fill="FFFFFF" w:themeFill="background1"/>
          </w:tcPr>
          <w:p w:rsidR="009C7D14" w:rsidRPr="007D3871" w:rsidRDefault="009C7D14" w:rsidP="003B57E4">
            <w:pPr>
              <w:spacing w:after="0" w:line="240" w:lineRule="auto"/>
              <w:rPr>
                <w:sz w:val="20"/>
                <w:szCs w:val="20"/>
              </w:rPr>
            </w:pPr>
          </w:p>
        </w:tc>
      </w:tr>
      <w:tr w:rsidR="009C7D14" w:rsidRPr="007D3871" w:rsidTr="00AF7769">
        <w:trPr>
          <w:trHeight w:val="281"/>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Contact details</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Are contact details provided for the activity?</w:t>
            </w:r>
          </w:p>
        </w:tc>
        <w:tc>
          <w:tcPr>
            <w:tcW w:w="4961"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This shows who can be contacted in relation to this activity. This does not have to be the contact information for an individual or project manager and could refer to a central contact or information desk. Contacts for either the funding organisation or the implementing organisation were accepted.</w:t>
            </w:r>
          </w:p>
          <w:p w:rsidR="009C7D14" w:rsidRPr="007D3871"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sidRPr="007D3871">
              <w:rPr>
                <w:sz w:val="20"/>
                <w:szCs w:val="20"/>
              </w:rPr>
              <w:t>This has to be stated alongside the activity or on an obvious “contact us” link alongside the activity.</w:t>
            </w:r>
          </w:p>
        </w:tc>
        <w:tc>
          <w:tcPr>
            <w:tcW w:w="4394" w:type="dxa"/>
            <w:shd w:val="clear" w:color="auto" w:fill="FFFFFF" w:themeFill="background1"/>
          </w:tcPr>
          <w:p w:rsidR="009C7D14" w:rsidRPr="007D3871" w:rsidRDefault="009C7D14" w:rsidP="003B57E4">
            <w:pPr>
              <w:spacing w:after="0" w:line="240" w:lineRule="auto"/>
              <w:rPr>
                <w:sz w:val="20"/>
                <w:szCs w:val="20"/>
              </w:rPr>
            </w:pPr>
          </w:p>
        </w:tc>
      </w:tr>
      <w:tr w:rsidR="009C7D14" w:rsidRPr="007D3871" w:rsidTr="00AF7769">
        <w:trPr>
          <w:trHeight w:val="227"/>
        </w:trPr>
        <w:tc>
          <w:tcPr>
            <w:tcW w:w="1418" w:type="dxa"/>
            <w:vMerge w:val="restart"/>
            <w:shd w:val="clear" w:color="auto" w:fill="FFFFFF" w:themeFill="background1"/>
          </w:tcPr>
          <w:p w:rsidR="009C7D14" w:rsidRPr="007D3871" w:rsidRDefault="009C7D14" w:rsidP="003B57E4">
            <w:pPr>
              <w:spacing w:after="0" w:line="240" w:lineRule="auto"/>
              <w:rPr>
                <w:sz w:val="20"/>
                <w:szCs w:val="20"/>
              </w:rPr>
            </w:pPr>
            <w:r w:rsidRPr="007D3871">
              <w:rPr>
                <w:sz w:val="20"/>
                <w:szCs w:val="20"/>
              </w:rPr>
              <w:t>Classifications</w:t>
            </w:r>
          </w:p>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Collaboration type</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Does this organisation publish the “Collaboration Type”, i.e. whether the activity is funded bilaterally or multilaterally, as a </w:t>
            </w:r>
            <w:r>
              <w:rPr>
                <w:sz w:val="20"/>
                <w:szCs w:val="20"/>
              </w:rPr>
              <w:t xml:space="preserve">core </w:t>
            </w:r>
            <w:r w:rsidRPr="007D3871">
              <w:rPr>
                <w:sz w:val="20"/>
                <w:szCs w:val="20"/>
              </w:rPr>
              <w:t>contribution to NGOs</w:t>
            </w:r>
            <w:r>
              <w:rPr>
                <w:sz w:val="20"/>
                <w:szCs w:val="20"/>
              </w:rPr>
              <w:t xml:space="preserve"> and other private bodies/</w:t>
            </w:r>
            <w:r w:rsidRPr="007D3871">
              <w:rPr>
                <w:sz w:val="20"/>
                <w:szCs w:val="20"/>
              </w:rPr>
              <w:t>Public-Private Partnerships, multilateral outflow</w:t>
            </w:r>
            <w:r>
              <w:rPr>
                <w:sz w:val="20"/>
                <w:szCs w:val="20"/>
              </w:rPr>
              <w:t xml:space="preserve"> or private sector outflow?</w:t>
            </w:r>
          </w:p>
        </w:tc>
        <w:tc>
          <w:tcPr>
            <w:tcW w:w="4961"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The collaboration type shows how the activity is funded – whether directly from one government to another (bilaterally), through institutions such as the World Bank or UN (multilaterally), or otherwise. This needs to be explicitly stated.</w:t>
            </w:r>
            <w:r w:rsidRPr="007D3871">
              <w:rPr>
                <w:sz w:val="20"/>
                <w:szCs w:val="20"/>
              </w:rPr>
              <w:br/>
            </w:r>
            <w:r w:rsidRPr="007D3871">
              <w:rPr>
                <w:sz w:val="20"/>
                <w:szCs w:val="20"/>
              </w:rPr>
              <w:br/>
              <w:t>To be accepted, responses need to be stated per activity, or once in a country strategy paper or a clear place on the website, if there is only one collaboration type for the whole organisation, e.g. “all aid is funded bilaterally”</w:t>
            </w:r>
            <w:r>
              <w:rPr>
                <w:sz w:val="20"/>
                <w:szCs w:val="20"/>
              </w:rPr>
              <w:t xml:space="preserve"> or “w</w:t>
            </w:r>
            <w:r w:rsidRPr="00A57DD7">
              <w:rPr>
                <w:sz w:val="20"/>
                <w:szCs w:val="20"/>
              </w:rPr>
              <w:t>e work exclusively with the private sector/non prof</w:t>
            </w:r>
            <w:r>
              <w:rPr>
                <w:sz w:val="20"/>
                <w:szCs w:val="20"/>
              </w:rPr>
              <w:t>its” or “all our activities are funded through</w:t>
            </w:r>
            <w:r w:rsidRPr="00A57DD7">
              <w:rPr>
                <w:sz w:val="20"/>
                <w:szCs w:val="20"/>
              </w:rPr>
              <w:t xml:space="preserve"> pooled funds”</w:t>
            </w:r>
            <w:r w:rsidRPr="007D3871">
              <w:rPr>
                <w:sz w:val="20"/>
                <w:szCs w:val="20"/>
              </w:rPr>
              <w:t>.</w:t>
            </w:r>
          </w:p>
        </w:tc>
        <w:tc>
          <w:tcPr>
            <w:tcW w:w="4394" w:type="dxa"/>
            <w:shd w:val="clear" w:color="auto" w:fill="FFFFFF" w:themeFill="background1"/>
          </w:tcPr>
          <w:p w:rsidR="009C7D14" w:rsidRPr="007D3871" w:rsidRDefault="009C7D14" w:rsidP="003B57E4">
            <w:pPr>
              <w:spacing w:after="0" w:line="240" w:lineRule="auto"/>
              <w:rPr>
                <w:sz w:val="20"/>
                <w:szCs w:val="20"/>
              </w:rPr>
            </w:pP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Flow type</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Does this organisation publish the “Flow Type”, i.e. whether the activity is categorised as Official Development Assistance (ODA), </w:t>
            </w:r>
            <w:r w:rsidRPr="007D3871">
              <w:rPr>
                <w:sz w:val="20"/>
                <w:szCs w:val="20"/>
              </w:rPr>
              <w:lastRenderedPageBreak/>
              <w:t xml:space="preserve">Other Official Flows (OOF), </w:t>
            </w:r>
            <w:r>
              <w:rPr>
                <w:sz w:val="20"/>
                <w:szCs w:val="20"/>
              </w:rPr>
              <w:t>private grants, private market flows, non-flows (e.g. GNI) or</w:t>
            </w:r>
            <w:r w:rsidRPr="007D3871">
              <w:rPr>
                <w:sz w:val="20"/>
                <w:szCs w:val="20"/>
              </w:rPr>
              <w:t xml:space="preserve"> any</w:t>
            </w:r>
            <w:r>
              <w:rPr>
                <w:sz w:val="20"/>
                <w:szCs w:val="20"/>
              </w:rPr>
              <w:t xml:space="preserve"> other flows</w:t>
            </w:r>
            <w:r w:rsidRPr="007D3871">
              <w:rPr>
                <w:sz w:val="20"/>
                <w:szCs w:val="20"/>
              </w:rPr>
              <w:t>?</w:t>
            </w:r>
          </w:p>
        </w:tc>
        <w:tc>
          <w:tcPr>
            <w:tcW w:w="4961" w:type="dxa"/>
            <w:shd w:val="clear" w:color="auto" w:fill="FFFFFF" w:themeFill="background1"/>
          </w:tcPr>
          <w:p w:rsidR="009C7D14" w:rsidRPr="007D3871" w:rsidRDefault="009C7D14" w:rsidP="00E614F2">
            <w:pPr>
              <w:spacing w:after="0" w:line="240" w:lineRule="auto"/>
              <w:rPr>
                <w:sz w:val="20"/>
                <w:szCs w:val="20"/>
              </w:rPr>
            </w:pPr>
            <w:r w:rsidRPr="007D3871">
              <w:rPr>
                <w:sz w:val="20"/>
                <w:szCs w:val="20"/>
              </w:rPr>
              <w:lastRenderedPageBreak/>
              <w:t>The flow type shows whether the organisation states this activity counts as ODA, OOF, climate finance or any other type of flow. This has to be explicitly stated per activity, or once in a country strategy paper or a single place on the organisation’s website if there is only one flow type for all activities, e.g. “all aid is ODA”</w:t>
            </w:r>
            <w:r>
              <w:rPr>
                <w:sz w:val="20"/>
                <w:szCs w:val="20"/>
              </w:rPr>
              <w:t xml:space="preserve">, or </w:t>
            </w:r>
            <w:r w:rsidR="00E614F2">
              <w:rPr>
                <w:sz w:val="20"/>
                <w:szCs w:val="20"/>
              </w:rPr>
              <w:t>“we only provide private grants</w:t>
            </w:r>
            <w:r>
              <w:rPr>
                <w:sz w:val="20"/>
                <w:szCs w:val="20"/>
              </w:rPr>
              <w:t>”</w:t>
            </w:r>
            <w:r w:rsidR="000D5F0D">
              <w:rPr>
                <w:sz w:val="20"/>
                <w:szCs w:val="20"/>
              </w:rPr>
              <w:t>.</w:t>
            </w:r>
          </w:p>
        </w:tc>
        <w:tc>
          <w:tcPr>
            <w:tcW w:w="4394" w:type="dxa"/>
            <w:shd w:val="clear" w:color="auto" w:fill="FFFFFF" w:themeFill="background1"/>
          </w:tcPr>
          <w:p w:rsidR="009C7D14" w:rsidRPr="007D3871" w:rsidRDefault="009C7D14" w:rsidP="003B57E4">
            <w:pPr>
              <w:spacing w:after="0" w:line="240" w:lineRule="auto"/>
              <w:rPr>
                <w:sz w:val="20"/>
                <w:szCs w:val="20"/>
              </w:rPr>
            </w:pP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Aid type</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Does this organisation publish the type of aid given (e.g. budget support, pooled funds, project-type interventions, experts, scholarships, debt relief, </w:t>
            </w:r>
            <w:r>
              <w:rPr>
                <w:sz w:val="20"/>
                <w:szCs w:val="20"/>
              </w:rPr>
              <w:t xml:space="preserve">or </w:t>
            </w:r>
            <w:r w:rsidRPr="007D3871">
              <w:rPr>
                <w:sz w:val="20"/>
                <w:szCs w:val="20"/>
              </w:rPr>
              <w:t>administrative costs)?</w:t>
            </w:r>
          </w:p>
        </w:tc>
        <w:tc>
          <w:tcPr>
            <w:tcW w:w="4961"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The type of aid shows whether the activity is classed as budget support, a project, technical assistance, debt relief, administrative costs, and so on. This needs to be explicitly stated per activity, or once in a country strategy paper or on a clear place on the organisation’s website if there is only one aid type for the whole organisation, e.g. “all aid is project-type interventions”. </w:t>
            </w:r>
            <w:r w:rsidRPr="007D3871">
              <w:rPr>
                <w:sz w:val="20"/>
                <w:szCs w:val="20"/>
              </w:rPr>
              <w:br/>
            </w:r>
            <w:r w:rsidRPr="007D3871">
              <w:rPr>
                <w:sz w:val="20"/>
                <w:szCs w:val="20"/>
              </w:rPr>
              <w:br/>
            </w:r>
          </w:p>
        </w:tc>
        <w:tc>
          <w:tcPr>
            <w:tcW w:w="4394"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The advisory services business line/type of intervention (investment climate, public-private partnership, etc</w:t>
            </w:r>
            <w:r>
              <w:rPr>
                <w:sz w:val="20"/>
                <w:szCs w:val="20"/>
              </w:rPr>
              <w:t>.</w:t>
            </w:r>
            <w:r w:rsidRPr="007D3871">
              <w:rPr>
                <w:sz w:val="20"/>
                <w:szCs w:val="20"/>
              </w:rPr>
              <w:t xml:space="preserve">), can be seen as broadly equivalent. </w:t>
            </w:r>
          </w:p>
          <w:p w:rsidR="009C7D14" w:rsidRPr="007D3871"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sidRPr="007D3871">
              <w:rPr>
                <w:sz w:val="20"/>
                <w:szCs w:val="20"/>
              </w:rPr>
              <w:t xml:space="preserve">Statements clarifying business line/intervention type published anywhere on the </w:t>
            </w:r>
            <w:r>
              <w:rPr>
                <w:sz w:val="20"/>
                <w:szCs w:val="20"/>
              </w:rPr>
              <w:t xml:space="preserve">organisation’s </w:t>
            </w:r>
            <w:r w:rsidRPr="007D3871">
              <w:rPr>
                <w:sz w:val="20"/>
                <w:szCs w:val="20"/>
              </w:rPr>
              <w:t>website count towards publishing aid type in the web format.</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Finance type</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publish the type of finance given (e.g. grant, loan, export credit, debt relief)?</w:t>
            </w:r>
          </w:p>
        </w:tc>
        <w:tc>
          <w:tcPr>
            <w:tcW w:w="4961"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The type of finance shows whether the activity is a grant, loan, export credit or debt relief. This needs to be explicitly stated per activity, or once in a country strategy paper or clearly on the organisation’s website if there is only one finance type for the whole organisation, e.g. “all aid is grants”.</w:t>
            </w:r>
          </w:p>
        </w:tc>
        <w:tc>
          <w:tcPr>
            <w:tcW w:w="4394" w:type="dxa"/>
            <w:shd w:val="clear" w:color="auto" w:fill="FFFFFF" w:themeFill="background1"/>
          </w:tcPr>
          <w:p w:rsidR="009C7D14" w:rsidRDefault="009C7D14" w:rsidP="003B57E4">
            <w:pPr>
              <w:spacing w:after="0" w:line="240" w:lineRule="auto"/>
              <w:rPr>
                <w:sz w:val="20"/>
                <w:szCs w:val="20"/>
              </w:rPr>
            </w:pPr>
            <w:r w:rsidRPr="007D3871">
              <w:rPr>
                <w:sz w:val="20"/>
                <w:szCs w:val="20"/>
              </w:rPr>
              <w:t>Investment type (loan, equity, etc.) can be interpreted as equivalent.</w:t>
            </w:r>
          </w:p>
          <w:p w:rsidR="009C7D14" w:rsidRPr="007D3871"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sidRPr="007D3871">
              <w:rPr>
                <w:sz w:val="20"/>
                <w:szCs w:val="20"/>
              </w:rPr>
              <w:t>Statements clarifying investment type published anywhere on the website count towards publishing finance type in the web format.</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Sectors</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publish the specific areas or “sectors” of the recipient’s economic or social development that the activity intends to foster, e.g. education, health and infrastructure?</w:t>
            </w:r>
          </w:p>
        </w:tc>
        <w:tc>
          <w:tcPr>
            <w:tcW w:w="4961"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The sectors of the activity explain whether this is, for example, a health or education project. It does not count if it is just mentioned incidentally within the title, description, etc. It needs to be stated separately and explicitly.</w:t>
            </w:r>
          </w:p>
          <w:p w:rsidR="009C7D14" w:rsidRPr="007D3871" w:rsidRDefault="009C7D14" w:rsidP="003B57E4">
            <w:pPr>
              <w:spacing w:after="0" w:line="240" w:lineRule="auto"/>
              <w:rPr>
                <w:color w:val="FF0000"/>
                <w:sz w:val="20"/>
                <w:szCs w:val="20"/>
              </w:rPr>
            </w:pPr>
          </w:p>
        </w:tc>
        <w:tc>
          <w:tcPr>
            <w:tcW w:w="4394" w:type="dxa"/>
            <w:shd w:val="clear" w:color="auto" w:fill="FFFFFF" w:themeFill="background1"/>
          </w:tcPr>
          <w:p w:rsidR="009C7D14" w:rsidRPr="007D3871" w:rsidRDefault="009C7D14" w:rsidP="003B57E4">
            <w:pPr>
              <w:spacing w:after="0" w:line="240" w:lineRule="auto"/>
              <w:rPr>
                <w:sz w:val="20"/>
                <w:szCs w:val="20"/>
              </w:rPr>
            </w:pPr>
            <w:r>
              <w:rPr>
                <w:sz w:val="20"/>
                <w:szCs w:val="20"/>
              </w:rPr>
              <w:t>If projects are presented by sector on an organisation’s website, it must be clearly stated whether the organisation works only in those sectors that are listed.</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Sub-national location</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publish the sub-national geographic location for this activity?</w:t>
            </w:r>
          </w:p>
        </w:tc>
        <w:tc>
          <w:tcPr>
            <w:tcW w:w="4961" w:type="dxa"/>
            <w:shd w:val="clear" w:color="auto" w:fill="FFFFFF" w:themeFill="background1"/>
          </w:tcPr>
          <w:p w:rsidR="009C7D14" w:rsidRDefault="009C7D14" w:rsidP="003B57E4">
            <w:pPr>
              <w:spacing w:after="0" w:line="240" w:lineRule="auto"/>
              <w:rPr>
                <w:sz w:val="20"/>
                <w:szCs w:val="20"/>
              </w:rPr>
            </w:pPr>
            <w:r w:rsidRPr="007D3871">
              <w:rPr>
                <w:sz w:val="20"/>
                <w:szCs w:val="20"/>
              </w:rPr>
              <w:t>The sub-national geographic location is information about where the activity is located within a country. This may be a province or city, or it could be geo-coded (whereby the precise longitude and latitude is published). It needs to be stated separately and explicitly.</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Location</w:t>
            </w:r>
            <w:r w:rsidR="000D5F0D">
              <w:rPr>
                <w:sz w:val="20"/>
                <w:szCs w:val="20"/>
              </w:rPr>
              <w:t>.</w:t>
            </w:r>
          </w:p>
        </w:tc>
        <w:tc>
          <w:tcPr>
            <w:tcW w:w="4394" w:type="dxa"/>
            <w:shd w:val="clear" w:color="auto" w:fill="FFFFFF" w:themeFill="background1"/>
          </w:tcPr>
          <w:p w:rsidR="009C7D14" w:rsidRPr="007D3871" w:rsidRDefault="009C7D14" w:rsidP="00D7254E">
            <w:pPr>
              <w:spacing w:after="0" w:line="240" w:lineRule="auto"/>
              <w:rPr>
                <w:sz w:val="20"/>
                <w:szCs w:val="20"/>
              </w:rPr>
            </w:pPr>
            <w:r w:rsidRPr="007D3871">
              <w:rPr>
                <w:sz w:val="20"/>
                <w:szCs w:val="20"/>
              </w:rPr>
              <w:t xml:space="preserve">For activities that are relevant at a country or regional level, information on the location where the funds are sent to </w:t>
            </w:r>
            <w:r>
              <w:rPr>
                <w:sz w:val="20"/>
                <w:szCs w:val="20"/>
              </w:rPr>
              <w:t xml:space="preserve">or where the recipient is located </w:t>
            </w:r>
            <w:r w:rsidR="00D7254E">
              <w:rPr>
                <w:sz w:val="20"/>
                <w:szCs w:val="20"/>
              </w:rPr>
              <w:t xml:space="preserve">are </w:t>
            </w:r>
            <w:r w:rsidRPr="007D3871">
              <w:rPr>
                <w:sz w:val="20"/>
                <w:szCs w:val="20"/>
              </w:rPr>
              <w:t xml:space="preserve">accepted for this indicator. For example, capital city for a country, or location information of the implementing organisation. </w:t>
            </w:r>
            <w:r w:rsidRPr="00635488">
              <w:rPr>
                <w:sz w:val="20"/>
                <w:szCs w:val="20"/>
              </w:rPr>
              <w:t>This includes private sector investment, loans or debt relief payments, where the location of the relevant bank or organisation is accepted.</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Tied aid status</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publish whether the aid is tied or not?</w:t>
            </w:r>
          </w:p>
        </w:tc>
        <w:tc>
          <w:tcPr>
            <w:tcW w:w="4961"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The tied aid status shows whether the organisation states that this activity counts as “tied” (procurement is restricted to the donor organisation country) or “untied” (open procurement). </w:t>
            </w:r>
          </w:p>
          <w:p w:rsidR="009C7D14" w:rsidRPr="007D3871" w:rsidRDefault="009C7D14" w:rsidP="003B57E4">
            <w:pPr>
              <w:spacing w:after="0" w:line="240" w:lineRule="auto"/>
              <w:rPr>
                <w:sz w:val="20"/>
                <w:szCs w:val="20"/>
              </w:rPr>
            </w:pPr>
          </w:p>
          <w:p w:rsidR="009C7D14" w:rsidRDefault="009C7D14" w:rsidP="003B57E4">
            <w:pPr>
              <w:spacing w:after="0" w:line="240" w:lineRule="auto"/>
              <w:rPr>
                <w:sz w:val="20"/>
                <w:szCs w:val="20"/>
              </w:rPr>
            </w:pPr>
            <w:r w:rsidRPr="007D3871">
              <w:rPr>
                <w:sz w:val="20"/>
                <w:szCs w:val="20"/>
              </w:rPr>
              <w:t>Specifying location requirements in activity documents such as procurement policies or tenders is accepted as publishing tied aid status.</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Default tied status.</w:t>
            </w:r>
          </w:p>
        </w:tc>
        <w:tc>
          <w:tcPr>
            <w:tcW w:w="4394"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For </w:t>
            </w:r>
            <w:r>
              <w:rPr>
                <w:sz w:val="20"/>
                <w:szCs w:val="20"/>
              </w:rPr>
              <w:t xml:space="preserve">organisations’ lending directly to </w:t>
            </w:r>
            <w:r w:rsidRPr="007D3871">
              <w:rPr>
                <w:sz w:val="20"/>
                <w:szCs w:val="20"/>
              </w:rPr>
              <w:t>national investment agencies, an explicit statement demonstrating their aid is not tied is required. For IFIs and DFIs, investment codes</w:t>
            </w:r>
            <w:r>
              <w:rPr>
                <w:sz w:val="20"/>
                <w:szCs w:val="20"/>
              </w:rPr>
              <w:t xml:space="preserve"> </w:t>
            </w:r>
            <w:r w:rsidRPr="007D3871">
              <w:rPr>
                <w:sz w:val="20"/>
                <w:szCs w:val="20"/>
              </w:rPr>
              <w:t>clarifying their position are accepted</w:t>
            </w:r>
            <w:r>
              <w:rPr>
                <w:sz w:val="20"/>
                <w:szCs w:val="20"/>
              </w:rPr>
              <w:t>. For private foundations, grant-making policies are accepted.</w:t>
            </w:r>
            <w:r w:rsidRPr="007D3871">
              <w:rPr>
                <w:sz w:val="20"/>
                <w:szCs w:val="20"/>
              </w:rPr>
              <w:t xml:space="preserve"> </w:t>
            </w:r>
            <w:r>
              <w:rPr>
                <w:sz w:val="20"/>
                <w:szCs w:val="20"/>
              </w:rPr>
              <w:t>If these are not available, the organisation’s procurement policy must clearly state</w:t>
            </w:r>
            <w:r w:rsidRPr="007D3871">
              <w:rPr>
                <w:sz w:val="20"/>
                <w:szCs w:val="20"/>
              </w:rPr>
              <w:t xml:space="preserve"> if there are any eligibility requirements for contracts based on country of origin</w:t>
            </w:r>
            <w:r>
              <w:rPr>
                <w:sz w:val="20"/>
                <w:szCs w:val="20"/>
              </w:rPr>
              <w:t>.</w:t>
            </w:r>
          </w:p>
        </w:tc>
      </w:tr>
      <w:tr w:rsidR="009C7D14" w:rsidRPr="007D3871" w:rsidTr="00AF7769">
        <w:trPr>
          <w:trHeight w:val="227"/>
        </w:trPr>
        <w:tc>
          <w:tcPr>
            <w:tcW w:w="1418" w:type="dxa"/>
            <w:vMerge w:val="restart"/>
            <w:shd w:val="clear" w:color="auto" w:fill="FFFFFF" w:themeFill="background1"/>
            <w:hideMark/>
          </w:tcPr>
          <w:p w:rsidR="009C7D14" w:rsidRPr="007D3871" w:rsidRDefault="009C7D14" w:rsidP="003B57E4">
            <w:pPr>
              <w:spacing w:after="0" w:line="240" w:lineRule="auto"/>
              <w:rPr>
                <w:sz w:val="20"/>
                <w:szCs w:val="20"/>
              </w:rPr>
            </w:pPr>
            <w:r w:rsidRPr="007D3871">
              <w:rPr>
                <w:sz w:val="20"/>
                <w:szCs w:val="20"/>
              </w:rPr>
              <w:t>Related documents</w:t>
            </w: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color w:val="000000"/>
                <w:sz w:val="20"/>
                <w:szCs w:val="20"/>
              </w:rPr>
              <w:t>Memorandum of Understanding</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Is the Memorandum of Understanding published?</w:t>
            </w:r>
          </w:p>
        </w:tc>
        <w:tc>
          <w:tcPr>
            <w:tcW w:w="4961" w:type="dxa"/>
            <w:shd w:val="clear" w:color="auto" w:fill="FFFFFF" w:themeFill="background1"/>
          </w:tcPr>
          <w:p w:rsidR="009C7D14" w:rsidRDefault="009C7D14" w:rsidP="003B57E4">
            <w:pPr>
              <w:spacing w:after="0" w:line="240" w:lineRule="auto"/>
              <w:rPr>
                <w:sz w:val="20"/>
                <w:szCs w:val="20"/>
              </w:rPr>
            </w:pPr>
            <w:r w:rsidRPr="007D3871">
              <w:rPr>
                <w:sz w:val="20"/>
                <w:szCs w:val="20"/>
              </w:rPr>
              <w:t>A Memorandum of Understanding (MoU) is a document which details the agreement usually between the organisation and recipient government for the provision of aid in the country.</w:t>
            </w:r>
            <w:r w:rsidRPr="007D3871">
              <w:rPr>
                <w:sz w:val="20"/>
                <w:szCs w:val="20"/>
              </w:rPr>
              <w:br/>
            </w:r>
          </w:p>
          <w:p w:rsidR="009C7D14" w:rsidRPr="007D3871" w:rsidRDefault="009C7D14" w:rsidP="003B57E4">
            <w:pPr>
              <w:spacing w:after="0" w:line="240" w:lineRule="auto"/>
              <w:rPr>
                <w:sz w:val="20"/>
                <w:szCs w:val="20"/>
              </w:rPr>
            </w:pPr>
            <w:r>
              <w:rPr>
                <w:sz w:val="20"/>
                <w:szCs w:val="20"/>
              </w:rPr>
              <w:t>The IATI reference for this indicator is: Memorandum of understanding (document code = A09).</w:t>
            </w:r>
          </w:p>
        </w:tc>
        <w:tc>
          <w:tcPr>
            <w:tcW w:w="4394"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Some </w:t>
            </w:r>
            <w:r>
              <w:rPr>
                <w:sz w:val="20"/>
                <w:szCs w:val="20"/>
              </w:rPr>
              <w:t>organisations</w:t>
            </w:r>
            <w:r w:rsidRPr="007D3871">
              <w:rPr>
                <w:sz w:val="20"/>
                <w:szCs w:val="20"/>
              </w:rPr>
              <w:t xml:space="preserve"> do not sign MoUs, so jointly developed documents governing the relationship between the organisation and the recipient are accepted as equivalent, e.g. investment codes</w:t>
            </w:r>
            <w:r>
              <w:rPr>
                <w:sz w:val="20"/>
                <w:szCs w:val="20"/>
              </w:rPr>
              <w:t xml:space="preserve"> or</w:t>
            </w:r>
            <w:r w:rsidRPr="007D3871">
              <w:rPr>
                <w:sz w:val="20"/>
                <w:szCs w:val="20"/>
              </w:rPr>
              <w:t xml:space="preserve"> partnership</w:t>
            </w:r>
            <w:r>
              <w:rPr>
                <w:sz w:val="20"/>
                <w:szCs w:val="20"/>
              </w:rPr>
              <w:t>/country</w:t>
            </w:r>
            <w:r w:rsidRPr="007D3871">
              <w:rPr>
                <w:sz w:val="20"/>
                <w:szCs w:val="20"/>
              </w:rPr>
              <w:t xml:space="preserve"> agreements</w:t>
            </w:r>
            <w:r>
              <w:rPr>
                <w:sz w:val="20"/>
                <w:szCs w:val="20"/>
              </w:rPr>
              <w:t xml:space="preserve"> that have been</w:t>
            </w:r>
            <w:r w:rsidRPr="007D3871">
              <w:rPr>
                <w:sz w:val="20"/>
                <w:szCs w:val="20"/>
              </w:rPr>
              <w:t xml:space="preserve"> developed in conjunction with recipient governments</w:t>
            </w:r>
            <w:r w:rsidR="00FB6702">
              <w:rPr>
                <w:sz w:val="20"/>
                <w:szCs w:val="20"/>
              </w:rPr>
              <w:t>, agreements with implementing partners or with grantees.</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Evaluations</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Are evaluation documents published for all completed activities in this recipient country?</w:t>
            </w:r>
          </w:p>
        </w:tc>
        <w:tc>
          <w:tcPr>
            <w:tcW w:w="4961"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Evaluation documents consider what the activity achieved, whether the intended objectives were met, what the major factors influencing the achievement or non-achievement of the objectives were and an assessment of the impact, effect and value of the activity. This information may be on a specific evaluation section of the organisation’s website.</w:t>
            </w:r>
          </w:p>
          <w:p w:rsidR="009C7D14" w:rsidRPr="007D3871" w:rsidRDefault="009C7D14" w:rsidP="003B57E4">
            <w:pPr>
              <w:spacing w:after="0" w:line="240" w:lineRule="auto"/>
              <w:rPr>
                <w:sz w:val="20"/>
                <w:szCs w:val="20"/>
              </w:rPr>
            </w:pPr>
          </w:p>
          <w:p w:rsidR="009C7D14" w:rsidRDefault="009C7D14" w:rsidP="003B57E4">
            <w:pPr>
              <w:spacing w:after="0" w:line="240" w:lineRule="auto"/>
              <w:rPr>
                <w:sz w:val="20"/>
                <w:szCs w:val="20"/>
              </w:rPr>
            </w:pPr>
            <w:r w:rsidRPr="007D3871">
              <w:rPr>
                <w:sz w:val="20"/>
                <w:szCs w:val="20"/>
              </w:rPr>
              <w:t>If the activity under assessment is not completed but evaluation documents are available for other completed activities, the organisation can score for this indicator.</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Review of project performance and evaluation (document code = A07)</w:t>
            </w:r>
            <w:r w:rsidR="000D5F0D">
              <w:rPr>
                <w:sz w:val="20"/>
                <w:szCs w:val="20"/>
              </w:rPr>
              <w:t>.</w:t>
            </w:r>
          </w:p>
        </w:tc>
        <w:tc>
          <w:tcPr>
            <w:tcW w:w="4394"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Not all organisations carry out evaluations for all of their activities. Organisations can score on this indicator as long as they publish evaluations within their regular evaluation cycles, i.e. the organisation publishes country evaluations every three years, the most recent documents within this time frame are accepted. </w:t>
            </w:r>
          </w:p>
          <w:p w:rsidR="009C7D14" w:rsidRPr="007D3871"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Objectives</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Are the objectives or purposes of the activity published?</w:t>
            </w:r>
          </w:p>
        </w:tc>
        <w:tc>
          <w:tcPr>
            <w:tcW w:w="4961" w:type="dxa"/>
            <w:shd w:val="clear" w:color="auto" w:fill="FFFFFF" w:themeFill="background1"/>
          </w:tcPr>
          <w:p w:rsidR="009C7D14" w:rsidRDefault="009C7D14" w:rsidP="003B57E4">
            <w:pPr>
              <w:spacing w:after="0" w:line="240" w:lineRule="auto"/>
              <w:rPr>
                <w:sz w:val="20"/>
                <w:szCs w:val="20"/>
              </w:rPr>
            </w:pPr>
            <w:r w:rsidRPr="007D3871">
              <w:rPr>
                <w:sz w:val="20"/>
                <w:szCs w:val="20"/>
              </w:rPr>
              <w:t>The objectives or purposes of the activity are those that the activity intends to achieve.</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Objectives / Purpose of activity (document code = A02) or Description (description type = 2).</w:t>
            </w:r>
          </w:p>
        </w:tc>
        <w:tc>
          <w:tcPr>
            <w:tcW w:w="4394" w:type="dxa"/>
            <w:shd w:val="clear" w:color="auto" w:fill="FFFFFF" w:themeFill="background1"/>
          </w:tcPr>
          <w:p w:rsidR="009C7D14" w:rsidRPr="00320D30" w:rsidRDefault="009C7D14" w:rsidP="00FB6702">
            <w:pPr>
              <w:spacing w:after="0" w:line="240" w:lineRule="auto"/>
              <w:rPr>
                <w:sz w:val="20"/>
                <w:szCs w:val="20"/>
              </w:rPr>
            </w:pPr>
            <w:r w:rsidRPr="00320D30">
              <w:rPr>
                <w:sz w:val="20"/>
                <w:szCs w:val="20"/>
              </w:rPr>
              <w:t>The objectives need to include the detailed description of the activity, the target sector/group and expected outcomes.</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Budget docs</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Is the budget of the </w:t>
            </w:r>
            <w:r w:rsidRPr="007D3871">
              <w:rPr>
                <w:sz w:val="20"/>
                <w:szCs w:val="20"/>
              </w:rPr>
              <w:lastRenderedPageBreak/>
              <w:t>activity published?</w:t>
            </w:r>
          </w:p>
        </w:tc>
        <w:tc>
          <w:tcPr>
            <w:tcW w:w="4961"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lastRenderedPageBreak/>
              <w:t xml:space="preserve">This is a specific budget detailing what the intended </w:t>
            </w:r>
            <w:r w:rsidRPr="007D3871">
              <w:rPr>
                <w:sz w:val="20"/>
                <w:szCs w:val="20"/>
              </w:rPr>
              <w:lastRenderedPageBreak/>
              <w:t>spending is for the different lines of the individual activity. It is often a document published on the organisation’s website.</w:t>
            </w:r>
          </w:p>
          <w:p w:rsidR="009C7D14" w:rsidRPr="007D3871" w:rsidRDefault="009C7D14" w:rsidP="003B57E4">
            <w:pPr>
              <w:spacing w:after="0" w:line="240" w:lineRule="auto"/>
              <w:rPr>
                <w:sz w:val="20"/>
                <w:szCs w:val="20"/>
              </w:rPr>
            </w:pPr>
          </w:p>
          <w:p w:rsidR="009C7D14" w:rsidRDefault="009C7D14" w:rsidP="003B57E4">
            <w:pPr>
              <w:spacing w:after="0" w:line="240" w:lineRule="auto"/>
              <w:rPr>
                <w:sz w:val="20"/>
                <w:szCs w:val="20"/>
              </w:rPr>
            </w:pPr>
            <w:r w:rsidRPr="007D3871">
              <w:rPr>
                <w:sz w:val="20"/>
                <w:szCs w:val="20"/>
              </w:rPr>
              <w:t xml:space="preserve">Budget documents cannot simply be at the </w:t>
            </w:r>
            <w:r>
              <w:rPr>
                <w:sz w:val="20"/>
                <w:szCs w:val="20"/>
              </w:rPr>
              <w:t xml:space="preserve">country </w:t>
            </w:r>
            <w:r w:rsidRPr="007D3871">
              <w:rPr>
                <w:sz w:val="20"/>
                <w:szCs w:val="20"/>
              </w:rPr>
              <w:t xml:space="preserve">level. If an activity budget is included in a larger country-level document, it is only accepted if the budget for the activity is broken down line by line. </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Budget (document code = A05).</w:t>
            </w:r>
          </w:p>
        </w:tc>
        <w:tc>
          <w:tcPr>
            <w:tcW w:w="4394" w:type="dxa"/>
            <w:shd w:val="clear" w:color="auto" w:fill="FFFFFF" w:themeFill="background1"/>
          </w:tcPr>
          <w:p w:rsidR="009C7D14" w:rsidRPr="00320D30" w:rsidRDefault="009C7D14" w:rsidP="003B57E4">
            <w:pPr>
              <w:spacing w:after="0" w:line="240" w:lineRule="auto"/>
              <w:rPr>
                <w:sz w:val="20"/>
                <w:szCs w:val="20"/>
              </w:rPr>
            </w:pPr>
            <w:r w:rsidRPr="00320D30">
              <w:rPr>
                <w:sz w:val="20"/>
                <w:szCs w:val="20"/>
              </w:rPr>
              <w:lastRenderedPageBreak/>
              <w:t xml:space="preserve">For organisations where budget documents might </w:t>
            </w:r>
            <w:r w:rsidRPr="00320D30">
              <w:rPr>
                <w:sz w:val="20"/>
                <w:szCs w:val="20"/>
              </w:rPr>
              <w:lastRenderedPageBreak/>
              <w:t>be considered commercially sensitive, documents with redactions of the commercially sensitive pieces of information are accepted but the specific reasons for the redactions need to be explicitly stated in detail and must clarify why the information is commercially sensitive and would cause material and direct harm if published.</w:t>
            </w:r>
          </w:p>
          <w:p w:rsidR="009C7D14" w:rsidRPr="00320D30" w:rsidRDefault="009C7D14" w:rsidP="003B57E4">
            <w:pPr>
              <w:spacing w:after="0" w:line="240" w:lineRule="auto"/>
              <w:rPr>
                <w:sz w:val="20"/>
                <w:szCs w:val="20"/>
              </w:rPr>
            </w:pPr>
          </w:p>
          <w:p w:rsidR="009C7D14" w:rsidRPr="00320D30" w:rsidRDefault="009C7D14" w:rsidP="003B57E4">
            <w:pPr>
              <w:spacing w:after="0" w:line="240" w:lineRule="auto"/>
              <w:rPr>
                <w:sz w:val="20"/>
                <w:szCs w:val="20"/>
              </w:rPr>
            </w:pP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Contracts</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Is the contract for the activity published?</w:t>
            </w:r>
          </w:p>
        </w:tc>
        <w:tc>
          <w:tcPr>
            <w:tcW w:w="4961" w:type="dxa"/>
            <w:shd w:val="clear" w:color="auto" w:fill="FFFFFF" w:themeFill="background1"/>
          </w:tcPr>
          <w:p w:rsidR="009C7D14" w:rsidRDefault="009C7D14" w:rsidP="003B57E4">
            <w:pPr>
              <w:spacing w:after="0" w:line="240" w:lineRule="auto"/>
              <w:rPr>
                <w:sz w:val="20"/>
                <w:szCs w:val="20"/>
              </w:rPr>
            </w:pPr>
            <w:r w:rsidRPr="007D3871">
              <w:rPr>
                <w:sz w:val="20"/>
                <w:szCs w:val="20"/>
              </w:rPr>
              <w:t xml:space="preserve">The individual contract(s) which is signed with a company, organisation or individual that provides goods and services for the activity. This could be on a procurement section of the organisation’s website, on a separate website or on a central government procurement website. </w:t>
            </w:r>
          </w:p>
          <w:p w:rsidR="009C7D14" w:rsidRPr="007D3871"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sidRPr="007D3871">
              <w:rPr>
                <w:sz w:val="20"/>
                <w:szCs w:val="20"/>
              </w:rPr>
              <w:t>Contract documents cannot simply be at the country</w:t>
            </w:r>
            <w:r>
              <w:rPr>
                <w:sz w:val="20"/>
                <w:szCs w:val="20"/>
              </w:rPr>
              <w:t xml:space="preserve"> </w:t>
            </w:r>
            <w:r w:rsidRPr="007D3871">
              <w:rPr>
                <w:sz w:val="20"/>
                <w:szCs w:val="20"/>
              </w:rPr>
              <w:t xml:space="preserve">level. If an activity contract is included in a larger country-level document, it is only accepted if the contract mentions the activity specifically and in detail. </w:t>
            </w:r>
          </w:p>
          <w:p w:rsidR="009C7D14" w:rsidRPr="007D3871" w:rsidRDefault="009C7D14" w:rsidP="003B57E4">
            <w:pPr>
              <w:spacing w:after="0" w:line="240" w:lineRule="auto"/>
              <w:rPr>
                <w:sz w:val="20"/>
                <w:szCs w:val="20"/>
              </w:rPr>
            </w:pPr>
          </w:p>
          <w:p w:rsidR="009C7D14" w:rsidRDefault="009C7D14" w:rsidP="003B57E4">
            <w:pPr>
              <w:spacing w:after="0" w:line="240" w:lineRule="auto"/>
              <w:rPr>
                <w:sz w:val="20"/>
                <w:szCs w:val="20"/>
              </w:rPr>
            </w:pPr>
            <w:r w:rsidRPr="007D3871">
              <w:rPr>
                <w:sz w:val="20"/>
                <w:szCs w:val="20"/>
              </w:rPr>
              <w:t xml:space="preserve">Basic information about the activity contract is accepted if it contains three of the following five information items: awardee, amount, overview of services being provided, start/end dates, unique reference to original tender documents. </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Contract (document code = A11 or A06).</w:t>
            </w:r>
          </w:p>
        </w:tc>
        <w:tc>
          <w:tcPr>
            <w:tcW w:w="4394"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This indicator is retained for all organisations in the Index. In cases where organisations consider such information to be commercially sensitive, sections within the contract can be redacted but the reason for the redactions needs to be explicitly stated. </w:t>
            </w:r>
          </w:p>
          <w:p w:rsidR="009C7D14" w:rsidRPr="007D3871"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sidRPr="007D3871">
              <w:rPr>
                <w:sz w:val="20"/>
                <w:szCs w:val="20"/>
              </w:rPr>
              <w:t xml:space="preserve">Due to the difficulty in checking contracts manually, rather than looking for the specific activity and the contract linked to it, a review of the organisation’s overall contracts </w:t>
            </w:r>
            <w:r w:rsidR="00D7254E">
              <w:rPr>
                <w:sz w:val="20"/>
                <w:szCs w:val="20"/>
              </w:rPr>
              <w:t>is</w:t>
            </w:r>
            <w:r w:rsidRPr="007D3871">
              <w:rPr>
                <w:sz w:val="20"/>
                <w:szCs w:val="20"/>
              </w:rPr>
              <w:t xml:space="preserve"> completed </w:t>
            </w:r>
            <w:r>
              <w:rPr>
                <w:sz w:val="20"/>
                <w:szCs w:val="20"/>
              </w:rPr>
              <w:t>in line with the organisation’s procurement policy</w:t>
            </w:r>
            <w:r w:rsidRPr="007D3871">
              <w:rPr>
                <w:sz w:val="20"/>
                <w:szCs w:val="20"/>
              </w:rPr>
              <w:t>.</w:t>
            </w:r>
          </w:p>
          <w:p w:rsidR="009C7D14" w:rsidRPr="007D3871"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sidRPr="007D3871">
              <w:rPr>
                <w:sz w:val="20"/>
                <w:szCs w:val="20"/>
              </w:rPr>
              <w:t>For vertical funds, equivalent documents are accepted, such as approved country proposals or agreements between the recipient and the funder.</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Tenders</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publish all tenders?</w:t>
            </w:r>
          </w:p>
        </w:tc>
        <w:tc>
          <w:tcPr>
            <w:tcW w:w="4961" w:type="dxa"/>
            <w:shd w:val="clear" w:color="auto" w:fill="FFFFFF" w:themeFill="background1"/>
          </w:tcPr>
          <w:p w:rsidR="009C7D14" w:rsidRDefault="009C7D14" w:rsidP="003B57E4">
            <w:pPr>
              <w:spacing w:after="0" w:line="240" w:lineRule="auto"/>
              <w:rPr>
                <w:sz w:val="20"/>
                <w:szCs w:val="20"/>
              </w:rPr>
            </w:pPr>
            <w:r w:rsidRPr="007D3871">
              <w:rPr>
                <w:sz w:val="20"/>
                <w:szCs w:val="20"/>
              </w:rPr>
              <w:t>Tenders are the individual contracts or proposals that have been put out to invite bids from companies or organisations that want to provide goods and services for an activity. They may be on a separate website, possibly on a central government procurement website.</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Tender (document code = A10).</w:t>
            </w:r>
          </w:p>
        </w:tc>
        <w:tc>
          <w:tcPr>
            <w:tcW w:w="4394"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Investment codes or policies for IFIs and DFIs are accepted. For private foundations, calls for grant submissions are accepted. For humanitarian agencies, documents that provide guidance on securing funding are accepted.</w:t>
            </w:r>
          </w:p>
          <w:p w:rsidR="009C7D14" w:rsidRPr="007D3871" w:rsidRDefault="009C7D14" w:rsidP="003B57E4">
            <w:pPr>
              <w:spacing w:after="0" w:line="240" w:lineRule="auto"/>
              <w:rPr>
                <w:sz w:val="20"/>
                <w:szCs w:val="20"/>
              </w:rPr>
            </w:pPr>
          </w:p>
          <w:p w:rsidR="009C7D14" w:rsidRDefault="009C7D14" w:rsidP="003B57E4">
            <w:pPr>
              <w:spacing w:after="0" w:line="240" w:lineRule="auto"/>
              <w:rPr>
                <w:sz w:val="20"/>
                <w:szCs w:val="20"/>
              </w:rPr>
            </w:pPr>
            <w:r w:rsidRPr="007D3871">
              <w:rPr>
                <w:sz w:val="20"/>
                <w:szCs w:val="20"/>
              </w:rPr>
              <w:t xml:space="preserve">Due to the difficulty with manually finding tenders linked to current activities, rather than looking for </w:t>
            </w:r>
            <w:r w:rsidRPr="007D3871">
              <w:rPr>
                <w:sz w:val="20"/>
                <w:szCs w:val="20"/>
              </w:rPr>
              <w:lastRenderedPageBreak/>
              <w:t>the specific tender, a review of the</w:t>
            </w:r>
            <w:r>
              <w:rPr>
                <w:sz w:val="20"/>
                <w:szCs w:val="20"/>
              </w:rPr>
              <w:t xml:space="preserve"> organisation’s overall calls for tenders</w:t>
            </w:r>
            <w:r w:rsidRPr="007D3871">
              <w:rPr>
                <w:sz w:val="20"/>
                <w:szCs w:val="20"/>
              </w:rPr>
              <w:t xml:space="preserve"> </w:t>
            </w:r>
            <w:r w:rsidR="00D7254E">
              <w:rPr>
                <w:sz w:val="20"/>
                <w:szCs w:val="20"/>
              </w:rPr>
              <w:t>is</w:t>
            </w:r>
            <w:r w:rsidRPr="007D3871">
              <w:rPr>
                <w:sz w:val="20"/>
                <w:szCs w:val="20"/>
              </w:rPr>
              <w:t xml:space="preserve"> completed to check it is publishing them consistently</w:t>
            </w:r>
            <w:r>
              <w:rPr>
                <w:sz w:val="20"/>
                <w:szCs w:val="20"/>
              </w:rPr>
              <w:t xml:space="preserve"> and in-line with their procurement policy</w:t>
            </w:r>
            <w:r w:rsidRPr="007D3871">
              <w:rPr>
                <w:sz w:val="20"/>
                <w:szCs w:val="20"/>
              </w:rPr>
              <w:t>.</w:t>
            </w:r>
          </w:p>
          <w:p w:rsidR="009C7D14" w:rsidRDefault="009C7D14" w:rsidP="003B57E4">
            <w:pPr>
              <w:spacing w:after="0" w:line="240" w:lineRule="auto"/>
              <w:rPr>
                <w:sz w:val="20"/>
                <w:szCs w:val="20"/>
              </w:rPr>
            </w:pPr>
          </w:p>
          <w:p w:rsidR="009C7D14" w:rsidRPr="007D3871" w:rsidRDefault="009C7D14" w:rsidP="003B57E4">
            <w:pPr>
              <w:spacing w:after="0" w:line="240" w:lineRule="auto"/>
              <w:ind w:left="34"/>
              <w:rPr>
                <w:sz w:val="20"/>
                <w:szCs w:val="20"/>
              </w:rPr>
            </w:pPr>
            <w:r>
              <w:rPr>
                <w:sz w:val="20"/>
                <w:szCs w:val="20"/>
              </w:rPr>
              <w:t>For organisations that do not issue tenders related to aid projects (e.g. if procurement is undertaken by grantees or other implementing agencies), a statement explicitly clarifying this is required.</w:t>
            </w:r>
            <w:r w:rsidR="00345D43">
              <w:rPr>
                <w:sz w:val="20"/>
                <w:szCs w:val="20"/>
              </w:rPr>
              <w:t xml:space="preserve"> </w:t>
            </w:r>
          </w:p>
        </w:tc>
      </w:tr>
      <w:tr w:rsidR="009C7D14" w:rsidRPr="007D3871" w:rsidTr="00AF7769">
        <w:trPr>
          <w:trHeight w:val="227"/>
        </w:trPr>
        <w:tc>
          <w:tcPr>
            <w:tcW w:w="1418" w:type="dxa"/>
            <w:vMerge w:val="restart"/>
            <w:shd w:val="clear" w:color="auto" w:fill="FFFFFF" w:themeFill="background1"/>
            <w:hideMark/>
          </w:tcPr>
          <w:p w:rsidR="009C7D14" w:rsidRPr="002E0C64" w:rsidRDefault="009C7D14" w:rsidP="003B57E4">
            <w:pPr>
              <w:spacing w:after="0" w:line="240" w:lineRule="auto"/>
              <w:rPr>
                <w:sz w:val="20"/>
                <w:szCs w:val="20"/>
              </w:rPr>
            </w:pPr>
            <w:r w:rsidRPr="002E0C64">
              <w:rPr>
                <w:sz w:val="20"/>
                <w:szCs w:val="20"/>
              </w:rPr>
              <w:lastRenderedPageBreak/>
              <w:t>Financial</w:t>
            </w:r>
          </w:p>
        </w:tc>
        <w:tc>
          <w:tcPr>
            <w:tcW w:w="1843" w:type="dxa"/>
            <w:shd w:val="clear" w:color="auto" w:fill="FFFFFF" w:themeFill="background1"/>
            <w:noWrap/>
            <w:hideMark/>
          </w:tcPr>
          <w:p w:rsidR="009C7D14" w:rsidRPr="002E0C64" w:rsidRDefault="009C7D14" w:rsidP="003B57E4">
            <w:pPr>
              <w:pStyle w:val="ListParagraph"/>
              <w:numPr>
                <w:ilvl w:val="0"/>
                <w:numId w:val="12"/>
              </w:numPr>
              <w:spacing w:after="0" w:line="240" w:lineRule="auto"/>
              <w:ind w:left="360"/>
              <w:contextualSpacing w:val="0"/>
              <w:rPr>
                <w:sz w:val="20"/>
                <w:szCs w:val="20"/>
              </w:rPr>
            </w:pPr>
            <w:r>
              <w:rPr>
                <w:sz w:val="20"/>
                <w:szCs w:val="20"/>
              </w:rPr>
              <w:t>Budget</w:t>
            </w:r>
          </w:p>
        </w:tc>
        <w:tc>
          <w:tcPr>
            <w:tcW w:w="2126" w:type="dxa"/>
            <w:shd w:val="clear" w:color="auto" w:fill="FFFFFF" w:themeFill="background1"/>
          </w:tcPr>
          <w:p w:rsidR="009C7D14" w:rsidRPr="007D3871" w:rsidRDefault="009C7D14" w:rsidP="00EC4962">
            <w:pPr>
              <w:spacing w:after="0" w:line="240" w:lineRule="auto"/>
              <w:rPr>
                <w:sz w:val="20"/>
                <w:szCs w:val="20"/>
              </w:rPr>
            </w:pPr>
            <w:r w:rsidRPr="007D3871">
              <w:rPr>
                <w:sz w:val="20"/>
                <w:szCs w:val="20"/>
              </w:rPr>
              <w:t xml:space="preserve">Does this organisation provide </w:t>
            </w:r>
            <w:r>
              <w:rPr>
                <w:sz w:val="20"/>
                <w:szCs w:val="20"/>
              </w:rPr>
              <w:t>a breakdown of the budget of the activity by year</w:t>
            </w:r>
            <w:r w:rsidR="009C669A">
              <w:rPr>
                <w:sz w:val="20"/>
                <w:szCs w:val="20"/>
              </w:rPr>
              <w:t xml:space="preserve"> and/or quarter</w:t>
            </w:r>
            <w:r>
              <w:rPr>
                <w:sz w:val="20"/>
                <w:szCs w:val="20"/>
              </w:rPr>
              <w:t>?</w:t>
            </w:r>
            <w:r w:rsidRPr="007D3871" w:rsidDel="006A0AE8">
              <w:rPr>
                <w:sz w:val="20"/>
                <w:szCs w:val="20"/>
              </w:rPr>
              <w:t xml:space="preserve"> </w:t>
            </w:r>
          </w:p>
        </w:tc>
        <w:tc>
          <w:tcPr>
            <w:tcW w:w="4961" w:type="dxa"/>
            <w:shd w:val="clear" w:color="auto" w:fill="FFFFFF" w:themeFill="background1"/>
          </w:tcPr>
          <w:p w:rsidR="009C7D14" w:rsidRDefault="009C7D14" w:rsidP="003B57E4">
            <w:pPr>
              <w:spacing w:after="0" w:line="240" w:lineRule="auto"/>
              <w:rPr>
                <w:sz w:val="20"/>
                <w:szCs w:val="20"/>
              </w:rPr>
            </w:pPr>
            <w:r>
              <w:rPr>
                <w:sz w:val="20"/>
                <w:szCs w:val="20"/>
              </w:rPr>
              <w:t xml:space="preserve">The budget of the activity is the </w:t>
            </w:r>
            <w:r w:rsidRPr="009C4BB6">
              <w:rPr>
                <w:sz w:val="20"/>
                <w:szCs w:val="20"/>
              </w:rPr>
              <w:t xml:space="preserve">breakdown of </w:t>
            </w:r>
            <w:r>
              <w:rPr>
                <w:sz w:val="20"/>
                <w:szCs w:val="20"/>
              </w:rPr>
              <w:t xml:space="preserve">the </w:t>
            </w:r>
            <w:r w:rsidRPr="009C4BB6">
              <w:rPr>
                <w:sz w:val="20"/>
                <w:szCs w:val="20"/>
              </w:rPr>
              <w:t xml:space="preserve">total </w:t>
            </w:r>
            <w:r>
              <w:rPr>
                <w:sz w:val="20"/>
                <w:szCs w:val="20"/>
              </w:rPr>
              <w:t xml:space="preserve">financial </w:t>
            </w:r>
            <w:r w:rsidRPr="009C4BB6">
              <w:rPr>
                <w:sz w:val="20"/>
                <w:szCs w:val="20"/>
              </w:rPr>
              <w:t xml:space="preserve">commitment </w:t>
            </w:r>
            <w:r>
              <w:rPr>
                <w:sz w:val="20"/>
                <w:szCs w:val="20"/>
              </w:rPr>
              <w:t xml:space="preserve">to the activity </w:t>
            </w:r>
            <w:r w:rsidRPr="009C4BB6">
              <w:rPr>
                <w:sz w:val="20"/>
                <w:szCs w:val="20"/>
              </w:rPr>
              <w:t>into annual or quarterly chunks</w:t>
            </w:r>
            <w:r>
              <w:rPr>
                <w:sz w:val="20"/>
                <w:szCs w:val="20"/>
              </w:rPr>
              <w:t>.</w:t>
            </w:r>
          </w:p>
          <w:p w:rsidR="009C7D14" w:rsidRDefault="009C7D14" w:rsidP="003B57E4">
            <w:pPr>
              <w:spacing w:after="0" w:line="240" w:lineRule="auto"/>
              <w:rPr>
                <w:sz w:val="20"/>
                <w:szCs w:val="20"/>
              </w:rPr>
            </w:pPr>
          </w:p>
          <w:p w:rsidR="009C7D14" w:rsidRDefault="009C7D14" w:rsidP="003B57E4">
            <w:pPr>
              <w:spacing w:after="0" w:line="240" w:lineRule="auto"/>
              <w:rPr>
                <w:sz w:val="20"/>
                <w:szCs w:val="20"/>
              </w:rPr>
            </w:pPr>
            <w:r>
              <w:rPr>
                <w:sz w:val="20"/>
                <w:szCs w:val="20"/>
              </w:rPr>
              <w:t>In order to score for this indicator, the budget for at least the next year ahead (i.e. until 31 December 2014) or until the end of the activity – whichever is sooner – should be available</w:t>
            </w:r>
            <w:r w:rsidRPr="007D3871">
              <w:rPr>
                <w:sz w:val="20"/>
                <w:szCs w:val="20"/>
              </w:rPr>
              <w:t>.</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Budget or Planned Disbursement.</w:t>
            </w:r>
          </w:p>
        </w:tc>
        <w:tc>
          <w:tcPr>
            <w:tcW w:w="4394" w:type="dxa"/>
            <w:shd w:val="clear" w:color="auto" w:fill="FFFFFF" w:themeFill="background1"/>
          </w:tcPr>
          <w:p w:rsidR="009C7D14" w:rsidRPr="003E15DC" w:rsidRDefault="009C7D14" w:rsidP="003B57E4">
            <w:pPr>
              <w:spacing w:after="0" w:line="240" w:lineRule="auto"/>
              <w:rPr>
                <w:sz w:val="20"/>
                <w:szCs w:val="20"/>
              </w:rPr>
            </w:pPr>
            <w:r w:rsidRPr="003E15DC">
              <w:rPr>
                <w:sz w:val="20"/>
                <w:szCs w:val="20"/>
              </w:rPr>
              <w:t>For organisations where this may be deemed as commercially sensitive information, total estimated cost of fund/grant/loan amount is accepted or sections within a document can be redacted. The specific reasons for the redactions need to be explicitly stated</w:t>
            </w:r>
            <w:r w:rsidRPr="00C12431">
              <w:rPr>
                <w:sz w:val="20"/>
                <w:szCs w:val="20"/>
              </w:rPr>
              <w:t xml:space="preserve"> in detail and must clarify why the information is commercially sensitive and would cause material and direct harm if published.</w:t>
            </w:r>
          </w:p>
          <w:p w:rsidR="009C7D14" w:rsidRDefault="009C7D14" w:rsidP="003B57E4">
            <w:pPr>
              <w:spacing w:after="0" w:line="240" w:lineRule="auto"/>
              <w:rPr>
                <w:sz w:val="20"/>
                <w:szCs w:val="20"/>
              </w:rPr>
            </w:pPr>
          </w:p>
          <w:p w:rsidR="009C7D14" w:rsidRDefault="00EC4962" w:rsidP="003B57E4">
            <w:pPr>
              <w:spacing w:after="0" w:line="240" w:lineRule="auto"/>
              <w:rPr>
                <w:sz w:val="20"/>
                <w:szCs w:val="20"/>
              </w:rPr>
            </w:pPr>
            <w:r w:rsidRPr="00EC4962">
              <w:rPr>
                <w:sz w:val="20"/>
                <w:szCs w:val="20"/>
              </w:rPr>
              <w:t>The weighting of the indicator has not changed but it is more rigorously measured in 2014 for IATI publishers (information published to IATI is scored higher than information published in other formats).</w:t>
            </w:r>
            <w:r w:rsidR="00D7254E">
              <w:rPr>
                <w:sz w:val="20"/>
                <w:szCs w:val="20"/>
              </w:rPr>
              <w:t xml:space="preserve"> Providing forward budgets </w:t>
            </w:r>
            <w:r w:rsidRPr="00EC4962">
              <w:rPr>
                <w:sz w:val="20"/>
                <w:szCs w:val="20"/>
              </w:rPr>
              <w:t>allow</w:t>
            </w:r>
            <w:r w:rsidR="00D7254E">
              <w:rPr>
                <w:sz w:val="20"/>
                <w:szCs w:val="20"/>
              </w:rPr>
              <w:t>s</w:t>
            </w:r>
            <w:r w:rsidRPr="00EC4962">
              <w:rPr>
                <w:sz w:val="20"/>
                <w:szCs w:val="20"/>
              </w:rPr>
              <w:t xml:space="preserve"> an IATI publisher to score up to half the total available data quality points, while a quarterly breakdow</w:t>
            </w:r>
            <w:r w:rsidR="00D7254E">
              <w:rPr>
                <w:sz w:val="20"/>
                <w:szCs w:val="20"/>
              </w:rPr>
              <w:t xml:space="preserve">n for the first year ahead </w:t>
            </w:r>
            <w:r w:rsidRPr="00EC4962">
              <w:rPr>
                <w:sz w:val="20"/>
                <w:szCs w:val="20"/>
              </w:rPr>
              <w:t>enable</w:t>
            </w:r>
            <w:r w:rsidR="00D7254E">
              <w:rPr>
                <w:sz w:val="20"/>
                <w:szCs w:val="20"/>
              </w:rPr>
              <w:t>s</w:t>
            </w:r>
            <w:r w:rsidRPr="00EC4962">
              <w:rPr>
                <w:sz w:val="20"/>
                <w:szCs w:val="20"/>
              </w:rPr>
              <w:t xml:space="preserve"> them to score the remaining half</w:t>
            </w:r>
            <w:r>
              <w:rPr>
                <w:sz w:val="20"/>
                <w:szCs w:val="20"/>
              </w:rPr>
              <w:t xml:space="preserve">. </w:t>
            </w:r>
            <w:r w:rsidR="009C7D14">
              <w:rPr>
                <w:sz w:val="20"/>
                <w:szCs w:val="20"/>
              </w:rPr>
              <w:t xml:space="preserve">This change has been made </w:t>
            </w:r>
            <w:r w:rsidR="009C7D14" w:rsidRPr="007D3871">
              <w:rPr>
                <w:sz w:val="20"/>
                <w:szCs w:val="20"/>
              </w:rPr>
              <w:t>in recognition of recipient countries needing to be able to map activities to their own financial year rather than the calendar year.</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 xml:space="preserve">Note: The difference between indicators 33 and 30 is that indicator 30 requires the overall activity budget to be broken down by individual line items for the activity. To score on indicator 33, the funds allocated to the activity must be broken down by year and quarter for at least the next year ahead. Spending by individual line items is not required. If </w:t>
            </w:r>
            <w:r>
              <w:rPr>
                <w:sz w:val="20"/>
                <w:szCs w:val="20"/>
              </w:rPr>
              <w:lastRenderedPageBreak/>
              <w:t>the required information for both indicators 30 and 33 is available in a single document, it can be considered for both indicators.</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Pr>
                <w:sz w:val="20"/>
                <w:szCs w:val="20"/>
              </w:rPr>
              <w:t>Commitments</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Does this organisation provide details of </w:t>
            </w:r>
            <w:r>
              <w:rPr>
                <w:sz w:val="20"/>
                <w:szCs w:val="20"/>
              </w:rPr>
              <w:t>the overall financial commitment made to the activity</w:t>
            </w:r>
            <w:r w:rsidRPr="007D3871">
              <w:rPr>
                <w:sz w:val="20"/>
                <w:szCs w:val="20"/>
              </w:rPr>
              <w:t>?</w:t>
            </w:r>
          </w:p>
        </w:tc>
        <w:tc>
          <w:tcPr>
            <w:tcW w:w="4961" w:type="dxa"/>
            <w:shd w:val="clear" w:color="auto" w:fill="FFFFFF" w:themeFill="background1"/>
          </w:tcPr>
          <w:p w:rsidR="009C7D14" w:rsidRDefault="009C7D14" w:rsidP="003B57E4">
            <w:pPr>
              <w:spacing w:after="0" w:line="240" w:lineRule="auto"/>
              <w:rPr>
                <w:sz w:val="20"/>
                <w:szCs w:val="20"/>
              </w:rPr>
            </w:pPr>
            <w:r>
              <w:rPr>
                <w:sz w:val="20"/>
                <w:szCs w:val="20"/>
              </w:rPr>
              <w:t>This refers to the financial</w:t>
            </w:r>
            <w:r w:rsidRPr="009C4BB6">
              <w:rPr>
                <w:sz w:val="20"/>
                <w:szCs w:val="20"/>
              </w:rPr>
              <w:t xml:space="preserve"> commitment for the activity as a whole for the lifetime of the activity</w:t>
            </w:r>
            <w:r>
              <w:rPr>
                <w:sz w:val="20"/>
                <w:szCs w:val="20"/>
              </w:rPr>
              <w:t>. This is generally a</w:t>
            </w:r>
            <w:r w:rsidRPr="007D3871">
              <w:rPr>
                <w:sz w:val="20"/>
                <w:szCs w:val="20"/>
              </w:rPr>
              <w:t xml:space="preserve"> high level commitment rather than a detailed breakdown of the activity budget</w:t>
            </w:r>
            <w:r>
              <w:rPr>
                <w:sz w:val="20"/>
                <w:szCs w:val="20"/>
              </w:rPr>
              <w:t>.</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Transaction (transaction type = commitment).</w:t>
            </w:r>
          </w:p>
        </w:tc>
        <w:tc>
          <w:tcPr>
            <w:tcW w:w="4394" w:type="dxa"/>
            <w:shd w:val="clear" w:color="auto" w:fill="FFFFFF" w:themeFill="background1"/>
          </w:tcPr>
          <w:p w:rsidR="009C7D14" w:rsidRPr="007D3871" w:rsidRDefault="009C7D14" w:rsidP="003B57E4">
            <w:pPr>
              <w:spacing w:after="0" w:line="240" w:lineRule="auto"/>
              <w:rPr>
                <w:sz w:val="20"/>
                <w:szCs w:val="20"/>
              </w:rPr>
            </w:pP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Pr>
                <w:sz w:val="20"/>
                <w:szCs w:val="20"/>
              </w:rPr>
              <w:t xml:space="preserve">Disbursements &amp; </w:t>
            </w:r>
            <w:r w:rsidRPr="007D3871">
              <w:rPr>
                <w:sz w:val="20"/>
                <w:szCs w:val="20"/>
              </w:rPr>
              <w:t>expenditures</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provide transaction-level details of individual actual financial disbursements / expenditures for this activity?</w:t>
            </w:r>
          </w:p>
        </w:tc>
        <w:tc>
          <w:tcPr>
            <w:tcW w:w="4961"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Individual actual financial disbursements must be related to individual activities and must be on a per-transaction basis. Each activity is likely to have several transactions. </w:t>
            </w:r>
            <w:r w:rsidRPr="007D3871">
              <w:rPr>
                <w:sz w:val="20"/>
                <w:szCs w:val="20"/>
              </w:rPr>
              <w:br/>
            </w:r>
            <w:r w:rsidRPr="007D3871">
              <w:rPr>
                <w:sz w:val="20"/>
                <w:szCs w:val="20"/>
              </w:rPr>
              <w:br/>
            </w:r>
            <w:r>
              <w:rPr>
                <w:sz w:val="20"/>
                <w:szCs w:val="20"/>
              </w:rPr>
              <w:t>The IATI reference for this indicator is: Transaction (transaction type = disbursement and expenditure).</w:t>
            </w:r>
          </w:p>
        </w:tc>
        <w:tc>
          <w:tcPr>
            <w:tcW w:w="4394" w:type="dxa"/>
            <w:shd w:val="clear" w:color="auto" w:fill="FFFFFF" w:themeFill="background1"/>
          </w:tcPr>
          <w:p w:rsidR="009C7D14" w:rsidRPr="00A448C3" w:rsidRDefault="009C7D14" w:rsidP="003B57E4">
            <w:pPr>
              <w:spacing w:after="0" w:line="240" w:lineRule="auto"/>
              <w:rPr>
                <w:sz w:val="20"/>
                <w:szCs w:val="20"/>
                <w:highlight w:val="yellow"/>
              </w:rPr>
            </w:pPr>
            <w:r w:rsidRPr="00BC7034">
              <w:rPr>
                <w:sz w:val="20"/>
                <w:szCs w:val="20"/>
              </w:rPr>
              <w:t xml:space="preserve">While such information might be considered to be commercially sensitive by some organisations, Publish What You Fund’s view is that actual expenditure information is </w:t>
            </w:r>
            <w:r>
              <w:rPr>
                <w:sz w:val="20"/>
                <w:szCs w:val="20"/>
              </w:rPr>
              <w:t>less</w:t>
            </w:r>
            <w:r w:rsidRPr="00BC7034">
              <w:rPr>
                <w:sz w:val="20"/>
                <w:szCs w:val="20"/>
              </w:rPr>
              <w:t xml:space="preserve"> sensitive once the money has been spent. Hence all organisations are scored on this indicator. For IFIs and DFIs, the total fund/loan amount </w:t>
            </w:r>
            <w:r w:rsidR="009F3688">
              <w:rPr>
                <w:sz w:val="20"/>
                <w:szCs w:val="20"/>
              </w:rPr>
              <w:t xml:space="preserve">spent </w:t>
            </w:r>
            <w:r w:rsidRPr="00BC7034">
              <w:rPr>
                <w:sz w:val="20"/>
                <w:szCs w:val="20"/>
              </w:rPr>
              <w:t xml:space="preserve">is accepted </w:t>
            </w:r>
            <w:r>
              <w:rPr>
                <w:sz w:val="20"/>
                <w:szCs w:val="20"/>
              </w:rPr>
              <w:t>and</w:t>
            </w:r>
            <w:r w:rsidRPr="00BC7034">
              <w:rPr>
                <w:sz w:val="20"/>
                <w:szCs w:val="20"/>
              </w:rPr>
              <w:t xml:space="preserve"> details of the loan repayment costs and related charges can be redacted. </w:t>
            </w:r>
            <w:r w:rsidRPr="003E15DC">
              <w:rPr>
                <w:sz w:val="20"/>
                <w:szCs w:val="20"/>
              </w:rPr>
              <w:t>The specific reasons for the redactions need to be explicitly stated</w:t>
            </w:r>
            <w:r w:rsidRPr="00C12431">
              <w:rPr>
                <w:sz w:val="20"/>
                <w:szCs w:val="20"/>
              </w:rPr>
              <w:t xml:space="preserve"> in detail and must clarify why the information is commercially sensitive and would cause material and direct harm if published.</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Budget ID</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Does this organisation provide information about the activity that can link the activity to the recipient government’s relevant budget classifications?</w:t>
            </w:r>
          </w:p>
        </w:tc>
        <w:tc>
          <w:tcPr>
            <w:tcW w:w="4961"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The budget classification is a way of linking the activity to the recipient country government’s own budget codes. There are two parts to this indicator. The administrative classification can either be provided as the budget codes themselves, or as a common code that can map from a donor organisation’s detailed purpose codes to the recipient country’s functional or administrative budget classifications. In addition, the economic classification provides the percentage of the budget that is capital versus current expenditure.</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 xml:space="preserve">The IATI reference for this indicator is: Country budget items and capital spend. </w:t>
            </w:r>
          </w:p>
        </w:tc>
        <w:tc>
          <w:tcPr>
            <w:tcW w:w="4394"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This indicator is retained for all organisations in the Index.</w:t>
            </w:r>
          </w:p>
          <w:p w:rsidR="009C7D14" w:rsidRPr="007D3871" w:rsidRDefault="009C7D14" w:rsidP="003B57E4">
            <w:pPr>
              <w:spacing w:after="0" w:line="240" w:lineRule="auto"/>
              <w:rPr>
                <w:sz w:val="20"/>
                <w:szCs w:val="20"/>
              </w:rPr>
            </w:pPr>
            <w:r w:rsidRPr="007D3871">
              <w:rPr>
                <w:sz w:val="20"/>
                <w:szCs w:val="20"/>
              </w:rPr>
              <w:t xml:space="preserve"> </w:t>
            </w:r>
          </w:p>
          <w:p w:rsidR="009C7D14" w:rsidRPr="007D3871" w:rsidRDefault="009C7D14" w:rsidP="003B57E4">
            <w:pPr>
              <w:spacing w:after="0" w:line="240" w:lineRule="auto"/>
              <w:rPr>
                <w:sz w:val="20"/>
                <w:szCs w:val="20"/>
              </w:rPr>
            </w:pPr>
            <w:r w:rsidRPr="007D3871">
              <w:rPr>
                <w:sz w:val="20"/>
                <w:szCs w:val="20"/>
              </w:rPr>
              <w:t>The budget identifier helps to explain aid flows in the context of the recipient government's own budget. It does not relate only to those flows that are direct to the government ("on budget"), but also to other flows which may relate to the government's own budget. In cases where the organisation is only providing private sector investment, budget classifications are still possible. Such activities could, for example, be classified as current expenditure under the microfinance and financial services function.</w:t>
            </w:r>
          </w:p>
        </w:tc>
      </w:tr>
      <w:tr w:rsidR="009C7D14" w:rsidRPr="007D3871" w:rsidTr="00AF7769">
        <w:trPr>
          <w:trHeight w:val="227"/>
        </w:trPr>
        <w:tc>
          <w:tcPr>
            <w:tcW w:w="1418" w:type="dxa"/>
            <w:vMerge w:val="restart"/>
            <w:shd w:val="clear" w:color="auto" w:fill="FFFFFF" w:themeFill="background1"/>
            <w:hideMark/>
          </w:tcPr>
          <w:p w:rsidR="009C7D14" w:rsidRPr="007D3871" w:rsidRDefault="009C7D14" w:rsidP="003B57E4">
            <w:pPr>
              <w:spacing w:after="0" w:line="240" w:lineRule="auto"/>
              <w:rPr>
                <w:sz w:val="20"/>
                <w:szCs w:val="20"/>
              </w:rPr>
            </w:pPr>
            <w:r w:rsidRPr="007D3871">
              <w:rPr>
                <w:sz w:val="20"/>
                <w:szCs w:val="20"/>
              </w:rPr>
              <w:t>Performance</w:t>
            </w: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Results</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Are results, outcomes and outputs published </w:t>
            </w:r>
            <w:r w:rsidRPr="007D3871">
              <w:rPr>
                <w:sz w:val="20"/>
                <w:szCs w:val="20"/>
              </w:rPr>
              <w:lastRenderedPageBreak/>
              <w:t>for all completed activities in this recipient country?</w:t>
            </w:r>
          </w:p>
        </w:tc>
        <w:tc>
          <w:tcPr>
            <w:tcW w:w="4961" w:type="dxa"/>
            <w:shd w:val="clear" w:color="auto" w:fill="FFFFFF" w:themeFill="background1"/>
          </w:tcPr>
          <w:p w:rsidR="009C7D14" w:rsidRDefault="009C7D14" w:rsidP="003B57E4">
            <w:pPr>
              <w:spacing w:after="0" w:line="240" w:lineRule="auto"/>
              <w:rPr>
                <w:sz w:val="20"/>
                <w:szCs w:val="20"/>
              </w:rPr>
            </w:pPr>
            <w:r w:rsidRPr="007D3871">
              <w:rPr>
                <w:sz w:val="20"/>
                <w:szCs w:val="20"/>
              </w:rPr>
              <w:lastRenderedPageBreak/>
              <w:t xml:space="preserve">The results show whether activities achieved their intended outputs in accordance with the stated goals or </w:t>
            </w:r>
            <w:r w:rsidRPr="007D3871">
              <w:rPr>
                <w:sz w:val="20"/>
                <w:szCs w:val="20"/>
              </w:rPr>
              <w:lastRenderedPageBreak/>
              <w:t xml:space="preserve">plans. This information often refers to logframes and results chains and may be within a specific results or evaluation section of the organisation’s website. </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w:t>
            </w:r>
            <w:r w:rsidR="00AD6FCA">
              <w:rPr>
                <w:sz w:val="20"/>
                <w:szCs w:val="20"/>
              </w:rPr>
              <w:t>s</w:t>
            </w:r>
            <w:r>
              <w:rPr>
                <w:sz w:val="20"/>
                <w:szCs w:val="20"/>
              </w:rPr>
              <w:t xml:space="preserve"> for this indicator </w:t>
            </w:r>
            <w:r w:rsidR="00AD6FCA">
              <w:rPr>
                <w:sz w:val="20"/>
                <w:szCs w:val="20"/>
              </w:rPr>
              <w:t>are</w:t>
            </w:r>
            <w:r>
              <w:rPr>
                <w:sz w:val="20"/>
                <w:szCs w:val="20"/>
              </w:rPr>
              <w:t>: Result and</w:t>
            </w:r>
            <w:r w:rsidR="00AD6FCA">
              <w:rPr>
                <w:sz w:val="20"/>
                <w:szCs w:val="20"/>
              </w:rPr>
              <w:t>/or</w:t>
            </w:r>
            <w:r>
              <w:rPr>
                <w:sz w:val="20"/>
                <w:szCs w:val="20"/>
              </w:rPr>
              <w:t xml:space="preserve"> </w:t>
            </w:r>
            <w:r w:rsidR="00AD6FCA">
              <w:rPr>
                <w:sz w:val="20"/>
                <w:szCs w:val="20"/>
              </w:rPr>
              <w:t>R</w:t>
            </w:r>
            <w:r>
              <w:rPr>
                <w:sz w:val="20"/>
                <w:szCs w:val="20"/>
              </w:rPr>
              <w:t>esults, outcomes and outputs (Document code = A08).</w:t>
            </w:r>
          </w:p>
        </w:tc>
        <w:tc>
          <w:tcPr>
            <w:tcW w:w="4394" w:type="dxa"/>
            <w:shd w:val="clear" w:color="auto" w:fill="FFFFFF" w:themeFill="background1"/>
          </w:tcPr>
          <w:p w:rsidR="009C7D14" w:rsidRPr="007D3871" w:rsidRDefault="009C7D14" w:rsidP="00D9120A">
            <w:pPr>
              <w:spacing w:after="0" w:line="240" w:lineRule="auto"/>
              <w:rPr>
                <w:sz w:val="20"/>
                <w:szCs w:val="20"/>
              </w:rPr>
            </w:pPr>
            <w:r>
              <w:rPr>
                <w:sz w:val="20"/>
                <w:szCs w:val="20"/>
              </w:rPr>
              <w:lastRenderedPageBreak/>
              <w:t xml:space="preserve">Both current and completed activities </w:t>
            </w:r>
            <w:r w:rsidR="00D9120A">
              <w:rPr>
                <w:sz w:val="20"/>
                <w:szCs w:val="20"/>
              </w:rPr>
              <w:t>are</w:t>
            </w:r>
            <w:r>
              <w:rPr>
                <w:sz w:val="20"/>
                <w:szCs w:val="20"/>
              </w:rPr>
              <w:t xml:space="preserve"> considered for this indicator. If the activity is </w:t>
            </w:r>
            <w:r>
              <w:rPr>
                <w:sz w:val="20"/>
                <w:szCs w:val="20"/>
              </w:rPr>
              <w:lastRenderedPageBreak/>
              <w:t xml:space="preserve">ongoing then the expected results should be available. If the activity has ended then the actual results should be available within 12 months of ending. </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Impact appraisals</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Are pre-project impact appraisals published?</w:t>
            </w:r>
          </w:p>
        </w:tc>
        <w:tc>
          <w:tcPr>
            <w:tcW w:w="4961"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Pre-project impact appraisals explain the totality of positive and negative, primary and secondary effects expected to be produced by a development intervention.</w:t>
            </w:r>
          </w:p>
          <w:p w:rsidR="009C7D14" w:rsidRPr="007D3871" w:rsidRDefault="009C7D14" w:rsidP="003B57E4">
            <w:pPr>
              <w:spacing w:after="0" w:line="240" w:lineRule="auto"/>
              <w:rPr>
                <w:sz w:val="20"/>
                <w:szCs w:val="20"/>
              </w:rPr>
            </w:pPr>
          </w:p>
          <w:p w:rsidR="009C7D14" w:rsidRDefault="009C7D14" w:rsidP="003B57E4">
            <w:pPr>
              <w:spacing w:after="0" w:line="240" w:lineRule="auto"/>
              <w:rPr>
                <w:sz w:val="20"/>
                <w:szCs w:val="20"/>
              </w:rPr>
            </w:pPr>
            <w:r w:rsidRPr="007D3871">
              <w:rPr>
                <w:sz w:val="20"/>
                <w:szCs w:val="20"/>
              </w:rPr>
              <w:t>Environmental impact assessments as well as impact assessments which explain what objectives the project itself intends to provide are accepted.</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 for this indicator is: Pre and post-project impact appraisal (document code = A01).</w:t>
            </w:r>
          </w:p>
        </w:tc>
        <w:tc>
          <w:tcPr>
            <w:tcW w:w="4394"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 xml:space="preserve">IFIs and DFIs tend only to publish impact appraisals if regulations require them to, but given the link they have to the eventual impact and results of the activity, all organisations included in the Index are scored on this indicator. </w:t>
            </w:r>
          </w:p>
          <w:p w:rsidR="009C7D14" w:rsidRPr="007D3871"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sidRPr="007D3871">
              <w:rPr>
                <w:sz w:val="20"/>
                <w:szCs w:val="20"/>
              </w:rPr>
              <w:t>For loans or private sector investment, risk assessments and the fiscal objectives detailed in the loan document are accepted. These need to be sufficiently detailed and include any criteria used to assess eligibility for receiving the loan.</w:t>
            </w:r>
          </w:p>
          <w:p w:rsidR="009C7D14" w:rsidRPr="007D3871"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sidRPr="007D3871">
              <w:rPr>
                <w:sz w:val="20"/>
                <w:szCs w:val="20"/>
              </w:rPr>
              <w:t>Humanitarian Implementation Plans (HIPs) and project plans are accepted for humanitarian agencies.</w:t>
            </w:r>
          </w:p>
        </w:tc>
      </w:tr>
      <w:tr w:rsidR="009C7D14" w:rsidRPr="007D3871" w:rsidTr="00AF7769">
        <w:trPr>
          <w:trHeight w:val="227"/>
        </w:trPr>
        <w:tc>
          <w:tcPr>
            <w:tcW w:w="1418" w:type="dxa"/>
            <w:vMerge/>
            <w:shd w:val="clear" w:color="auto" w:fill="FFFFFF" w:themeFill="background1"/>
            <w:hideMark/>
          </w:tcPr>
          <w:p w:rsidR="009C7D14" w:rsidRPr="007D3871" w:rsidRDefault="009C7D14" w:rsidP="003B57E4">
            <w:pPr>
              <w:spacing w:after="0" w:line="240" w:lineRule="auto"/>
              <w:rPr>
                <w:sz w:val="20"/>
                <w:szCs w:val="20"/>
              </w:rPr>
            </w:pPr>
          </w:p>
        </w:tc>
        <w:tc>
          <w:tcPr>
            <w:tcW w:w="1843" w:type="dxa"/>
            <w:shd w:val="clear" w:color="auto" w:fill="FFFFFF" w:themeFill="background1"/>
            <w:noWrap/>
            <w:hideMark/>
          </w:tcPr>
          <w:p w:rsidR="009C7D14" w:rsidRPr="007D3871" w:rsidRDefault="009C7D14" w:rsidP="003B57E4">
            <w:pPr>
              <w:pStyle w:val="ListParagraph"/>
              <w:numPr>
                <w:ilvl w:val="0"/>
                <w:numId w:val="12"/>
              </w:numPr>
              <w:spacing w:after="0" w:line="240" w:lineRule="auto"/>
              <w:ind w:left="303" w:hanging="269"/>
              <w:contextualSpacing w:val="0"/>
              <w:rPr>
                <w:sz w:val="20"/>
                <w:szCs w:val="20"/>
              </w:rPr>
            </w:pPr>
            <w:r w:rsidRPr="007D3871">
              <w:rPr>
                <w:sz w:val="20"/>
                <w:szCs w:val="20"/>
              </w:rPr>
              <w:t>Conditions</w:t>
            </w:r>
          </w:p>
        </w:tc>
        <w:tc>
          <w:tcPr>
            <w:tcW w:w="2126"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Are the terms and conditions attached to the activity published?</w:t>
            </w:r>
          </w:p>
        </w:tc>
        <w:tc>
          <w:tcPr>
            <w:tcW w:w="4961" w:type="dxa"/>
            <w:shd w:val="clear" w:color="auto" w:fill="FFFFFF" w:themeFill="background1"/>
          </w:tcPr>
          <w:p w:rsidR="009C7D14" w:rsidRDefault="009C7D14" w:rsidP="003B57E4">
            <w:pPr>
              <w:spacing w:after="0" w:line="240" w:lineRule="auto"/>
              <w:rPr>
                <w:sz w:val="20"/>
                <w:szCs w:val="20"/>
              </w:rPr>
            </w:pPr>
            <w:r w:rsidRPr="007D3871">
              <w:rPr>
                <w:sz w:val="20"/>
                <w:szCs w:val="20"/>
              </w:rPr>
              <w:t>The terms and conditions of the activity may also be referred to as benchmarks, priors, or involve words such as “subject to...”. They are specific to an individual activity and explain what the recipient must do in order to be eligible for the funds to be released.</w:t>
            </w:r>
            <w:r w:rsidRPr="007D3871">
              <w:rPr>
                <w:sz w:val="20"/>
                <w:szCs w:val="20"/>
              </w:rPr>
              <w:br/>
            </w:r>
            <w:r w:rsidRPr="007D3871">
              <w:rPr>
                <w:sz w:val="20"/>
                <w:szCs w:val="20"/>
              </w:rPr>
              <w:br/>
              <w:t>The conditions should include loan repayment terms if the activity is financed by a loan.</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The IATI reference</w:t>
            </w:r>
            <w:r w:rsidR="00346F66">
              <w:rPr>
                <w:sz w:val="20"/>
                <w:szCs w:val="20"/>
              </w:rPr>
              <w:t>s</w:t>
            </w:r>
            <w:r>
              <w:rPr>
                <w:sz w:val="20"/>
                <w:szCs w:val="20"/>
              </w:rPr>
              <w:t xml:space="preserve"> for this indicator </w:t>
            </w:r>
            <w:r w:rsidR="00346F66">
              <w:rPr>
                <w:sz w:val="20"/>
                <w:szCs w:val="20"/>
              </w:rPr>
              <w:t>are</w:t>
            </w:r>
            <w:r>
              <w:rPr>
                <w:sz w:val="20"/>
                <w:szCs w:val="20"/>
              </w:rPr>
              <w:t>: Conditions and</w:t>
            </w:r>
            <w:r w:rsidR="00346F66">
              <w:rPr>
                <w:sz w:val="20"/>
                <w:szCs w:val="20"/>
              </w:rPr>
              <w:t>/or</w:t>
            </w:r>
            <w:r>
              <w:rPr>
                <w:sz w:val="20"/>
                <w:szCs w:val="20"/>
              </w:rPr>
              <w:t xml:space="preserve"> </w:t>
            </w:r>
            <w:r w:rsidR="00346F66">
              <w:rPr>
                <w:sz w:val="20"/>
                <w:szCs w:val="20"/>
              </w:rPr>
              <w:t>C</w:t>
            </w:r>
            <w:r>
              <w:rPr>
                <w:sz w:val="20"/>
                <w:szCs w:val="20"/>
              </w:rPr>
              <w:t>onditions document (document code = A04).</w:t>
            </w:r>
          </w:p>
        </w:tc>
        <w:tc>
          <w:tcPr>
            <w:tcW w:w="4394" w:type="dxa"/>
            <w:shd w:val="clear" w:color="auto" w:fill="FFFFFF" w:themeFill="background1"/>
          </w:tcPr>
          <w:p w:rsidR="009C7D14" w:rsidRPr="007D3871" w:rsidRDefault="009C7D14" w:rsidP="003B57E4">
            <w:pPr>
              <w:spacing w:after="0" w:line="240" w:lineRule="auto"/>
              <w:rPr>
                <w:sz w:val="20"/>
                <w:szCs w:val="20"/>
              </w:rPr>
            </w:pPr>
            <w:r w:rsidRPr="007D3871">
              <w:rPr>
                <w:sz w:val="20"/>
                <w:szCs w:val="20"/>
              </w:rPr>
              <w:t>For IFIs and DFIs, this includes loan repayment conditions or special terms and conditions. In cases where the loan repayment terms are considered commercially sensitive, this information can be redacted. The reason for the redactions needs to be explicitly stated</w:t>
            </w:r>
            <w:r>
              <w:rPr>
                <w:sz w:val="20"/>
                <w:szCs w:val="20"/>
              </w:rPr>
              <w:t xml:space="preserve"> </w:t>
            </w:r>
            <w:r w:rsidRPr="00DB19D4">
              <w:rPr>
                <w:sz w:val="20"/>
                <w:szCs w:val="20"/>
              </w:rPr>
              <w:t>in detail and must clarify why the information is commercially sensitive and would cause material and direct harm if published</w:t>
            </w:r>
            <w:r w:rsidRPr="007D3871">
              <w:rPr>
                <w:sz w:val="20"/>
                <w:szCs w:val="20"/>
              </w:rPr>
              <w:t>.</w:t>
            </w:r>
          </w:p>
          <w:p w:rsidR="009C7D14" w:rsidRPr="007D3871" w:rsidRDefault="009C7D14" w:rsidP="003B57E4">
            <w:pPr>
              <w:spacing w:after="0" w:line="240" w:lineRule="auto"/>
              <w:rPr>
                <w:sz w:val="20"/>
                <w:szCs w:val="20"/>
              </w:rPr>
            </w:pPr>
          </w:p>
          <w:p w:rsidR="009C7D14" w:rsidRDefault="009C7D14" w:rsidP="003B57E4">
            <w:pPr>
              <w:spacing w:after="0" w:line="240" w:lineRule="auto"/>
              <w:rPr>
                <w:sz w:val="20"/>
                <w:szCs w:val="20"/>
              </w:rPr>
            </w:pPr>
            <w:r w:rsidRPr="007D3871">
              <w:rPr>
                <w:sz w:val="20"/>
                <w:szCs w:val="20"/>
              </w:rPr>
              <w:t>For private foundations</w:t>
            </w:r>
            <w:r>
              <w:rPr>
                <w:sz w:val="20"/>
                <w:szCs w:val="20"/>
              </w:rPr>
              <w:t xml:space="preserve"> and </w:t>
            </w:r>
            <w:r w:rsidRPr="007D3871">
              <w:rPr>
                <w:sz w:val="20"/>
                <w:szCs w:val="20"/>
              </w:rPr>
              <w:t xml:space="preserve">humanitarian </w:t>
            </w:r>
            <w:r>
              <w:rPr>
                <w:sz w:val="20"/>
                <w:szCs w:val="20"/>
              </w:rPr>
              <w:t>agencies</w:t>
            </w:r>
            <w:r w:rsidRPr="007D3871">
              <w:rPr>
                <w:sz w:val="20"/>
                <w:szCs w:val="20"/>
              </w:rPr>
              <w:t>, statements setting out what the grant can be spent on are accepted.</w:t>
            </w:r>
          </w:p>
          <w:p w:rsidR="009C7D14" w:rsidRDefault="009C7D14" w:rsidP="003B57E4">
            <w:pPr>
              <w:spacing w:after="0" w:line="240" w:lineRule="auto"/>
              <w:rPr>
                <w:sz w:val="20"/>
                <w:szCs w:val="20"/>
              </w:rPr>
            </w:pPr>
          </w:p>
          <w:p w:rsidR="009C7D14" w:rsidRPr="007D3871" w:rsidRDefault="009C7D14" w:rsidP="003B57E4">
            <w:pPr>
              <w:spacing w:after="0" w:line="240" w:lineRule="auto"/>
              <w:rPr>
                <w:sz w:val="20"/>
                <w:szCs w:val="20"/>
              </w:rPr>
            </w:pPr>
            <w:r>
              <w:rPr>
                <w:sz w:val="20"/>
                <w:szCs w:val="20"/>
              </w:rPr>
              <w:t xml:space="preserve">Templates for general terms and conditions are not accepted for scoring this indicator. If there are no policy, performance or fiduciary conditions associated with an activity, this must be explicitly stated. </w:t>
            </w:r>
          </w:p>
        </w:tc>
      </w:tr>
    </w:tbl>
    <w:p w:rsidR="00A75829" w:rsidRDefault="00A75829" w:rsidP="00935A49">
      <w:pPr>
        <w:pStyle w:val="Heading1"/>
        <w:spacing w:line="240" w:lineRule="auto"/>
        <w:rPr>
          <w:sz w:val="36"/>
        </w:rPr>
        <w:sectPr w:rsidR="00A75829" w:rsidSect="003B57E4">
          <w:pgSz w:w="16838" w:h="11906" w:orient="landscape"/>
          <w:pgMar w:top="1021" w:right="1021" w:bottom="1021" w:left="1021" w:header="709" w:footer="709" w:gutter="0"/>
          <w:cols w:space="708"/>
          <w:docGrid w:linePitch="360"/>
        </w:sectPr>
      </w:pPr>
    </w:p>
    <w:p w:rsidR="000D28D9" w:rsidRPr="000445AB" w:rsidRDefault="000D28D9" w:rsidP="00A75829">
      <w:pPr>
        <w:pStyle w:val="Heading1"/>
        <w:spacing w:before="0" w:line="240" w:lineRule="auto"/>
        <w:rPr>
          <w:sz w:val="36"/>
        </w:rPr>
      </w:pPr>
      <w:bookmarkStart w:id="22" w:name="_Toc399168593"/>
      <w:r w:rsidRPr="000445AB">
        <w:rPr>
          <w:sz w:val="36"/>
        </w:rPr>
        <w:lastRenderedPageBreak/>
        <w:t>Annex 2: Data quality tests</w:t>
      </w:r>
      <w:bookmarkEnd w:id="22"/>
      <w:r w:rsidRPr="000445AB">
        <w:rPr>
          <w:sz w:val="36"/>
        </w:rPr>
        <w:t xml:space="preserve"> </w:t>
      </w:r>
    </w:p>
    <w:p w:rsidR="007B1271" w:rsidRDefault="007B1271" w:rsidP="0055216C">
      <w:pPr>
        <w:spacing w:after="0" w:line="240" w:lineRule="auto"/>
      </w:pPr>
    </w:p>
    <w:p w:rsidR="009611A7" w:rsidRDefault="009611A7" w:rsidP="009611A7">
      <w:pPr>
        <w:spacing w:after="0" w:line="240" w:lineRule="auto"/>
      </w:pPr>
      <w:r>
        <w:t xml:space="preserve">The data quality tool of the </w:t>
      </w:r>
      <w:hyperlink r:id="rId22" w:history="1">
        <w:r w:rsidRPr="008B791A">
          <w:rPr>
            <w:rStyle w:val="Hyperlink"/>
            <w:rFonts w:cstheme="minorBidi"/>
          </w:rPr>
          <w:t>Aid Transparency Tracker</w:t>
        </w:r>
      </w:hyperlink>
      <w:r>
        <w:t xml:space="preserve"> automatically assesses the quality of data published to the IATI Registry. Both organisation and activity files are tested. </w:t>
      </w:r>
    </w:p>
    <w:p w:rsidR="009611A7" w:rsidRDefault="009611A7" w:rsidP="009611A7">
      <w:pPr>
        <w:spacing w:after="0" w:line="240" w:lineRule="auto"/>
      </w:pPr>
    </w:p>
    <w:p w:rsidR="009611A7" w:rsidRDefault="009611A7" w:rsidP="009611A7">
      <w:pPr>
        <w:spacing w:after="0" w:line="240" w:lineRule="auto"/>
      </w:pPr>
      <w:r>
        <w:t>The automated analysis works as follows:</w:t>
      </w:r>
    </w:p>
    <w:p w:rsidR="009611A7" w:rsidRDefault="009611A7" w:rsidP="009611A7">
      <w:pPr>
        <w:spacing w:after="0" w:line="240" w:lineRule="auto"/>
      </w:pPr>
    </w:p>
    <w:p w:rsidR="009611A7" w:rsidRDefault="009611A7" w:rsidP="009611A7">
      <w:pPr>
        <w:spacing w:after="0" w:line="240" w:lineRule="auto"/>
      </w:pPr>
      <w:r>
        <w:t>For activity files:</w:t>
      </w:r>
    </w:p>
    <w:p w:rsidR="009611A7" w:rsidRDefault="009611A7" w:rsidP="00E17FFC">
      <w:pPr>
        <w:numPr>
          <w:ilvl w:val="0"/>
          <w:numId w:val="16"/>
        </w:numPr>
        <w:spacing w:after="0" w:line="240" w:lineRule="auto"/>
      </w:pPr>
      <w:r>
        <w:t>Packages are automatically attached to specific organ</w:t>
      </w:r>
      <w:r w:rsidR="00E17FFC">
        <w:t>isations included in the Index.</w:t>
      </w:r>
    </w:p>
    <w:p w:rsidR="009611A7" w:rsidRDefault="009611A7" w:rsidP="009611A7">
      <w:pPr>
        <w:numPr>
          <w:ilvl w:val="0"/>
          <w:numId w:val="16"/>
        </w:numPr>
        <w:spacing w:after="0" w:line="240" w:lineRule="auto"/>
      </w:pPr>
      <w:r>
        <w:t>Each activity in each package is tested by running a series of tests. These are then aggregated up to create total scores for each test in each package; once for all data, and once to include only those activities which are defined as “current”.</w:t>
      </w:r>
    </w:p>
    <w:p w:rsidR="009611A7" w:rsidRDefault="009611A7" w:rsidP="009611A7">
      <w:pPr>
        <w:numPr>
          <w:ilvl w:val="0"/>
          <w:numId w:val="16"/>
        </w:numPr>
        <w:spacing w:after="0" w:line="240" w:lineRule="auto"/>
      </w:pPr>
      <w:r>
        <w:t>The tests are then aggregated up into indicators for the single organisation.</w:t>
      </w:r>
    </w:p>
    <w:p w:rsidR="009611A7" w:rsidRDefault="009611A7" w:rsidP="009611A7">
      <w:pPr>
        <w:spacing w:after="0" w:line="240" w:lineRule="auto"/>
      </w:pPr>
    </w:p>
    <w:p w:rsidR="009611A7" w:rsidRDefault="009611A7" w:rsidP="009611A7">
      <w:pPr>
        <w:spacing w:after="0" w:line="240" w:lineRule="auto"/>
      </w:pPr>
      <w:r>
        <w:t>For organisation files:</w:t>
      </w:r>
    </w:p>
    <w:p w:rsidR="009611A7" w:rsidRDefault="009611A7" w:rsidP="009611A7">
      <w:pPr>
        <w:pStyle w:val="ListParagraph"/>
        <w:numPr>
          <w:ilvl w:val="0"/>
          <w:numId w:val="32"/>
        </w:numPr>
        <w:spacing w:after="0" w:line="240" w:lineRule="auto"/>
      </w:pPr>
      <w:r>
        <w:t>Packages are automatically attached to specific organisations included in the Index.</w:t>
      </w:r>
    </w:p>
    <w:p w:rsidR="009611A7" w:rsidRDefault="009611A7" w:rsidP="009611A7">
      <w:pPr>
        <w:pStyle w:val="ListParagraph"/>
        <w:numPr>
          <w:ilvl w:val="0"/>
          <w:numId w:val="32"/>
        </w:numPr>
        <w:spacing w:after="0" w:line="240" w:lineRule="auto"/>
      </w:pPr>
      <w:r>
        <w:t>Each package is then tested by running a series of tests, which are then aggregated up into indicators for that organisation.</w:t>
      </w:r>
    </w:p>
    <w:p w:rsidR="009611A7" w:rsidRDefault="009611A7" w:rsidP="009611A7">
      <w:pPr>
        <w:pStyle w:val="Heading2"/>
        <w:spacing w:before="0" w:line="240" w:lineRule="auto"/>
        <w:rPr>
          <w:rFonts w:ascii="Cambria" w:eastAsia="Calibri" w:hAnsi="Cambria" w:cs="Times New Roman"/>
          <w:color w:val="4F81BD"/>
          <w:sz w:val="28"/>
        </w:rPr>
        <w:sectPr w:rsidR="009611A7" w:rsidSect="002B2AC5">
          <w:type w:val="continuous"/>
          <w:pgSz w:w="16838" w:h="11906" w:orient="landscape"/>
          <w:pgMar w:top="1021" w:right="1021" w:bottom="1021" w:left="1021" w:header="709" w:footer="709" w:gutter="0"/>
          <w:cols w:space="708"/>
          <w:docGrid w:linePitch="360"/>
        </w:sectPr>
      </w:pPr>
    </w:p>
    <w:p w:rsidR="009611A7" w:rsidRPr="00394D03" w:rsidRDefault="009611A7" w:rsidP="00394D03">
      <w:pPr>
        <w:spacing w:after="0" w:line="240" w:lineRule="auto"/>
        <w:rPr>
          <w:rFonts w:ascii="Cambria" w:eastAsia="Calibri" w:hAnsi="Cambria" w:cs="Times New Roman"/>
          <w:b/>
          <w:bCs/>
          <w:color w:val="4F81BD"/>
          <w:sz w:val="28"/>
          <w:szCs w:val="26"/>
        </w:rPr>
      </w:pPr>
      <w:bookmarkStart w:id="23" w:name="_Toc370375785"/>
      <w:bookmarkStart w:id="24" w:name="_Toc370376061"/>
      <w:r w:rsidRPr="00394D03">
        <w:rPr>
          <w:rFonts w:ascii="Cambria" w:eastAsia="Calibri" w:hAnsi="Cambria" w:cs="Times New Roman"/>
          <w:b/>
          <w:bCs/>
          <w:color w:val="4F81BD"/>
          <w:sz w:val="28"/>
          <w:szCs w:val="26"/>
        </w:rPr>
        <w:lastRenderedPageBreak/>
        <w:t>Tests</w:t>
      </w:r>
      <w:bookmarkEnd w:id="23"/>
      <w:bookmarkEnd w:id="24"/>
    </w:p>
    <w:p w:rsidR="009611A7" w:rsidRDefault="009611A7" w:rsidP="009611A7">
      <w:pPr>
        <w:spacing w:after="0" w:line="240" w:lineRule="auto"/>
      </w:pPr>
    </w:p>
    <w:p w:rsidR="009611A7" w:rsidRDefault="009611A7" w:rsidP="009611A7">
      <w:pPr>
        <w:spacing w:after="0" w:line="240" w:lineRule="auto"/>
      </w:pPr>
      <w:r>
        <w:t>Data that is published to the IATI Registry is automatically assessed by running one or more tests for each of the 36 publication indicators</w:t>
      </w:r>
      <w:r w:rsidRPr="0055216C">
        <w:t>. The specific test expressions are below.</w:t>
      </w:r>
    </w:p>
    <w:p w:rsidR="009611A7" w:rsidRDefault="009611A7" w:rsidP="009611A7">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gridCol w:w="7506"/>
      </w:tblGrid>
      <w:tr w:rsidR="009611A7" w:rsidTr="009611A7">
        <w:tc>
          <w:tcPr>
            <w:tcW w:w="7676" w:type="dxa"/>
          </w:tcPr>
          <w:p w:rsidR="009611A7" w:rsidRPr="00C428DA" w:rsidRDefault="009611A7" w:rsidP="009611A7">
            <w:pPr>
              <w:keepNext/>
              <w:keepLines/>
              <w:outlineLvl w:val="3"/>
              <w:rPr>
                <w:rFonts w:ascii="Cambria" w:eastAsiaTheme="majorEastAsia" w:hAnsi="Cambria" w:cstheme="majorBidi"/>
                <w:b/>
                <w:bCs/>
                <w:iCs/>
                <w:color w:val="4F81BD" w:themeColor="accent1"/>
              </w:rPr>
            </w:pPr>
            <w:r w:rsidRPr="00C428DA">
              <w:rPr>
                <w:rFonts w:ascii="Cambria" w:eastAsiaTheme="majorEastAsia" w:hAnsi="Cambria" w:cstheme="majorBidi"/>
                <w:b/>
                <w:bCs/>
                <w:iCs/>
                <w:color w:val="4F81BD" w:themeColor="accent1"/>
              </w:rPr>
              <w:t>FoxPath</w:t>
            </w:r>
          </w:p>
          <w:p w:rsidR="009611A7" w:rsidRDefault="009611A7" w:rsidP="009611A7">
            <w:r w:rsidRPr="0055216C">
              <w:t>The tests are written in FoxPath, a language that was developed specifically for the Aid Transparency Tracker, but which should have wider applicability. The aim was to develop a human-readable test based on XPath, which could then be parsed into any programming language and then used to test XML files.</w:t>
            </w:r>
          </w:p>
          <w:p w:rsidR="009611A7" w:rsidRPr="0055216C" w:rsidRDefault="009611A7" w:rsidP="009611A7">
            <w:r w:rsidRPr="0055216C">
              <w:t xml:space="preserve"> </w:t>
            </w:r>
          </w:p>
          <w:p w:rsidR="009611A7" w:rsidRPr="0055216C" w:rsidRDefault="009611A7" w:rsidP="009611A7">
            <w:r w:rsidRPr="0055216C">
              <w:t>The following abbreviations are used in this section:</w:t>
            </w:r>
          </w:p>
          <w:p w:rsidR="009611A7" w:rsidRPr="0055216C" w:rsidRDefault="009611A7" w:rsidP="009611A7">
            <w:pPr>
              <w:numPr>
                <w:ilvl w:val="0"/>
                <w:numId w:val="34"/>
              </w:numPr>
              <w:ind w:left="714" w:hanging="357"/>
              <w:contextualSpacing/>
            </w:pPr>
            <w:r w:rsidRPr="0055216C">
              <w:t>L is the name of a list (e.g. a codelist)</w:t>
            </w:r>
          </w:p>
          <w:p w:rsidR="009611A7" w:rsidRPr="0055216C" w:rsidRDefault="009611A7" w:rsidP="009611A7">
            <w:pPr>
              <w:numPr>
                <w:ilvl w:val="0"/>
                <w:numId w:val="34"/>
              </w:numPr>
              <w:ind w:left="714" w:hanging="357"/>
              <w:contextualSpacing/>
            </w:pPr>
            <w:r w:rsidRPr="0055216C">
              <w:t>N is a number</w:t>
            </w:r>
          </w:p>
          <w:p w:rsidR="009611A7" w:rsidRPr="0055216C" w:rsidRDefault="009611A7" w:rsidP="009611A7">
            <w:pPr>
              <w:numPr>
                <w:ilvl w:val="0"/>
                <w:numId w:val="34"/>
              </w:numPr>
              <w:ind w:left="714" w:hanging="357"/>
              <w:contextualSpacing/>
            </w:pPr>
            <w:r w:rsidRPr="0055216C">
              <w:t>T is a type</w:t>
            </w:r>
          </w:p>
          <w:p w:rsidR="009611A7" w:rsidRPr="0055216C" w:rsidRDefault="009611A7" w:rsidP="009611A7">
            <w:pPr>
              <w:numPr>
                <w:ilvl w:val="0"/>
                <w:numId w:val="34"/>
              </w:numPr>
              <w:ind w:left="714" w:hanging="357"/>
              <w:contextualSpacing/>
            </w:pPr>
            <w:r w:rsidRPr="0055216C">
              <w:t>X is an XPath string</w:t>
            </w:r>
          </w:p>
          <w:p w:rsidR="009611A7" w:rsidRPr="0055216C" w:rsidRDefault="009611A7" w:rsidP="009611A7">
            <w:pPr>
              <w:numPr>
                <w:ilvl w:val="0"/>
                <w:numId w:val="34"/>
              </w:numPr>
              <w:ind w:left="714" w:hanging="357"/>
              <w:contextualSpacing/>
            </w:pPr>
            <w:r w:rsidRPr="0055216C">
              <w:t>V is a string (or value)</w:t>
            </w:r>
          </w:p>
          <w:p w:rsidR="009611A7" w:rsidRDefault="009611A7" w:rsidP="009611A7"/>
        </w:tc>
        <w:tc>
          <w:tcPr>
            <w:tcW w:w="7676" w:type="dxa"/>
          </w:tcPr>
          <w:p w:rsidR="004B26A7" w:rsidRDefault="004B26A7" w:rsidP="009611A7">
            <w:pPr>
              <w:contextualSpacing/>
            </w:pPr>
          </w:p>
          <w:p w:rsidR="009611A7" w:rsidRPr="0055216C" w:rsidRDefault="009611A7" w:rsidP="009611A7">
            <w:pPr>
              <w:contextualSpacing/>
            </w:pPr>
            <w:r w:rsidRPr="0055216C">
              <w:t>The following formats are used in the tests:</w:t>
            </w:r>
          </w:p>
          <w:p w:rsidR="009611A7" w:rsidRPr="0055216C" w:rsidRDefault="009611A7" w:rsidP="009611A7">
            <w:pPr>
              <w:numPr>
                <w:ilvl w:val="0"/>
                <w:numId w:val="33"/>
              </w:numPr>
              <w:ind w:left="714" w:hanging="357"/>
              <w:contextualSpacing/>
            </w:pPr>
            <w:r w:rsidRPr="0055216C">
              <w:t>X exists?</w:t>
            </w:r>
          </w:p>
          <w:p w:rsidR="009611A7" w:rsidRPr="0055216C" w:rsidRDefault="009611A7" w:rsidP="009611A7">
            <w:pPr>
              <w:numPr>
                <w:ilvl w:val="0"/>
                <w:numId w:val="33"/>
              </w:numPr>
              <w:ind w:left="714" w:hanging="357"/>
              <w:contextualSpacing/>
            </w:pPr>
            <w:r w:rsidRPr="0055216C">
              <w:t>X exists N times?</w:t>
            </w:r>
          </w:p>
          <w:p w:rsidR="009611A7" w:rsidRPr="0055216C" w:rsidRDefault="009611A7" w:rsidP="009611A7">
            <w:pPr>
              <w:numPr>
                <w:ilvl w:val="0"/>
                <w:numId w:val="33"/>
              </w:numPr>
              <w:ind w:left="714" w:hanging="357"/>
              <w:contextualSpacing/>
            </w:pPr>
            <w:r w:rsidRPr="0055216C">
              <w:t xml:space="preserve">X or X exists? </w:t>
            </w:r>
          </w:p>
          <w:p w:rsidR="00E17FFC" w:rsidRPr="0055216C" w:rsidRDefault="009611A7" w:rsidP="00E17FFC">
            <w:pPr>
              <w:numPr>
                <w:ilvl w:val="0"/>
                <w:numId w:val="33"/>
              </w:numPr>
              <w:ind w:left="714" w:hanging="357"/>
              <w:contextualSpacing/>
            </w:pPr>
            <w:r w:rsidRPr="0055216C">
              <w:t>X has more than N characters?</w:t>
            </w:r>
            <w:r w:rsidR="00E17FFC" w:rsidRPr="0055216C">
              <w:t xml:space="preserve"> </w:t>
            </w:r>
          </w:p>
          <w:p w:rsidR="009611A7" w:rsidRPr="0055216C" w:rsidRDefault="00E17FFC" w:rsidP="009611A7">
            <w:pPr>
              <w:numPr>
                <w:ilvl w:val="0"/>
                <w:numId w:val="33"/>
              </w:numPr>
              <w:ind w:left="714" w:hanging="357"/>
              <w:contextualSpacing/>
            </w:pPr>
            <w:r w:rsidRPr="0055216C">
              <w:t xml:space="preserve">X is in list L? </w:t>
            </w:r>
          </w:p>
          <w:p w:rsidR="009611A7" w:rsidRPr="0055216C" w:rsidRDefault="009611A7" w:rsidP="009611A7">
            <w:pPr>
              <w:contextualSpacing/>
            </w:pPr>
          </w:p>
          <w:p w:rsidR="009611A7" w:rsidRPr="0055216C" w:rsidRDefault="009611A7" w:rsidP="009611A7">
            <w:pPr>
              <w:contextualSpacing/>
            </w:pPr>
            <w:r w:rsidRPr="0055216C">
              <w:t xml:space="preserve">The following formats are not used </w:t>
            </w:r>
            <w:r w:rsidR="002A5DEC">
              <w:t xml:space="preserve">for the </w:t>
            </w:r>
            <w:r w:rsidRPr="0055216C">
              <w:t>Index, but are supported:</w:t>
            </w:r>
          </w:p>
          <w:p w:rsidR="009611A7" w:rsidRPr="0055216C" w:rsidRDefault="009611A7" w:rsidP="009611A7">
            <w:pPr>
              <w:numPr>
                <w:ilvl w:val="0"/>
                <w:numId w:val="33"/>
              </w:numPr>
              <w:ind w:left="714" w:hanging="357"/>
              <w:contextualSpacing/>
            </w:pPr>
            <w:r w:rsidRPr="0055216C">
              <w:t>only one of X or X exists?</w:t>
            </w:r>
          </w:p>
          <w:p w:rsidR="009611A7" w:rsidRPr="0055216C" w:rsidRDefault="009611A7" w:rsidP="009611A7">
            <w:pPr>
              <w:numPr>
                <w:ilvl w:val="0"/>
                <w:numId w:val="33"/>
              </w:numPr>
              <w:ind w:left="714" w:hanging="357"/>
              <w:contextualSpacing/>
            </w:pPr>
            <w:r w:rsidRPr="0055216C">
              <w:t>X is a T?</w:t>
            </w:r>
          </w:p>
          <w:p w:rsidR="009611A7" w:rsidRDefault="009611A7" w:rsidP="00E17FFC">
            <w:pPr>
              <w:numPr>
                <w:ilvl w:val="0"/>
                <w:numId w:val="33"/>
              </w:numPr>
              <w:ind w:left="714" w:hanging="357"/>
              <w:contextualSpacing/>
            </w:pPr>
            <w:r w:rsidRPr="0055216C">
              <w:t>X sum to N?</w:t>
            </w:r>
            <w:r w:rsidR="00E17FFC">
              <w:t xml:space="preserve"> </w:t>
            </w:r>
          </w:p>
        </w:tc>
      </w:tr>
      <w:tr w:rsidR="009611A7" w:rsidTr="009611A7">
        <w:tc>
          <w:tcPr>
            <w:tcW w:w="7676" w:type="dxa"/>
          </w:tcPr>
          <w:p w:rsidR="009611A7" w:rsidRPr="00C428DA" w:rsidRDefault="009611A7" w:rsidP="009611A7">
            <w:pPr>
              <w:keepNext/>
              <w:keepLines/>
              <w:outlineLvl w:val="3"/>
              <w:rPr>
                <w:rFonts w:ascii="Cambria" w:eastAsiaTheme="majorEastAsia" w:hAnsi="Cambria" w:cstheme="majorBidi"/>
                <w:b/>
                <w:bCs/>
                <w:iCs/>
                <w:color w:val="4F81BD" w:themeColor="accent1"/>
              </w:rPr>
            </w:pPr>
            <w:r w:rsidRPr="00C428DA">
              <w:rPr>
                <w:rFonts w:ascii="Cambria" w:eastAsiaTheme="majorEastAsia" w:hAnsi="Cambria" w:cstheme="majorBidi"/>
                <w:b/>
                <w:bCs/>
                <w:iCs/>
                <w:color w:val="4F81BD" w:themeColor="accent1"/>
              </w:rPr>
              <w:t>Formats</w:t>
            </w:r>
          </w:p>
          <w:p w:rsidR="009611A7" w:rsidRPr="0055216C" w:rsidRDefault="009611A7" w:rsidP="009611A7">
            <w:r w:rsidRPr="0055216C">
              <w:t xml:space="preserve">The tests are flexible but must conform to a specific format. The available formats could fairly easily be expanded on. Each of the tests returns a pass, fail or error (if for some reason something unexpected happened). Errors do not count against a publisher; total scores for each test for each package are composed of </w:t>
            </w:r>
            <w:r>
              <w:rPr>
                <w:b/>
              </w:rPr>
              <w:t>(pass/pass+fail) x100</w:t>
            </w:r>
            <w:r w:rsidRPr="0055216C">
              <w:t>.</w:t>
            </w:r>
          </w:p>
          <w:p w:rsidR="009611A7" w:rsidRDefault="009611A7" w:rsidP="009611A7"/>
        </w:tc>
        <w:tc>
          <w:tcPr>
            <w:tcW w:w="7676" w:type="dxa"/>
          </w:tcPr>
          <w:p w:rsidR="009611A7" w:rsidRPr="00C428DA" w:rsidRDefault="009611A7" w:rsidP="009611A7">
            <w:pPr>
              <w:keepNext/>
              <w:keepLines/>
              <w:outlineLvl w:val="3"/>
              <w:rPr>
                <w:rFonts w:ascii="Cambria" w:eastAsiaTheme="majorEastAsia" w:hAnsi="Cambria" w:cstheme="majorBidi"/>
                <w:b/>
                <w:bCs/>
                <w:iCs/>
                <w:color w:val="4F81BD" w:themeColor="accent1"/>
              </w:rPr>
            </w:pPr>
            <w:r w:rsidRPr="00C428DA">
              <w:rPr>
                <w:rFonts w:ascii="Cambria" w:eastAsiaTheme="majorEastAsia" w:hAnsi="Cambria" w:cstheme="majorBidi"/>
                <w:b/>
                <w:bCs/>
                <w:iCs/>
                <w:color w:val="4F81BD" w:themeColor="accent1"/>
              </w:rPr>
              <w:t>Conditions</w:t>
            </w:r>
          </w:p>
          <w:p w:rsidR="009611A7" w:rsidRPr="0055216C" w:rsidRDefault="009611A7" w:rsidP="009611A7">
            <w:r w:rsidRPr="0055216C">
              <w:t>Certain conditions restrict whether a test is run. Any conditions can be found in brackets at the end of the test. These are of the format:</w:t>
            </w:r>
          </w:p>
          <w:p w:rsidR="009611A7" w:rsidRPr="0055216C" w:rsidRDefault="009611A7" w:rsidP="009611A7">
            <w:pPr>
              <w:pStyle w:val="ListParagraph"/>
              <w:numPr>
                <w:ilvl w:val="0"/>
                <w:numId w:val="34"/>
              </w:numPr>
            </w:pPr>
            <w:r w:rsidRPr="0055216C">
              <w:t>if X is at least N</w:t>
            </w:r>
          </w:p>
          <w:p w:rsidR="009611A7" w:rsidRPr="0055216C" w:rsidRDefault="009611A7" w:rsidP="009611A7">
            <w:pPr>
              <w:pStyle w:val="ListParagraph"/>
              <w:numPr>
                <w:ilvl w:val="0"/>
                <w:numId w:val="34"/>
              </w:numPr>
            </w:pPr>
            <w:r w:rsidRPr="0055216C">
              <w:t>if X or X is not V</w:t>
            </w:r>
          </w:p>
          <w:p w:rsidR="009611A7" w:rsidRPr="0055216C" w:rsidRDefault="009611A7" w:rsidP="009611A7">
            <w:pPr>
              <w:pStyle w:val="ListParagraph"/>
              <w:numPr>
                <w:ilvl w:val="0"/>
                <w:numId w:val="34"/>
              </w:numPr>
            </w:pPr>
            <w:r w:rsidRPr="0055216C">
              <w:t>if X is at least N and (if X or X is not V)</w:t>
            </w:r>
          </w:p>
          <w:p w:rsidR="009611A7" w:rsidRPr="0055216C" w:rsidRDefault="009611A7" w:rsidP="009611A7">
            <w:pPr>
              <w:pStyle w:val="ListParagraph"/>
              <w:numPr>
                <w:ilvl w:val="0"/>
                <w:numId w:val="34"/>
              </w:numPr>
            </w:pPr>
            <w:r w:rsidRPr="0055216C">
              <w:t>if X is at least N and (if X or X is at least N)</w:t>
            </w:r>
          </w:p>
          <w:p w:rsidR="009611A7" w:rsidRDefault="009611A7" w:rsidP="009611A7"/>
          <w:p w:rsidR="009611A7" w:rsidRDefault="009611A7" w:rsidP="009611A7">
            <w:r w:rsidRPr="0055216C">
              <w:t>If the condition is not passed, then the test does not count either as a pass or a fail.</w:t>
            </w:r>
          </w:p>
        </w:tc>
      </w:tr>
    </w:tbl>
    <w:p w:rsidR="009611A7" w:rsidRDefault="009611A7" w:rsidP="009611A7">
      <w:pPr>
        <w:spacing w:after="0" w:line="240" w:lineRule="auto"/>
      </w:pPr>
    </w:p>
    <w:p w:rsidR="009611A7" w:rsidRDefault="009611A7" w:rsidP="009611A7">
      <w:pPr>
        <w:spacing w:after="0" w:line="240" w:lineRule="auto"/>
      </w:pPr>
      <w:r w:rsidRPr="0055216C">
        <w:t>The tests were derived programmatically from the IATI schema in the first instance to test for the existence of each element that ha</w:t>
      </w:r>
      <w:r w:rsidR="002A5DEC">
        <w:t>s</w:t>
      </w:r>
      <w:r w:rsidRPr="0055216C">
        <w:t xml:space="preserve"> a relevant indicator in the</w:t>
      </w:r>
      <w:r w:rsidR="002A5DEC">
        <w:t xml:space="preserve"> </w:t>
      </w:r>
      <w:r w:rsidRPr="0055216C">
        <w:t xml:space="preserve">Index. Additional tests were incorporated in order to ensure that the data </w:t>
      </w:r>
      <w:r w:rsidR="002A5DEC">
        <w:t>is</w:t>
      </w:r>
      <w:r w:rsidRPr="0055216C">
        <w:t xml:space="preserve"> useful – for example, titles must have a minimum character length in order to be meaningful. </w:t>
      </w:r>
    </w:p>
    <w:p w:rsidR="009611A7" w:rsidRDefault="009611A7" w:rsidP="009611A7">
      <w:pPr>
        <w:spacing w:after="0" w:line="240" w:lineRule="auto"/>
      </w:pPr>
    </w:p>
    <w:p w:rsidR="009611A7" w:rsidRPr="0055216C" w:rsidRDefault="009611A7" w:rsidP="009611A7">
      <w:pPr>
        <w:spacing w:after="0" w:line="240" w:lineRule="auto"/>
      </w:pPr>
      <w:r w:rsidRPr="0055216C">
        <w:t xml:space="preserve">Following donor feedback regarding the tests, further modifications </w:t>
      </w:r>
      <w:r w:rsidR="002A5DEC">
        <w:t>have been</w:t>
      </w:r>
      <w:r w:rsidRPr="0055216C">
        <w:t xml:space="preserve"> made to reduce the extent to which donors </w:t>
      </w:r>
      <w:r w:rsidR="002A5DEC">
        <w:t>are</w:t>
      </w:r>
      <w:r w:rsidRPr="0055216C">
        <w:t xml:space="preserve"> penalised for not publishing information that would be logically impossible for them to publish. For example, </w:t>
      </w:r>
      <w:r w:rsidR="00D43320">
        <w:t>activity end dates</w:t>
      </w:r>
      <w:r w:rsidRPr="0055216C">
        <w:t xml:space="preserve"> not be expected to exist until a project has closed, so the existence of this </w:t>
      </w:r>
      <w:r w:rsidR="00D43320">
        <w:t>information</w:t>
      </w:r>
      <w:r w:rsidR="00D43320" w:rsidRPr="0055216C">
        <w:t xml:space="preserve"> </w:t>
      </w:r>
      <w:r w:rsidRPr="0055216C">
        <w:t>is only tested if an activity is in the completion stage or later.</w:t>
      </w:r>
    </w:p>
    <w:p w:rsidR="009611A7" w:rsidRDefault="009611A7" w:rsidP="009611A7">
      <w:pPr>
        <w:spacing w:after="0" w:line="240" w:lineRule="auto"/>
        <w:rPr>
          <w:rFonts w:ascii="Cambria" w:eastAsia="Calibri" w:hAnsi="Cambria" w:cs="Times New Roman"/>
          <w:b/>
          <w:bCs/>
          <w:color w:val="4F81BD"/>
          <w:sz w:val="24"/>
        </w:rPr>
        <w:sectPr w:rsidR="009611A7" w:rsidSect="002B2AC5">
          <w:pgSz w:w="16838" w:h="11906" w:orient="landscape"/>
          <w:pgMar w:top="1021" w:right="1021" w:bottom="1021" w:left="1021" w:header="709" w:footer="709" w:gutter="0"/>
          <w:cols w:space="708"/>
          <w:docGrid w:linePitch="360"/>
        </w:sectPr>
      </w:pPr>
    </w:p>
    <w:p w:rsidR="009611A7" w:rsidRDefault="009611A7" w:rsidP="009611A7">
      <w:pPr>
        <w:keepNext/>
        <w:spacing w:after="0" w:line="240" w:lineRule="auto"/>
        <w:rPr>
          <w:rFonts w:ascii="Cambria" w:eastAsia="Calibri" w:hAnsi="Cambria" w:cs="Times New Roman"/>
          <w:b/>
          <w:bCs/>
          <w:color w:val="4F81BD"/>
          <w:sz w:val="24"/>
        </w:rPr>
      </w:pPr>
      <w:r w:rsidRPr="00B03254">
        <w:rPr>
          <w:rFonts w:ascii="Cambria" w:eastAsia="Calibri" w:hAnsi="Cambria" w:cs="Times New Roman"/>
          <w:b/>
          <w:bCs/>
          <w:color w:val="4F81BD"/>
          <w:sz w:val="24"/>
        </w:rPr>
        <w:lastRenderedPageBreak/>
        <w:t xml:space="preserve">Table </w:t>
      </w:r>
      <w:r>
        <w:rPr>
          <w:rFonts w:ascii="Cambria" w:eastAsia="Calibri" w:hAnsi="Cambria" w:cs="Times New Roman"/>
          <w:b/>
          <w:bCs/>
          <w:color w:val="4F81BD"/>
          <w:sz w:val="24"/>
        </w:rPr>
        <w:t>6: Tests used on data published to the IATI Registry</w:t>
      </w:r>
      <w:r w:rsidRPr="002A5DEC">
        <w:rPr>
          <w:rStyle w:val="FootnoteReference"/>
          <w:rFonts w:ascii="Cambria" w:eastAsia="Calibri" w:hAnsi="Cambria"/>
          <w:b/>
          <w:bCs/>
          <w:color w:val="4F81BD"/>
        </w:rPr>
        <w:footnoteReference w:id="24"/>
      </w:r>
    </w:p>
    <w:p w:rsidR="009611A7" w:rsidRPr="004D17AF" w:rsidRDefault="009611A7" w:rsidP="009611A7">
      <w:pPr>
        <w:keepNext/>
        <w:spacing w:after="0" w:line="240" w:lineRule="auto"/>
        <w:rPr>
          <w:rFonts w:ascii="Cambria" w:eastAsia="Calibri" w:hAnsi="Cambria" w:cs="Times New Roman"/>
          <w:b/>
          <w:bCs/>
          <w:color w:val="4F81BD"/>
          <w:sz w:val="24"/>
        </w:rPr>
      </w:pPr>
    </w:p>
    <w:tbl>
      <w:tblPr>
        <w:tblW w:w="513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5"/>
        <w:gridCol w:w="6805"/>
        <w:gridCol w:w="3680"/>
        <w:gridCol w:w="2273"/>
      </w:tblGrid>
      <w:tr w:rsidR="009611A7" w:rsidRPr="001448DC" w:rsidTr="006D799E">
        <w:trPr>
          <w:cantSplit/>
          <w:trHeight w:val="145"/>
        </w:trPr>
        <w:tc>
          <w:tcPr>
            <w:tcW w:w="864" w:type="pct"/>
            <w:shd w:val="clear" w:color="auto" w:fill="4F81BD"/>
            <w:noWrap/>
            <w:hideMark/>
          </w:tcPr>
          <w:p w:rsidR="009611A7" w:rsidRPr="00EC70E0" w:rsidRDefault="009611A7" w:rsidP="009611A7">
            <w:pPr>
              <w:spacing w:after="0" w:line="240" w:lineRule="auto"/>
              <w:rPr>
                <w:rFonts w:ascii="Calibri" w:eastAsia="Times New Roman" w:hAnsi="Calibri" w:cs="Times New Roman"/>
                <w:b/>
                <w:color w:val="000000"/>
                <w:sz w:val="20"/>
                <w:lang w:eastAsia="en-GB"/>
              </w:rPr>
            </w:pPr>
            <w:r w:rsidRPr="001448DC">
              <w:rPr>
                <w:rFonts w:ascii="Calibri" w:eastAsia="Times New Roman" w:hAnsi="Calibri" w:cs="Times New Roman"/>
                <w:b/>
                <w:color w:val="000000"/>
                <w:sz w:val="20"/>
                <w:lang w:eastAsia="en-GB"/>
              </w:rPr>
              <w:t>Indicator</w:t>
            </w:r>
          </w:p>
        </w:tc>
        <w:tc>
          <w:tcPr>
            <w:tcW w:w="2206" w:type="pct"/>
            <w:shd w:val="clear" w:color="auto" w:fill="4F81BD"/>
            <w:noWrap/>
            <w:hideMark/>
          </w:tcPr>
          <w:p w:rsidR="009611A7" w:rsidRPr="00EC70E0" w:rsidRDefault="009611A7" w:rsidP="009611A7">
            <w:pPr>
              <w:spacing w:after="0" w:line="240" w:lineRule="auto"/>
              <w:rPr>
                <w:rFonts w:ascii="Calibri" w:eastAsia="Times New Roman" w:hAnsi="Calibri" w:cs="Times New Roman"/>
                <w:b/>
                <w:color w:val="000000"/>
                <w:sz w:val="20"/>
                <w:lang w:eastAsia="en-GB"/>
              </w:rPr>
            </w:pPr>
            <w:r w:rsidRPr="001448DC">
              <w:rPr>
                <w:rFonts w:ascii="Calibri" w:eastAsia="Times New Roman" w:hAnsi="Calibri" w:cs="Times New Roman"/>
                <w:b/>
                <w:color w:val="000000"/>
                <w:sz w:val="20"/>
                <w:lang w:eastAsia="en-GB"/>
              </w:rPr>
              <w:t>Test expression</w:t>
            </w:r>
          </w:p>
        </w:tc>
        <w:tc>
          <w:tcPr>
            <w:tcW w:w="1193" w:type="pct"/>
            <w:shd w:val="clear" w:color="auto" w:fill="4F81BD"/>
            <w:noWrap/>
            <w:hideMark/>
          </w:tcPr>
          <w:p w:rsidR="009611A7" w:rsidRPr="00EC70E0" w:rsidRDefault="009611A7" w:rsidP="009611A7">
            <w:pPr>
              <w:spacing w:after="0" w:line="240" w:lineRule="auto"/>
              <w:rPr>
                <w:rFonts w:ascii="Calibri" w:eastAsia="Times New Roman" w:hAnsi="Calibri" w:cs="Times New Roman"/>
                <w:b/>
                <w:color w:val="000000"/>
                <w:sz w:val="20"/>
                <w:lang w:eastAsia="en-GB"/>
              </w:rPr>
            </w:pPr>
            <w:r w:rsidRPr="001448DC">
              <w:rPr>
                <w:rFonts w:ascii="Calibri" w:eastAsia="Times New Roman" w:hAnsi="Calibri" w:cs="Times New Roman"/>
                <w:b/>
                <w:color w:val="000000"/>
                <w:sz w:val="20"/>
                <w:lang w:eastAsia="en-GB"/>
              </w:rPr>
              <w:t>Test Name</w:t>
            </w:r>
          </w:p>
        </w:tc>
        <w:tc>
          <w:tcPr>
            <w:tcW w:w="737" w:type="pct"/>
            <w:shd w:val="clear" w:color="auto" w:fill="4F81BD"/>
          </w:tcPr>
          <w:p w:rsidR="009611A7" w:rsidRPr="001448DC" w:rsidRDefault="009611A7" w:rsidP="009611A7">
            <w:pPr>
              <w:spacing w:after="0" w:line="240" w:lineRule="auto"/>
              <w:rPr>
                <w:rFonts w:ascii="Calibri" w:eastAsia="Times New Roman" w:hAnsi="Calibri" w:cs="Times New Roman"/>
                <w:b/>
                <w:color w:val="000000"/>
                <w:sz w:val="20"/>
                <w:lang w:eastAsia="en-GB"/>
              </w:rPr>
            </w:pPr>
            <w:r w:rsidRPr="001448DC">
              <w:rPr>
                <w:rFonts w:ascii="Calibri" w:eastAsia="Times New Roman" w:hAnsi="Calibri" w:cs="Times New Roman"/>
                <w:b/>
                <w:color w:val="000000"/>
                <w:sz w:val="20"/>
                <w:lang w:eastAsia="en-GB"/>
              </w:rPr>
              <w:t>Conditions</w:t>
            </w:r>
          </w:p>
        </w:tc>
      </w:tr>
      <w:tr w:rsidR="009611A7" w:rsidRPr="00053BAD" w:rsidTr="006D799E">
        <w:trPr>
          <w:cantSplit/>
          <w:trHeight w:val="300"/>
        </w:trPr>
        <w:tc>
          <w:tcPr>
            <w:tcW w:w="5000" w:type="pct"/>
            <w:gridSpan w:val="4"/>
            <w:shd w:val="clear" w:color="auto" w:fill="auto"/>
            <w:noWrap/>
          </w:tcPr>
          <w:p w:rsidR="009611A7" w:rsidRPr="00053BAD" w:rsidRDefault="009611A7" w:rsidP="009611A7">
            <w:pPr>
              <w:spacing w:after="0" w:line="240" w:lineRule="auto"/>
              <w:rPr>
                <w:rFonts w:ascii="Calibri" w:eastAsia="Times New Roman" w:hAnsi="Calibri" w:cs="Times New Roman"/>
                <w:b/>
                <w:color w:val="000000"/>
                <w:sz w:val="20"/>
                <w:lang w:eastAsia="en-GB"/>
              </w:rPr>
            </w:pPr>
            <w:r w:rsidRPr="00053BAD">
              <w:rPr>
                <w:rFonts w:ascii="Calibri" w:eastAsia="Times New Roman" w:hAnsi="Calibri" w:cs="Times New Roman"/>
                <w:b/>
                <w:color w:val="000000"/>
                <w:sz w:val="20"/>
                <w:lang w:eastAsia="en-GB"/>
              </w:rPr>
              <w:t>Organisation level</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4. </w:t>
            </w:r>
            <w:r w:rsidRPr="00EC70E0">
              <w:rPr>
                <w:rFonts w:ascii="Calibri" w:eastAsia="Times New Roman" w:hAnsi="Calibri" w:cs="Times New Roman"/>
                <w:color w:val="000000"/>
                <w:sz w:val="20"/>
                <w:lang w:eastAsia="en-GB"/>
              </w:rPr>
              <w:t>Strategy</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document-link/category[@code='B02'] exists?</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Strategy</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5. </w:t>
            </w:r>
            <w:r w:rsidRPr="00EC70E0">
              <w:rPr>
                <w:rFonts w:ascii="Calibri" w:eastAsia="Times New Roman" w:hAnsi="Calibri" w:cs="Times New Roman"/>
                <w:color w:val="000000"/>
                <w:sz w:val="20"/>
                <w:lang w:eastAsia="en-GB"/>
              </w:rPr>
              <w:t>Annual report</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document-link/category[@code='B01'] exists?</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Annual report</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6. </w:t>
            </w:r>
            <w:r w:rsidRPr="00EC70E0">
              <w:rPr>
                <w:rFonts w:ascii="Calibri" w:eastAsia="Times New Roman" w:hAnsi="Calibri" w:cs="Times New Roman"/>
                <w:color w:val="000000"/>
                <w:sz w:val="20"/>
                <w:lang w:eastAsia="en-GB"/>
              </w:rPr>
              <w:t>Allocation policy</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document-link/category[@code='B04'] exists?</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Allocation policy</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7. </w:t>
            </w:r>
            <w:r w:rsidRPr="00EC70E0">
              <w:rPr>
                <w:rFonts w:ascii="Calibri" w:eastAsia="Times New Roman" w:hAnsi="Calibri" w:cs="Times New Roman"/>
                <w:color w:val="000000"/>
                <w:sz w:val="20"/>
                <w:lang w:eastAsia="en-GB"/>
              </w:rPr>
              <w:t>Procurement policy</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document-link/category[@code='B05'] exists?</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Procurement policy</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8. Country s</w:t>
            </w:r>
            <w:r w:rsidRPr="00EC70E0">
              <w:rPr>
                <w:rFonts w:ascii="Calibri" w:eastAsia="Times New Roman" w:hAnsi="Calibri" w:cs="Times New Roman"/>
                <w:color w:val="000000"/>
                <w:sz w:val="20"/>
                <w:lang w:eastAsia="en-GB"/>
              </w:rPr>
              <w:t>trategy</w:t>
            </w:r>
          </w:p>
        </w:tc>
        <w:tc>
          <w:tcPr>
            <w:tcW w:w="2206" w:type="pct"/>
            <w:shd w:val="clear" w:color="auto" w:fill="auto"/>
            <w:noWrap/>
            <w:hideMark/>
          </w:tcPr>
          <w:p w:rsidR="009611A7" w:rsidRPr="004514D7" w:rsidRDefault="00216D75" w:rsidP="009611A7">
            <w:pPr>
              <w:spacing w:after="0" w:line="240" w:lineRule="auto"/>
              <w:rPr>
                <w:rFonts w:ascii="Calibri" w:eastAsia="Times New Roman" w:hAnsi="Calibri" w:cs="Times New Roman"/>
                <w:color w:val="000000"/>
                <w:sz w:val="20"/>
                <w:lang w:eastAsia="en-GB"/>
              </w:rPr>
            </w:pPr>
            <w:r w:rsidRPr="004514D7">
              <w:rPr>
                <w:rFonts w:ascii="Calibri" w:eastAsia="Times New Roman" w:hAnsi="Calibri" w:cs="Times New Roman"/>
                <w:color w:val="000000"/>
                <w:sz w:val="20"/>
                <w:lang w:eastAsia="en-GB"/>
              </w:rPr>
              <w:t xml:space="preserve">See page </w:t>
            </w:r>
            <w:r w:rsidR="00E26CCF" w:rsidRPr="004514D7">
              <w:rPr>
                <w:rFonts w:ascii="Calibri" w:eastAsia="Times New Roman" w:hAnsi="Calibri" w:cs="Times New Roman"/>
                <w:color w:val="000000"/>
                <w:sz w:val="20"/>
                <w:lang w:eastAsia="en-GB"/>
              </w:rPr>
              <w:t>4</w:t>
            </w:r>
            <w:r w:rsidR="00163163">
              <w:rPr>
                <w:rFonts w:ascii="Calibri" w:eastAsia="Times New Roman" w:hAnsi="Calibri" w:cs="Times New Roman"/>
                <w:color w:val="000000"/>
                <w:sz w:val="20"/>
                <w:lang w:eastAsia="en-GB"/>
              </w:rPr>
              <w:t>7</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Country strategy paper</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9. Total organisation budget</w:t>
            </w:r>
          </w:p>
        </w:tc>
        <w:tc>
          <w:tcPr>
            <w:tcW w:w="2206" w:type="pct"/>
            <w:shd w:val="clear" w:color="auto" w:fill="auto"/>
            <w:noWrap/>
          </w:tcPr>
          <w:p w:rsidR="009611A7" w:rsidRPr="004514D7" w:rsidRDefault="00216D75" w:rsidP="009611A7">
            <w:pPr>
              <w:spacing w:after="0" w:line="240" w:lineRule="auto"/>
              <w:rPr>
                <w:rFonts w:ascii="Calibri" w:eastAsia="Times New Roman" w:hAnsi="Calibri" w:cs="Times New Roman"/>
                <w:color w:val="000000"/>
                <w:sz w:val="20"/>
                <w:lang w:eastAsia="en-GB"/>
              </w:rPr>
            </w:pPr>
            <w:r w:rsidRPr="004514D7">
              <w:rPr>
                <w:rFonts w:ascii="Calibri" w:eastAsia="Times New Roman" w:hAnsi="Calibri" w:cs="Times New Roman"/>
                <w:color w:val="000000"/>
                <w:sz w:val="20"/>
                <w:lang w:eastAsia="en-GB"/>
              </w:rPr>
              <w:t xml:space="preserve">See page </w:t>
            </w:r>
            <w:r w:rsidR="00E26CCF" w:rsidRPr="004514D7">
              <w:rPr>
                <w:rFonts w:ascii="Calibri" w:eastAsia="Times New Roman" w:hAnsi="Calibri" w:cs="Times New Roman"/>
                <w:color w:val="000000"/>
                <w:sz w:val="20"/>
                <w:lang w:eastAsia="en-GB"/>
              </w:rPr>
              <w:t>4</w:t>
            </w:r>
            <w:r w:rsidR="00163163">
              <w:rPr>
                <w:rFonts w:ascii="Calibri" w:eastAsia="Times New Roman" w:hAnsi="Calibri" w:cs="Times New Roman"/>
                <w:color w:val="000000"/>
                <w:sz w:val="20"/>
                <w:lang w:eastAsia="en-GB"/>
              </w:rPr>
              <w:t>8</w:t>
            </w:r>
          </w:p>
        </w:tc>
        <w:tc>
          <w:tcPr>
            <w:tcW w:w="1193" w:type="pct"/>
            <w:shd w:val="clear" w:color="auto" w:fill="auto"/>
            <w:noWrap/>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Total organisation budget</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10. Disaggregated budget</w:t>
            </w:r>
          </w:p>
        </w:tc>
        <w:tc>
          <w:tcPr>
            <w:tcW w:w="2206" w:type="pct"/>
            <w:shd w:val="clear" w:color="auto" w:fill="auto"/>
            <w:noWrap/>
          </w:tcPr>
          <w:p w:rsidR="009611A7" w:rsidRPr="004514D7" w:rsidRDefault="00216D75" w:rsidP="009611A7">
            <w:pPr>
              <w:spacing w:after="0" w:line="240" w:lineRule="auto"/>
              <w:rPr>
                <w:rFonts w:ascii="Calibri" w:eastAsia="Times New Roman" w:hAnsi="Calibri" w:cs="Times New Roman"/>
                <w:color w:val="000000"/>
                <w:sz w:val="20"/>
                <w:lang w:eastAsia="en-GB"/>
              </w:rPr>
            </w:pPr>
            <w:r w:rsidRPr="004514D7">
              <w:rPr>
                <w:rFonts w:ascii="Calibri" w:eastAsia="Times New Roman" w:hAnsi="Calibri" w:cs="Times New Roman"/>
                <w:color w:val="000000"/>
                <w:sz w:val="20"/>
                <w:lang w:eastAsia="en-GB"/>
              </w:rPr>
              <w:t xml:space="preserve">See page </w:t>
            </w:r>
            <w:r w:rsidR="00E26CCF" w:rsidRPr="004514D7">
              <w:rPr>
                <w:rFonts w:ascii="Calibri" w:eastAsia="Times New Roman" w:hAnsi="Calibri" w:cs="Times New Roman"/>
                <w:color w:val="000000"/>
                <w:sz w:val="20"/>
                <w:lang w:eastAsia="en-GB"/>
              </w:rPr>
              <w:t>4</w:t>
            </w:r>
            <w:r w:rsidR="00163163">
              <w:rPr>
                <w:rFonts w:ascii="Calibri" w:eastAsia="Times New Roman" w:hAnsi="Calibri" w:cs="Times New Roman"/>
                <w:color w:val="000000"/>
                <w:sz w:val="20"/>
                <w:lang w:eastAsia="en-GB"/>
              </w:rPr>
              <w:t>8</w:t>
            </w:r>
          </w:p>
        </w:tc>
        <w:tc>
          <w:tcPr>
            <w:tcW w:w="1193" w:type="pct"/>
            <w:shd w:val="clear" w:color="auto" w:fill="auto"/>
            <w:noWrap/>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Disaggregated budget</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11. </w:t>
            </w:r>
            <w:r w:rsidRPr="00EC70E0">
              <w:rPr>
                <w:rFonts w:ascii="Calibri" w:eastAsia="Times New Roman" w:hAnsi="Calibri" w:cs="Times New Roman"/>
                <w:color w:val="000000"/>
                <w:sz w:val="20"/>
                <w:lang w:eastAsia="en-GB"/>
              </w:rPr>
              <w:t>Audit</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document-link/category[@code='B06'] exists?</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Audit</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5000" w:type="pct"/>
            <w:gridSpan w:val="4"/>
            <w:shd w:val="clear" w:color="auto" w:fill="auto"/>
            <w:noWrap/>
          </w:tcPr>
          <w:p w:rsidR="009611A7" w:rsidRPr="00053BAD" w:rsidRDefault="009611A7" w:rsidP="009611A7">
            <w:pPr>
              <w:spacing w:after="0" w:line="240" w:lineRule="auto"/>
              <w:rPr>
                <w:rFonts w:ascii="Calibri" w:eastAsia="Times New Roman" w:hAnsi="Calibri" w:cs="Times New Roman"/>
                <w:b/>
                <w:color w:val="000000"/>
                <w:sz w:val="20"/>
                <w:lang w:eastAsia="en-GB"/>
              </w:rPr>
            </w:pPr>
            <w:r w:rsidRPr="00053BAD">
              <w:rPr>
                <w:rFonts w:ascii="Calibri" w:eastAsia="Times New Roman" w:hAnsi="Calibri" w:cs="Times New Roman"/>
                <w:b/>
                <w:color w:val="000000"/>
                <w:sz w:val="20"/>
                <w:lang w:eastAsia="en-GB"/>
              </w:rPr>
              <w:t>Activity level</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12. </w:t>
            </w:r>
            <w:r w:rsidRPr="00EC70E0">
              <w:rPr>
                <w:rFonts w:ascii="Calibri" w:eastAsia="Times New Roman" w:hAnsi="Calibri" w:cs="Times New Roman"/>
                <w:color w:val="000000"/>
                <w:sz w:val="20"/>
                <w:lang w:eastAsia="en-GB"/>
              </w:rPr>
              <w:t>Implementer</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participating-org[@role='Implementing'] exists (if activity-status/@code is at least 2)?</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Implementing organisation</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13. </w:t>
            </w:r>
            <w:r w:rsidRPr="00EC70E0">
              <w:rPr>
                <w:rFonts w:ascii="Calibri" w:eastAsia="Times New Roman" w:hAnsi="Calibri" w:cs="Times New Roman"/>
                <w:color w:val="000000"/>
                <w:sz w:val="20"/>
                <w:lang w:eastAsia="en-GB"/>
              </w:rPr>
              <w:t>Unique ID</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iati-identifier exists?</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Unique IATI Identifier</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13. </w:t>
            </w:r>
            <w:r w:rsidRPr="00EC70E0">
              <w:rPr>
                <w:rFonts w:ascii="Calibri" w:eastAsia="Times New Roman" w:hAnsi="Calibri" w:cs="Times New Roman"/>
                <w:color w:val="000000"/>
                <w:sz w:val="20"/>
                <w:lang w:eastAsia="en-GB"/>
              </w:rPr>
              <w:t>Unique ID</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iati-identifier/text() starts with reporting-org/@ref?</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IATI Identifier starts with reporting org ref</w:t>
            </w:r>
            <w:r w:rsidR="004A3C4E">
              <w:rPr>
                <w:rFonts w:ascii="Calibri" w:eastAsia="Times New Roman" w:hAnsi="Calibri" w:cs="Times New Roman"/>
                <w:color w:val="000000"/>
                <w:sz w:val="20"/>
                <w:lang w:eastAsia="en-GB"/>
              </w:rPr>
              <w:t>erence</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14. </w:t>
            </w:r>
            <w:r w:rsidRPr="00EC70E0">
              <w:rPr>
                <w:rFonts w:ascii="Calibri" w:eastAsia="Times New Roman" w:hAnsi="Calibri" w:cs="Times New Roman"/>
                <w:color w:val="000000"/>
                <w:sz w:val="20"/>
                <w:lang w:eastAsia="en-GB"/>
              </w:rPr>
              <w:t>Title</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title/text() exists?</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Title</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14. </w:t>
            </w:r>
            <w:r w:rsidRPr="00EC70E0">
              <w:rPr>
                <w:rFonts w:ascii="Calibri" w:eastAsia="Times New Roman" w:hAnsi="Calibri" w:cs="Times New Roman"/>
                <w:color w:val="000000"/>
                <w:sz w:val="20"/>
                <w:lang w:eastAsia="en-GB"/>
              </w:rPr>
              <w:t>Title</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title/text() has more than 10 characters?</w:t>
            </w:r>
          </w:p>
        </w:tc>
        <w:tc>
          <w:tcPr>
            <w:tcW w:w="1193" w:type="pct"/>
            <w:shd w:val="clear" w:color="auto" w:fill="auto"/>
            <w:noWrap/>
            <w:hideMark/>
          </w:tcPr>
          <w:p w:rsidR="009611A7" w:rsidRPr="00EC70E0" w:rsidRDefault="004A3C4E"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Title, more than 10 characters</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15. </w:t>
            </w:r>
            <w:r w:rsidRPr="00EC70E0">
              <w:rPr>
                <w:rFonts w:ascii="Calibri" w:eastAsia="Times New Roman" w:hAnsi="Calibri" w:cs="Times New Roman"/>
                <w:color w:val="000000"/>
                <w:sz w:val="20"/>
                <w:lang w:eastAsia="en-GB"/>
              </w:rPr>
              <w:t>Description</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description/text() exists?</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Description</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15. </w:t>
            </w:r>
            <w:r w:rsidRPr="00EC70E0">
              <w:rPr>
                <w:rFonts w:ascii="Calibri" w:eastAsia="Times New Roman" w:hAnsi="Calibri" w:cs="Times New Roman"/>
                <w:color w:val="000000"/>
                <w:sz w:val="20"/>
                <w:lang w:eastAsia="en-GB"/>
              </w:rPr>
              <w:t>Description</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description/text() has more than 40 characters?</w:t>
            </w:r>
          </w:p>
        </w:tc>
        <w:tc>
          <w:tcPr>
            <w:tcW w:w="1193" w:type="pct"/>
            <w:shd w:val="clear" w:color="auto" w:fill="auto"/>
            <w:noWrap/>
            <w:hideMark/>
          </w:tcPr>
          <w:p w:rsidR="009611A7" w:rsidRPr="00EC70E0" w:rsidRDefault="004A3C4E"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Description, more than 40 characters</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16. </w:t>
            </w:r>
            <w:r w:rsidRPr="00EC70E0">
              <w:rPr>
                <w:rFonts w:ascii="Calibri" w:eastAsia="Times New Roman" w:hAnsi="Calibri" w:cs="Times New Roman"/>
                <w:color w:val="000000"/>
                <w:sz w:val="20"/>
                <w:lang w:eastAsia="en-GB"/>
              </w:rPr>
              <w:t>Planned dates</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activity-date[@type='end-planned'] exists?</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 date planned end date</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16. </w:t>
            </w:r>
            <w:r w:rsidRPr="00EC70E0">
              <w:rPr>
                <w:rFonts w:ascii="Calibri" w:eastAsia="Times New Roman" w:hAnsi="Calibri" w:cs="Times New Roman"/>
                <w:color w:val="000000"/>
                <w:sz w:val="20"/>
                <w:lang w:eastAsia="en-GB"/>
              </w:rPr>
              <w:t>Planned dates</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activity-date[@type='start-planned'] exists?</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 date planned start date</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17. </w:t>
            </w:r>
            <w:r w:rsidRPr="00EC70E0">
              <w:rPr>
                <w:rFonts w:ascii="Calibri" w:eastAsia="Times New Roman" w:hAnsi="Calibri" w:cs="Times New Roman"/>
                <w:color w:val="000000"/>
                <w:sz w:val="20"/>
                <w:lang w:eastAsia="en-GB"/>
              </w:rPr>
              <w:t>Actual dates</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activity-date[@type='end-actual'] exists (if activity-status/@code is at least 3)?</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 date actual end date</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completion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17. </w:t>
            </w:r>
            <w:r w:rsidRPr="00EC70E0">
              <w:rPr>
                <w:rFonts w:ascii="Calibri" w:eastAsia="Times New Roman" w:hAnsi="Calibri" w:cs="Times New Roman"/>
                <w:color w:val="000000"/>
                <w:sz w:val="20"/>
                <w:lang w:eastAsia="en-GB"/>
              </w:rPr>
              <w:t>Actual dates</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activity-date[@type='start-actual'] exists (if activity-status/@code is at least 2)?</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 date actual start date</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18. </w:t>
            </w:r>
            <w:r w:rsidRPr="00EC70E0">
              <w:rPr>
                <w:rFonts w:ascii="Calibri" w:eastAsia="Times New Roman" w:hAnsi="Calibri" w:cs="Times New Roman"/>
                <w:color w:val="000000"/>
                <w:sz w:val="20"/>
                <w:lang w:eastAsia="en-GB"/>
              </w:rPr>
              <w:t>Current Status</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activity-status exists?</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 xml:space="preserve">Activity status </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18. </w:t>
            </w:r>
            <w:r w:rsidRPr="00EC70E0">
              <w:rPr>
                <w:rFonts w:ascii="Calibri" w:eastAsia="Times New Roman" w:hAnsi="Calibri" w:cs="Times New Roman"/>
                <w:color w:val="000000"/>
                <w:sz w:val="20"/>
                <w:lang w:eastAsia="en-GB"/>
              </w:rPr>
              <w:t>Current Status</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activity-status/@code is on list ActivityStatus?</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Activity status, only once</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19. </w:t>
            </w:r>
            <w:r w:rsidRPr="00EC70E0">
              <w:rPr>
                <w:rFonts w:ascii="Calibri" w:eastAsia="Times New Roman" w:hAnsi="Calibri" w:cs="Times New Roman"/>
                <w:color w:val="000000"/>
                <w:sz w:val="20"/>
                <w:lang w:eastAsia="en-GB"/>
              </w:rPr>
              <w:t>Contact details</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contact-info exists?</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 xml:space="preserve">Contact information for the activity </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20. </w:t>
            </w:r>
            <w:r w:rsidRPr="00EC70E0">
              <w:rPr>
                <w:rFonts w:ascii="Calibri" w:eastAsia="Times New Roman" w:hAnsi="Calibri" w:cs="Times New Roman"/>
                <w:color w:val="000000"/>
                <w:sz w:val="20"/>
                <w:lang w:eastAsia="en-GB"/>
              </w:rPr>
              <w:t>Collaboration Type</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collaboration-type exists (if activity-status/@code is at least 2)?</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 xml:space="preserve">Collaboration type </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lastRenderedPageBreak/>
              <w:t xml:space="preserve">20. </w:t>
            </w:r>
            <w:r w:rsidRPr="00EC70E0">
              <w:rPr>
                <w:rFonts w:ascii="Calibri" w:eastAsia="Times New Roman" w:hAnsi="Calibri" w:cs="Times New Roman"/>
                <w:color w:val="000000"/>
                <w:sz w:val="20"/>
                <w:lang w:eastAsia="en-GB"/>
              </w:rPr>
              <w:t>Collaboration Type</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collaboration-type/@code is on list CollaborationType (if activity-status/@code is at least 2)?</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Collaboration type uses standard codelist</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21. </w:t>
            </w:r>
            <w:r w:rsidRPr="00EC70E0">
              <w:rPr>
                <w:rFonts w:ascii="Calibri" w:eastAsia="Times New Roman" w:hAnsi="Calibri" w:cs="Times New Roman"/>
                <w:color w:val="000000"/>
                <w:sz w:val="20"/>
                <w:lang w:eastAsia="en-GB"/>
              </w:rPr>
              <w:t>Flow Type</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default-flow-type or transaction/flow-type exists (if activity-status/@code is at least 2)?</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Flow type</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21. </w:t>
            </w:r>
            <w:r w:rsidRPr="00EC70E0">
              <w:rPr>
                <w:rFonts w:ascii="Calibri" w:eastAsia="Times New Roman" w:hAnsi="Calibri" w:cs="Times New Roman"/>
                <w:color w:val="000000"/>
                <w:sz w:val="20"/>
                <w:lang w:eastAsia="en-GB"/>
              </w:rPr>
              <w:t>Flow Type</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default-flow-type/@code or transaction/flow-type/@code is on list FlowType (if activity-status/@code is at least 2)?</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Flow type uses standard codelist</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22. </w:t>
            </w:r>
            <w:r w:rsidRPr="00EC70E0">
              <w:rPr>
                <w:rFonts w:ascii="Calibri" w:eastAsia="Times New Roman" w:hAnsi="Calibri" w:cs="Times New Roman"/>
                <w:color w:val="000000"/>
                <w:sz w:val="20"/>
                <w:lang w:eastAsia="en-GB"/>
              </w:rPr>
              <w:t>Aid Type</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default-aid-type or transaction/aid-type exists (if activity-status/@code is at least 2)?</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 xml:space="preserve">Default aid type </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22. </w:t>
            </w:r>
            <w:r w:rsidRPr="00EC70E0">
              <w:rPr>
                <w:rFonts w:ascii="Calibri" w:eastAsia="Times New Roman" w:hAnsi="Calibri" w:cs="Times New Roman"/>
                <w:color w:val="000000"/>
                <w:sz w:val="20"/>
                <w:lang w:eastAsia="en-GB"/>
              </w:rPr>
              <w:t>Aid Type</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default-aid-type/@code or transaction/aid-type/@code is on list AidType (if activity-status/@code is at least 2)?</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Aid type uses standard codelist</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23. </w:t>
            </w:r>
            <w:r w:rsidRPr="00EC70E0">
              <w:rPr>
                <w:rFonts w:ascii="Calibri" w:eastAsia="Times New Roman" w:hAnsi="Calibri" w:cs="Times New Roman"/>
                <w:color w:val="000000"/>
                <w:sz w:val="20"/>
                <w:lang w:eastAsia="en-GB"/>
              </w:rPr>
              <w:t>Finance Type</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default-finance-type or transaction/finance-type exists (if activity-status/@code is at least 2)?</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 xml:space="preserve">Default finance type </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23. </w:t>
            </w:r>
            <w:r w:rsidRPr="00EC70E0">
              <w:rPr>
                <w:rFonts w:ascii="Calibri" w:eastAsia="Times New Roman" w:hAnsi="Calibri" w:cs="Times New Roman"/>
                <w:color w:val="000000"/>
                <w:sz w:val="20"/>
                <w:lang w:eastAsia="en-GB"/>
              </w:rPr>
              <w:t>Finance Type</w:t>
            </w:r>
          </w:p>
        </w:tc>
        <w:tc>
          <w:tcPr>
            <w:tcW w:w="2206" w:type="pct"/>
            <w:shd w:val="clear" w:color="auto" w:fill="auto"/>
            <w:noWrap/>
            <w:hideMark/>
          </w:tcPr>
          <w:p w:rsidR="009611A7" w:rsidRPr="00163019" w:rsidRDefault="009611A7" w:rsidP="009611A7">
            <w:pPr>
              <w:spacing w:after="0" w:line="240" w:lineRule="auto"/>
              <w:rPr>
                <w:rFonts w:ascii="Calibri" w:eastAsia="Times New Roman" w:hAnsi="Calibri" w:cs="Times New Roman"/>
                <w:color w:val="000000"/>
                <w:sz w:val="20"/>
                <w:lang w:eastAsia="en-GB"/>
              </w:rPr>
            </w:pPr>
            <w:r w:rsidRPr="00163019">
              <w:rPr>
                <w:rFonts w:ascii="Calibri" w:eastAsia="Times New Roman" w:hAnsi="Calibri" w:cs="Times New Roman"/>
                <w:color w:val="000000"/>
                <w:sz w:val="20"/>
                <w:lang w:eastAsia="en-GB"/>
              </w:rPr>
              <w:t>default-finance-type/@code or transaction/finance-type/@code is on list FinanceType (if activity-status/@code is at least 2)?</w:t>
            </w:r>
          </w:p>
          <w:p w:rsidR="009611A7" w:rsidRPr="00EC70E0" w:rsidRDefault="009611A7" w:rsidP="009611A7">
            <w:pPr>
              <w:spacing w:after="0" w:line="240" w:lineRule="auto"/>
              <w:rPr>
                <w:rFonts w:ascii="Calibri" w:eastAsia="Times New Roman" w:hAnsi="Calibri" w:cs="Times New Roman"/>
                <w:color w:val="000000"/>
                <w:sz w:val="20"/>
                <w:lang w:eastAsia="en-GB"/>
              </w:rPr>
            </w:pP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Finance type uses standard codelist</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24. </w:t>
            </w:r>
            <w:r w:rsidRPr="00EC70E0">
              <w:rPr>
                <w:rFonts w:ascii="Calibri" w:eastAsia="Times New Roman" w:hAnsi="Calibri" w:cs="Times New Roman"/>
                <w:color w:val="000000"/>
                <w:sz w:val="20"/>
                <w:lang w:eastAsia="en-GB"/>
              </w:rPr>
              <w:t>Sector</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sector exists?</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 xml:space="preserve">Sector </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24. </w:t>
            </w:r>
            <w:r w:rsidRPr="00EC70E0">
              <w:rPr>
                <w:rFonts w:ascii="Calibri" w:eastAsia="Times New Roman" w:hAnsi="Calibri" w:cs="Times New Roman"/>
                <w:color w:val="000000"/>
                <w:sz w:val="20"/>
                <w:lang w:eastAsia="en-GB"/>
              </w:rPr>
              <w:t>Sector</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at least one (sector[@vocabulary="DAC"]/@code or sector[not(@vocabulary)]/@code) is on list Sector?</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Sector uses standard codelist</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25. </w:t>
            </w:r>
            <w:r w:rsidRPr="00EC70E0">
              <w:rPr>
                <w:rFonts w:ascii="Calibri" w:eastAsia="Times New Roman" w:hAnsi="Calibri" w:cs="Times New Roman"/>
                <w:color w:val="000000"/>
                <w:sz w:val="20"/>
                <w:lang w:eastAsia="en-GB"/>
              </w:rPr>
              <w:t>Sub-national location</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location exists (if activity-status/@code is at least 2 and recipient-region/@code is not 998)?</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Location (sub-national)</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 and recipient region is not ‘bilateral unspecified’</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25. </w:t>
            </w:r>
            <w:r w:rsidRPr="00EC70E0">
              <w:rPr>
                <w:rFonts w:ascii="Calibri" w:eastAsia="Times New Roman" w:hAnsi="Calibri" w:cs="Times New Roman"/>
                <w:color w:val="000000"/>
                <w:sz w:val="20"/>
                <w:lang w:eastAsia="en-GB"/>
              </w:rPr>
              <w:t>Sub-national location</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location/coordinates exists (if activity-status/@code is at least 2 and recipient-region/@code is not 998)?</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Location (sub-national) coordinates</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 and recipient region is not ‘bilateral unspecified’</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26. </w:t>
            </w:r>
            <w:r w:rsidRPr="00EC70E0">
              <w:rPr>
                <w:rFonts w:ascii="Calibri" w:eastAsia="Times New Roman" w:hAnsi="Calibri" w:cs="Times New Roman"/>
                <w:color w:val="000000"/>
                <w:sz w:val="20"/>
                <w:lang w:eastAsia="en-GB"/>
              </w:rPr>
              <w:t>Tied Aid Status</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default-tied-status or transaction/tied-status exists (if activity-status/@code is at least 2)?</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Tied aid status</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26. </w:t>
            </w:r>
            <w:r w:rsidRPr="00EC70E0">
              <w:rPr>
                <w:rFonts w:ascii="Calibri" w:eastAsia="Times New Roman" w:hAnsi="Calibri" w:cs="Times New Roman"/>
                <w:color w:val="000000"/>
                <w:sz w:val="20"/>
                <w:lang w:eastAsia="en-GB"/>
              </w:rPr>
              <w:t>Tied Aid Status</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default-tied-status/@code or transaction/tied-status/@code is on list TiedStatus (if activity-status/@code is at least 2)?</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Tied aid status uses standard codelist</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27. </w:t>
            </w:r>
            <w:r w:rsidRPr="00EC70E0">
              <w:rPr>
                <w:rFonts w:ascii="Calibri" w:eastAsia="Times New Roman" w:hAnsi="Calibri" w:cs="Times New Roman"/>
                <w:color w:val="000000"/>
                <w:sz w:val="20"/>
                <w:lang w:eastAsia="en-GB"/>
              </w:rPr>
              <w:t>MoU</w:t>
            </w:r>
          </w:p>
        </w:tc>
        <w:tc>
          <w:tcPr>
            <w:tcW w:w="2206" w:type="pct"/>
            <w:shd w:val="clear" w:color="auto" w:fill="auto"/>
            <w:noWrap/>
            <w:hideMark/>
          </w:tcPr>
          <w:p w:rsidR="009611A7" w:rsidRPr="00EC70E0" w:rsidRDefault="009611A7" w:rsidP="007E3DDA">
            <w:pPr>
              <w:spacing w:after="0" w:line="240" w:lineRule="auto"/>
              <w:rPr>
                <w:rFonts w:ascii="Calibri" w:eastAsia="Times New Roman" w:hAnsi="Calibri" w:cs="Times New Roman"/>
                <w:color w:val="000000"/>
                <w:sz w:val="20"/>
                <w:lang w:eastAsia="en-GB"/>
              </w:rPr>
            </w:pPr>
            <w:r w:rsidRPr="00163019">
              <w:rPr>
                <w:rFonts w:ascii="Calibri" w:eastAsia="Times New Roman" w:hAnsi="Calibri" w:cs="Times New Roman"/>
                <w:color w:val="000000"/>
                <w:sz w:val="20"/>
                <w:lang w:eastAsia="en-GB"/>
              </w:rPr>
              <w:t>document-link/category[@code='A09'] exists (if activity-status/@code is at least 2</w:t>
            </w:r>
            <w:r>
              <w:rPr>
                <w:rFonts w:ascii="Calibri" w:eastAsia="Times New Roman" w:hAnsi="Calibri" w:cs="Times New Roman"/>
                <w:color w:val="000000"/>
                <w:sz w:val="20"/>
                <w:lang w:eastAsia="en-GB"/>
              </w:rPr>
              <w:t>)</w:t>
            </w:r>
            <w:r w:rsidRPr="00163019">
              <w:rPr>
                <w:rFonts w:ascii="Calibri" w:eastAsia="Times New Roman" w:hAnsi="Calibri" w:cs="Times New Roman"/>
                <w:color w:val="000000"/>
                <w:sz w:val="20"/>
                <w:lang w:eastAsia="en-GB"/>
              </w:rPr>
              <w:t>?</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 - Memorandum of understanding document</w:t>
            </w:r>
          </w:p>
        </w:tc>
        <w:tc>
          <w:tcPr>
            <w:tcW w:w="737" w:type="pct"/>
          </w:tcPr>
          <w:p w:rsidR="009611A7" w:rsidRPr="00EC70E0" w:rsidRDefault="009611A7" w:rsidP="007E3DDA">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At least implementation </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28. </w:t>
            </w:r>
            <w:r w:rsidRPr="00EC70E0">
              <w:rPr>
                <w:rFonts w:ascii="Calibri" w:eastAsia="Times New Roman" w:hAnsi="Calibri" w:cs="Times New Roman"/>
                <w:color w:val="000000"/>
                <w:sz w:val="20"/>
                <w:lang w:eastAsia="en-GB"/>
              </w:rPr>
              <w:t>Evaluations</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document-link/category[@code='A07'] exists (if activity-status/@code is at least 3)?</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 - Review of project performance and evaluation document</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completion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29. </w:t>
            </w:r>
            <w:r w:rsidRPr="00EC70E0">
              <w:rPr>
                <w:rFonts w:ascii="Calibri" w:eastAsia="Times New Roman" w:hAnsi="Calibri" w:cs="Times New Roman"/>
                <w:color w:val="000000"/>
                <w:sz w:val="20"/>
                <w:lang w:eastAsia="en-GB"/>
              </w:rPr>
              <w:t>Objectives</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163019">
              <w:rPr>
                <w:rFonts w:ascii="Calibri" w:eastAsia="Times New Roman" w:hAnsi="Calibri" w:cs="Times New Roman"/>
                <w:color w:val="000000"/>
                <w:sz w:val="20"/>
                <w:lang w:eastAsia="en-GB"/>
              </w:rPr>
              <w:t>document-link/category[@code='A02'] or description[@type='2'] exists (if activity-status/@code is at least 2)?</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 - Objectives / Purpose of activity document</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30. </w:t>
            </w:r>
            <w:r w:rsidRPr="00EC70E0">
              <w:rPr>
                <w:rFonts w:ascii="Calibri" w:eastAsia="Times New Roman" w:hAnsi="Calibri" w:cs="Times New Roman"/>
                <w:color w:val="000000"/>
                <w:sz w:val="20"/>
                <w:lang w:eastAsia="en-GB"/>
              </w:rPr>
              <w:t>Budget Docs</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163019">
              <w:rPr>
                <w:rFonts w:ascii="Calibri" w:eastAsia="Times New Roman" w:hAnsi="Calibri" w:cs="Times New Roman"/>
                <w:color w:val="000000"/>
                <w:sz w:val="20"/>
                <w:lang w:eastAsia="en-GB"/>
              </w:rPr>
              <w:t>document-link/category[@code='A05'] exists (if activity-status/@code is at least 2 and (default-aid-type/@code or transaction/aid-type/@code is not A01))?</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 - Budget document</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 and aid type is not budget support</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lastRenderedPageBreak/>
              <w:t xml:space="preserve">31. </w:t>
            </w:r>
            <w:r w:rsidRPr="00EC70E0">
              <w:rPr>
                <w:rFonts w:ascii="Calibri" w:eastAsia="Times New Roman" w:hAnsi="Calibri" w:cs="Times New Roman"/>
                <w:color w:val="000000"/>
                <w:sz w:val="20"/>
                <w:lang w:eastAsia="en-GB"/>
              </w:rPr>
              <w:t>Contracts</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163019">
              <w:rPr>
                <w:rFonts w:ascii="Calibri" w:eastAsia="Times New Roman" w:hAnsi="Calibri" w:cs="Times New Roman"/>
                <w:color w:val="000000"/>
                <w:sz w:val="20"/>
                <w:lang w:eastAsia="en-GB"/>
              </w:rPr>
              <w:t>document-link/category[@code='A06'] or document-link/category[@code='A11'] exists (if activity-status/@code is at least 2 and (default-aid-type/@code or transaction/aid-type/@code is not A01))?</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 - Contract</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 and aid type is not budget support</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32. </w:t>
            </w:r>
            <w:r w:rsidRPr="00EC70E0">
              <w:rPr>
                <w:rFonts w:ascii="Calibri" w:eastAsia="Times New Roman" w:hAnsi="Calibri" w:cs="Times New Roman"/>
                <w:color w:val="000000"/>
                <w:sz w:val="20"/>
                <w:lang w:eastAsia="en-GB"/>
              </w:rPr>
              <w:t>Tenders</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163019">
              <w:rPr>
                <w:rFonts w:ascii="Calibri" w:eastAsia="Times New Roman" w:hAnsi="Calibri" w:cs="Times New Roman"/>
                <w:color w:val="000000"/>
                <w:sz w:val="20"/>
                <w:lang w:eastAsia="en-GB"/>
              </w:rPr>
              <w:t>document-link/category[@code='A10'] exists (if activity-status/@code is at least 2 and (default-aid-type</w:t>
            </w:r>
            <w:r w:rsidRPr="00163019">
              <w:rPr>
                <w:rFonts w:ascii="Calibri" w:eastAsia="Times New Roman" w:hAnsi="Calibri" w:cs="Times New Roman"/>
                <w:sz w:val="20"/>
                <w:lang w:eastAsia="en-GB"/>
              </w:rPr>
              <w:t>/@code or transaction/aid-type/@cod</w:t>
            </w:r>
            <w:r w:rsidRPr="00163019">
              <w:rPr>
                <w:rFonts w:ascii="Calibri" w:eastAsia="Times New Roman" w:hAnsi="Calibri" w:cs="Times New Roman"/>
                <w:color w:val="000000"/>
                <w:sz w:val="20"/>
                <w:lang w:eastAsia="en-GB"/>
              </w:rPr>
              <w:t>e is not A01))?</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 - Tender</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 and aid type is not budget support</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33. </w:t>
            </w:r>
            <w:r w:rsidRPr="00EC70E0">
              <w:rPr>
                <w:rFonts w:ascii="Calibri" w:eastAsia="Times New Roman" w:hAnsi="Calibri" w:cs="Times New Roman"/>
                <w:color w:val="000000"/>
                <w:sz w:val="20"/>
                <w:lang w:eastAsia="en-GB"/>
              </w:rPr>
              <w:t>Budget</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budget or planned-disbursement is available forward (if activity-status/@code is at least 2)?</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Budget</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33. </w:t>
            </w:r>
            <w:r w:rsidRPr="00EC70E0">
              <w:rPr>
                <w:rFonts w:ascii="Calibri" w:eastAsia="Times New Roman" w:hAnsi="Calibri" w:cs="Times New Roman"/>
                <w:color w:val="000000"/>
                <w:sz w:val="20"/>
                <w:lang w:eastAsia="en-GB"/>
              </w:rPr>
              <w:t>Budget</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budget or planned-disbursement is available forward by quarters (if activity-status/@code is at least 2)?</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Budget, by quarters</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34. </w:t>
            </w:r>
            <w:r w:rsidRPr="00EC70E0">
              <w:rPr>
                <w:rFonts w:ascii="Calibri" w:eastAsia="Times New Roman" w:hAnsi="Calibri" w:cs="Times New Roman"/>
                <w:color w:val="000000"/>
                <w:sz w:val="20"/>
                <w:lang w:eastAsia="en-GB"/>
              </w:rPr>
              <w:t>Commitments</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transaction/transaction-type[@code='C'] exists (if activity-status/@code is at least 2)?</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Commitments</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35. </w:t>
            </w:r>
            <w:r w:rsidRPr="00EC70E0">
              <w:rPr>
                <w:rFonts w:ascii="Calibri" w:eastAsia="Times New Roman" w:hAnsi="Calibri" w:cs="Times New Roman"/>
                <w:color w:val="000000"/>
                <w:sz w:val="20"/>
                <w:lang w:eastAsia="en-GB"/>
              </w:rPr>
              <w:t>Disbursements and expenditure</w:t>
            </w:r>
            <w:r>
              <w:rPr>
                <w:rFonts w:ascii="Calibri" w:eastAsia="Times New Roman" w:hAnsi="Calibri" w:cs="Times New Roman"/>
                <w:color w:val="000000"/>
                <w:sz w:val="20"/>
                <w:lang w:eastAsia="en-GB"/>
              </w:rPr>
              <w:t>s</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transaction/transaction-type[@code='D'] or transaction/transaction-type[@code='E'] exists (if activity-status/@code is at least 2)?</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Disbursements</w:t>
            </w:r>
            <w:r>
              <w:rPr>
                <w:rFonts w:ascii="Calibri" w:eastAsia="Times New Roman" w:hAnsi="Calibri" w:cs="Times New Roman"/>
                <w:color w:val="000000"/>
                <w:sz w:val="20"/>
                <w:lang w:eastAsia="en-GB"/>
              </w:rPr>
              <w:t xml:space="preserve"> and expenditures</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36. </w:t>
            </w:r>
            <w:r w:rsidRPr="00EC70E0">
              <w:rPr>
                <w:rFonts w:ascii="Calibri" w:eastAsia="Times New Roman" w:hAnsi="Calibri" w:cs="Times New Roman"/>
                <w:color w:val="000000"/>
                <w:sz w:val="20"/>
                <w:lang w:eastAsia="en-GB"/>
              </w:rPr>
              <w:t>Budget Identifier</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163019">
              <w:rPr>
                <w:rFonts w:ascii="Calibri" w:eastAsia="Times New Roman" w:hAnsi="Calibri" w:cs="Times New Roman"/>
                <w:color w:val="000000"/>
                <w:sz w:val="20"/>
                <w:lang w:eastAsia="en-GB"/>
              </w:rPr>
              <w:t>at least one country-budget-items[@vocabulary=""1""]/budget-item/@code is on list BudgetIdentifier (if activity-status/@code is at least 2 and (default-aid-type/@code or transaction/aid-</w:t>
            </w:r>
            <w:r>
              <w:rPr>
                <w:rFonts w:ascii="Calibri" w:eastAsia="Times New Roman" w:hAnsi="Calibri" w:cs="Times New Roman"/>
                <w:color w:val="000000"/>
                <w:sz w:val="20"/>
                <w:lang w:eastAsia="en-GB"/>
              </w:rPr>
              <w:t>type/@code is not A01 or A02))?</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Budget identifier, administrative/functional classification</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 and aid type is not budget support</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36. </w:t>
            </w:r>
            <w:r w:rsidRPr="00EC70E0">
              <w:rPr>
                <w:rFonts w:ascii="Calibri" w:eastAsia="Times New Roman" w:hAnsi="Calibri" w:cs="Times New Roman"/>
                <w:color w:val="000000"/>
                <w:sz w:val="20"/>
                <w:lang w:eastAsia="en-GB"/>
              </w:rPr>
              <w:t>Budget Identifier</w:t>
            </w:r>
          </w:p>
        </w:tc>
        <w:tc>
          <w:tcPr>
            <w:tcW w:w="2206"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163019">
              <w:rPr>
                <w:rFonts w:ascii="Calibri" w:eastAsia="Times New Roman" w:hAnsi="Calibri" w:cs="Times New Roman"/>
                <w:color w:val="000000"/>
                <w:sz w:val="20"/>
                <w:lang w:eastAsia="en-GB"/>
              </w:rPr>
              <w:t>capital-spend exists (if activity-status/@code is at least 2 and (default-aid-type/@code or transaction/aid-type/@code is not A01 or A02))?</w:t>
            </w:r>
          </w:p>
        </w:tc>
        <w:tc>
          <w:tcPr>
            <w:tcW w:w="1193"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Budget identifier, economic classification</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 and aid type is not budget support</w:t>
            </w:r>
          </w:p>
        </w:tc>
      </w:tr>
      <w:tr w:rsidR="009611A7" w:rsidRPr="00EC70E0" w:rsidTr="006D799E">
        <w:trPr>
          <w:cantSplit/>
          <w:trHeight w:val="300"/>
        </w:trPr>
        <w:tc>
          <w:tcPr>
            <w:tcW w:w="864" w:type="pct"/>
            <w:shd w:val="clear" w:color="auto" w:fill="auto"/>
            <w:noWrap/>
            <w:hideMark/>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37. </w:t>
            </w:r>
            <w:r w:rsidRPr="00EC70E0">
              <w:rPr>
                <w:rFonts w:ascii="Calibri" w:eastAsia="Times New Roman" w:hAnsi="Calibri" w:cs="Times New Roman"/>
                <w:color w:val="000000"/>
                <w:sz w:val="20"/>
                <w:lang w:eastAsia="en-GB"/>
              </w:rPr>
              <w:t>Results</w:t>
            </w:r>
          </w:p>
        </w:tc>
        <w:tc>
          <w:tcPr>
            <w:tcW w:w="2206" w:type="pct"/>
            <w:shd w:val="clear" w:color="auto" w:fill="auto"/>
            <w:noWrap/>
            <w:hideMark/>
          </w:tcPr>
          <w:p w:rsidR="009611A7" w:rsidRPr="003D1640" w:rsidRDefault="003D1640" w:rsidP="009611A7">
            <w:pPr>
              <w:spacing w:after="0" w:line="240" w:lineRule="auto"/>
              <w:rPr>
                <w:rFonts w:ascii="Calibri" w:eastAsia="Times New Roman" w:hAnsi="Calibri" w:cs="Times New Roman"/>
                <w:color w:val="000000"/>
                <w:sz w:val="20"/>
                <w:szCs w:val="20"/>
                <w:lang w:eastAsia="en-GB"/>
              </w:rPr>
            </w:pPr>
            <w:r w:rsidRPr="00AD6FCA">
              <w:rPr>
                <w:sz w:val="20"/>
                <w:szCs w:val="20"/>
              </w:rPr>
              <w:t>result exists (if activity-status/@code is at least 2)?</w:t>
            </w:r>
            <w:r w:rsidRPr="00AD6FCA">
              <w:rPr>
                <w:sz w:val="20"/>
                <w:szCs w:val="20"/>
              </w:rPr>
              <w:br/>
            </w:r>
          </w:p>
        </w:tc>
        <w:tc>
          <w:tcPr>
            <w:tcW w:w="1193" w:type="pct"/>
            <w:shd w:val="clear" w:color="auto" w:fill="auto"/>
            <w:noWrap/>
            <w:hideMark/>
          </w:tcPr>
          <w:p w:rsidR="009611A7" w:rsidRPr="00EC70E0" w:rsidRDefault="003D1640"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 Result</w:t>
            </w:r>
          </w:p>
        </w:tc>
        <w:tc>
          <w:tcPr>
            <w:tcW w:w="737" w:type="pct"/>
          </w:tcPr>
          <w:p w:rsidR="009611A7" w:rsidRPr="00EC70E0" w:rsidRDefault="009611A7" w:rsidP="009611A7">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3D1640" w:rsidRPr="00EC70E0" w:rsidTr="006D799E">
        <w:trPr>
          <w:cantSplit/>
          <w:trHeight w:val="300"/>
        </w:trPr>
        <w:tc>
          <w:tcPr>
            <w:tcW w:w="864" w:type="pct"/>
            <w:shd w:val="clear" w:color="auto" w:fill="auto"/>
            <w:noWrap/>
          </w:tcPr>
          <w:p w:rsidR="003D1640" w:rsidRDefault="003D1640" w:rsidP="003D1640">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37. </w:t>
            </w:r>
            <w:r w:rsidRPr="00EC70E0">
              <w:rPr>
                <w:rFonts w:ascii="Calibri" w:eastAsia="Times New Roman" w:hAnsi="Calibri" w:cs="Times New Roman"/>
                <w:color w:val="000000"/>
                <w:sz w:val="20"/>
                <w:lang w:eastAsia="en-GB"/>
              </w:rPr>
              <w:t>Results</w:t>
            </w:r>
          </w:p>
        </w:tc>
        <w:tc>
          <w:tcPr>
            <w:tcW w:w="2206" w:type="pct"/>
            <w:shd w:val="clear" w:color="auto" w:fill="auto"/>
            <w:noWrap/>
          </w:tcPr>
          <w:p w:rsidR="003D1640" w:rsidRPr="003D1640" w:rsidRDefault="003D1640" w:rsidP="003D1640">
            <w:pPr>
              <w:spacing w:after="0" w:line="240" w:lineRule="auto"/>
              <w:rPr>
                <w:rFonts w:ascii="Calibri" w:eastAsia="Times New Roman" w:hAnsi="Calibri" w:cs="Times New Roman"/>
                <w:color w:val="000000"/>
                <w:sz w:val="20"/>
                <w:szCs w:val="20"/>
                <w:lang w:eastAsia="en-GB"/>
              </w:rPr>
            </w:pPr>
            <w:r w:rsidRPr="00AD6FCA">
              <w:rPr>
                <w:sz w:val="20"/>
                <w:szCs w:val="20"/>
              </w:rPr>
              <w:t>document-link/category[@code='A08'] exists (if activity-status/@code is at least 2)?</w:t>
            </w:r>
          </w:p>
        </w:tc>
        <w:tc>
          <w:tcPr>
            <w:tcW w:w="1193" w:type="pct"/>
            <w:shd w:val="clear" w:color="auto" w:fill="auto"/>
            <w:noWrap/>
          </w:tcPr>
          <w:p w:rsidR="003D1640" w:rsidRPr="00EC70E0" w:rsidRDefault="003D1640" w:rsidP="003D1640">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 - Results, outcomes and outputs document</w:t>
            </w:r>
          </w:p>
        </w:tc>
        <w:tc>
          <w:tcPr>
            <w:tcW w:w="737" w:type="pct"/>
          </w:tcPr>
          <w:p w:rsidR="003D1640" w:rsidRDefault="003D1640" w:rsidP="003D1640">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3D1640" w:rsidRPr="00EC70E0" w:rsidTr="006D799E">
        <w:trPr>
          <w:cantSplit/>
          <w:trHeight w:val="300"/>
        </w:trPr>
        <w:tc>
          <w:tcPr>
            <w:tcW w:w="864" w:type="pct"/>
            <w:shd w:val="clear" w:color="auto" w:fill="auto"/>
            <w:noWrap/>
            <w:hideMark/>
          </w:tcPr>
          <w:p w:rsidR="003D1640" w:rsidRPr="00EC70E0" w:rsidRDefault="003D1640" w:rsidP="003D1640">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38. </w:t>
            </w:r>
            <w:r w:rsidRPr="00EC70E0">
              <w:rPr>
                <w:rFonts w:ascii="Calibri" w:eastAsia="Times New Roman" w:hAnsi="Calibri" w:cs="Times New Roman"/>
                <w:color w:val="000000"/>
                <w:sz w:val="20"/>
                <w:lang w:eastAsia="en-GB"/>
              </w:rPr>
              <w:t>Impact Appraisals</w:t>
            </w:r>
          </w:p>
        </w:tc>
        <w:tc>
          <w:tcPr>
            <w:tcW w:w="2206" w:type="pct"/>
            <w:shd w:val="clear" w:color="auto" w:fill="auto"/>
            <w:noWrap/>
            <w:hideMark/>
          </w:tcPr>
          <w:p w:rsidR="003D1640" w:rsidRPr="00EC70E0" w:rsidRDefault="003D1640" w:rsidP="003D1640">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document-link/category[@code='A01'] exists (if activity-status/@code is at least 2)?</w:t>
            </w:r>
          </w:p>
        </w:tc>
        <w:tc>
          <w:tcPr>
            <w:tcW w:w="1193" w:type="pct"/>
            <w:shd w:val="clear" w:color="auto" w:fill="auto"/>
            <w:noWrap/>
            <w:hideMark/>
          </w:tcPr>
          <w:p w:rsidR="003D1640" w:rsidRPr="00EC70E0" w:rsidRDefault="003D1640" w:rsidP="003D1640">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Document - Pre- and post-project impact appraisal</w:t>
            </w:r>
          </w:p>
        </w:tc>
        <w:tc>
          <w:tcPr>
            <w:tcW w:w="737" w:type="pct"/>
          </w:tcPr>
          <w:p w:rsidR="003D1640" w:rsidRPr="00EC70E0" w:rsidRDefault="003D1640" w:rsidP="003D1640">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At least implementation</w:t>
            </w:r>
          </w:p>
        </w:tc>
      </w:tr>
      <w:tr w:rsidR="003D1640" w:rsidRPr="00EC70E0" w:rsidTr="006D799E">
        <w:trPr>
          <w:cantSplit/>
          <w:trHeight w:val="300"/>
        </w:trPr>
        <w:tc>
          <w:tcPr>
            <w:tcW w:w="864" w:type="pct"/>
            <w:shd w:val="clear" w:color="auto" w:fill="auto"/>
            <w:noWrap/>
            <w:hideMark/>
          </w:tcPr>
          <w:p w:rsidR="003D1640" w:rsidRPr="00EC70E0" w:rsidRDefault="003D1640" w:rsidP="003D1640">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39. </w:t>
            </w:r>
            <w:r w:rsidRPr="00EC70E0">
              <w:rPr>
                <w:rFonts w:ascii="Calibri" w:eastAsia="Times New Roman" w:hAnsi="Calibri" w:cs="Times New Roman"/>
                <w:color w:val="000000"/>
                <w:sz w:val="20"/>
                <w:lang w:eastAsia="en-GB"/>
              </w:rPr>
              <w:t>Conditions</w:t>
            </w:r>
          </w:p>
        </w:tc>
        <w:tc>
          <w:tcPr>
            <w:tcW w:w="2206" w:type="pct"/>
            <w:shd w:val="clear" w:color="auto" w:fill="auto"/>
            <w:noWrap/>
            <w:hideMark/>
          </w:tcPr>
          <w:p w:rsidR="003D1640" w:rsidRPr="00EC70E0" w:rsidRDefault="003D1640" w:rsidP="007E3DDA">
            <w:pPr>
              <w:spacing w:after="0" w:line="240" w:lineRule="auto"/>
              <w:rPr>
                <w:rFonts w:ascii="Calibri" w:eastAsia="Times New Roman" w:hAnsi="Calibri" w:cs="Times New Roman"/>
                <w:color w:val="000000"/>
                <w:sz w:val="20"/>
                <w:lang w:eastAsia="en-GB"/>
              </w:rPr>
            </w:pPr>
            <w:r w:rsidRPr="003D1640">
              <w:rPr>
                <w:rFonts w:ascii="Calibri" w:eastAsia="Times New Roman" w:hAnsi="Calibri" w:cs="Times New Roman"/>
                <w:color w:val="000000"/>
                <w:sz w:val="20"/>
                <w:lang w:eastAsia="en-GB"/>
              </w:rPr>
              <w:t>conditions exists (if activity-status/@code is at least 2</w:t>
            </w:r>
            <w:r w:rsidR="007E3DDA">
              <w:rPr>
                <w:rFonts w:ascii="Calibri" w:eastAsia="Times New Roman" w:hAnsi="Calibri" w:cs="Times New Roman"/>
                <w:color w:val="000000"/>
                <w:sz w:val="20"/>
                <w:lang w:eastAsia="en-GB"/>
              </w:rPr>
              <w:t>)?</w:t>
            </w:r>
            <w:r w:rsidRPr="003D1640">
              <w:rPr>
                <w:rFonts w:ascii="Calibri" w:eastAsia="Times New Roman" w:hAnsi="Calibri" w:cs="Times New Roman"/>
                <w:color w:val="000000"/>
                <w:sz w:val="20"/>
                <w:lang w:eastAsia="en-GB"/>
              </w:rPr>
              <w:t xml:space="preserve"> </w:t>
            </w:r>
          </w:p>
        </w:tc>
        <w:tc>
          <w:tcPr>
            <w:tcW w:w="1193" w:type="pct"/>
            <w:shd w:val="clear" w:color="auto" w:fill="auto"/>
            <w:noWrap/>
            <w:hideMark/>
          </w:tcPr>
          <w:p w:rsidR="003D1640" w:rsidRPr="00EC70E0" w:rsidRDefault="003D1640" w:rsidP="003D1640">
            <w:pPr>
              <w:spacing w:after="0" w:line="240" w:lineRule="auto"/>
              <w:rPr>
                <w:rFonts w:ascii="Calibri" w:eastAsia="Times New Roman" w:hAnsi="Calibri" w:cs="Times New Roman"/>
                <w:color w:val="000000"/>
                <w:sz w:val="20"/>
                <w:lang w:eastAsia="en-GB"/>
              </w:rPr>
            </w:pPr>
            <w:r w:rsidRPr="00EC70E0">
              <w:rPr>
                <w:rFonts w:ascii="Calibri" w:eastAsia="Times New Roman" w:hAnsi="Calibri" w:cs="Times New Roman"/>
                <w:color w:val="000000"/>
                <w:sz w:val="20"/>
                <w:lang w:eastAsia="en-GB"/>
              </w:rPr>
              <w:t>Conditions</w:t>
            </w:r>
          </w:p>
        </w:tc>
        <w:tc>
          <w:tcPr>
            <w:tcW w:w="737" w:type="pct"/>
          </w:tcPr>
          <w:p w:rsidR="003D1640" w:rsidRPr="00EC70E0" w:rsidRDefault="003D1640" w:rsidP="007E3DDA">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At least implementation </w:t>
            </w:r>
          </w:p>
        </w:tc>
      </w:tr>
      <w:tr w:rsidR="003D1640" w:rsidRPr="00EC70E0" w:rsidTr="006D799E">
        <w:trPr>
          <w:cantSplit/>
          <w:trHeight w:val="300"/>
        </w:trPr>
        <w:tc>
          <w:tcPr>
            <w:tcW w:w="864" w:type="pct"/>
            <w:shd w:val="clear" w:color="auto" w:fill="auto"/>
            <w:noWrap/>
          </w:tcPr>
          <w:p w:rsidR="003D1640" w:rsidRDefault="003D1640" w:rsidP="003D1640">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39. </w:t>
            </w:r>
            <w:r w:rsidRPr="00EC70E0">
              <w:rPr>
                <w:rFonts w:ascii="Calibri" w:eastAsia="Times New Roman" w:hAnsi="Calibri" w:cs="Times New Roman"/>
                <w:color w:val="000000"/>
                <w:sz w:val="20"/>
                <w:lang w:eastAsia="en-GB"/>
              </w:rPr>
              <w:t>Conditions</w:t>
            </w:r>
          </w:p>
        </w:tc>
        <w:tc>
          <w:tcPr>
            <w:tcW w:w="2206" w:type="pct"/>
            <w:shd w:val="clear" w:color="auto" w:fill="auto"/>
            <w:noWrap/>
          </w:tcPr>
          <w:p w:rsidR="003D1640" w:rsidRPr="00EC70E0" w:rsidRDefault="003D1640" w:rsidP="007E3DDA">
            <w:pPr>
              <w:spacing w:after="0" w:line="240" w:lineRule="auto"/>
              <w:rPr>
                <w:rFonts w:ascii="Calibri" w:eastAsia="Times New Roman" w:hAnsi="Calibri" w:cs="Times New Roman"/>
                <w:color w:val="000000"/>
                <w:sz w:val="20"/>
                <w:lang w:eastAsia="en-GB"/>
              </w:rPr>
            </w:pPr>
            <w:r w:rsidRPr="003D1640">
              <w:rPr>
                <w:rFonts w:ascii="Calibri" w:eastAsia="Times New Roman" w:hAnsi="Calibri" w:cs="Times New Roman"/>
                <w:color w:val="000000"/>
                <w:sz w:val="20"/>
                <w:lang w:eastAsia="en-GB"/>
              </w:rPr>
              <w:t>document-link/category[@code='A04'] exists (if activity-status/@code is at least 2)?</w:t>
            </w:r>
          </w:p>
        </w:tc>
        <w:tc>
          <w:tcPr>
            <w:tcW w:w="1193" w:type="pct"/>
            <w:shd w:val="clear" w:color="auto" w:fill="auto"/>
            <w:noWrap/>
          </w:tcPr>
          <w:p w:rsidR="003D1640" w:rsidRPr="00EC70E0" w:rsidRDefault="003D1640" w:rsidP="003D1640">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Conditions document</w:t>
            </w:r>
          </w:p>
        </w:tc>
        <w:tc>
          <w:tcPr>
            <w:tcW w:w="737" w:type="pct"/>
          </w:tcPr>
          <w:p w:rsidR="003D1640" w:rsidRDefault="003D1640" w:rsidP="007E3DDA">
            <w:pPr>
              <w:spacing w:after="0" w:line="240" w:lineRule="auto"/>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 xml:space="preserve">At least implementation </w:t>
            </w:r>
          </w:p>
        </w:tc>
      </w:tr>
    </w:tbl>
    <w:p w:rsidR="009611A7" w:rsidRDefault="009611A7" w:rsidP="009611A7">
      <w:pPr>
        <w:spacing w:after="0" w:line="240" w:lineRule="auto"/>
        <w:rPr>
          <w:rFonts w:ascii="Cambria" w:eastAsia="Calibri" w:hAnsi="Cambria" w:cs="Times New Roman"/>
          <w:b/>
          <w:bCs/>
          <w:color w:val="4F81BD"/>
        </w:rPr>
      </w:pPr>
    </w:p>
    <w:p w:rsidR="009611A7" w:rsidRDefault="009611A7" w:rsidP="009611A7">
      <w:pPr>
        <w:spacing w:after="0" w:line="240" w:lineRule="auto"/>
        <w:rPr>
          <w:rFonts w:ascii="Cambria" w:eastAsia="Calibri" w:hAnsi="Cambria" w:cs="Times New Roman"/>
          <w:b/>
          <w:bCs/>
          <w:color w:val="4F81BD"/>
        </w:rPr>
      </w:pPr>
      <w:r w:rsidRPr="00FE73FF">
        <w:rPr>
          <w:rFonts w:ascii="Cambria" w:eastAsia="Calibri" w:hAnsi="Cambria" w:cs="Times New Roman"/>
          <w:b/>
          <w:bCs/>
          <w:color w:val="4F81BD"/>
        </w:rPr>
        <w:t>Test on indicators 8, 9 and 10</w:t>
      </w:r>
    </w:p>
    <w:p w:rsidR="009611A7" w:rsidRDefault="009611A7" w:rsidP="009611A7">
      <w:pPr>
        <w:pStyle w:val="NoSpacing"/>
        <w:rPr>
          <w:rFonts w:eastAsia="Calibri"/>
        </w:rPr>
      </w:pPr>
      <w:r>
        <w:rPr>
          <w:rFonts w:eastAsia="Calibri"/>
        </w:rPr>
        <w:t xml:space="preserve">The following tests were more complicated to design because they rely on comparing text strings or they require cross-referencing with other IATI fields. Publish What You Fund welcomes feedback on these tests. </w:t>
      </w:r>
    </w:p>
    <w:p w:rsidR="009611A7" w:rsidRPr="00FE73FF" w:rsidRDefault="009611A7" w:rsidP="009611A7">
      <w:pPr>
        <w:spacing w:after="0" w:line="240" w:lineRule="auto"/>
        <w:rPr>
          <w:rFonts w:ascii="Cambria" w:eastAsia="Calibri" w:hAnsi="Cambria" w:cs="Times New Roman"/>
          <w:b/>
          <w:bCs/>
          <w:color w:val="4F81BD"/>
        </w:rPr>
      </w:pPr>
    </w:p>
    <w:p w:rsidR="009611A7" w:rsidRDefault="009611A7" w:rsidP="009611A7">
      <w:pPr>
        <w:spacing w:after="0" w:line="240" w:lineRule="auto"/>
      </w:pPr>
      <w:r w:rsidRPr="009F3432">
        <w:rPr>
          <w:b/>
        </w:rPr>
        <w:t>Country strateg</w:t>
      </w:r>
      <w:r>
        <w:rPr>
          <w:b/>
        </w:rPr>
        <w:t>ies (indicator 8)</w:t>
      </w:r>
      <w:r>
        <w:t xml:space="preserve">: For each recipient country for which there is a current budget, we look to see whether a country strategy paper is published. Given the way that the IATI standard is currently structured in this area, the tests are somewhat complicated in order to try and capture as much information as possible. </w:t>
      </w:r>
    </w:p>
    <w:p w:rsidR="009611A7" w:rsidRDefault="009611A7" w:rsidP="009611A7">
      <w:pPr>
        <w:spacing w:after="0" w:line="240" w:lineRule="auto"/>
      </w:pPr>
    </w:p>
    <w:p w:rsidR="009611A7" w:rsidRDefault="009611A7" w:rsidP="009611A7">
      <w:pPr>
        <w:spacing w:after="0" w:line="240" w:lineRule="auto"/>
      </w:pPr>
      <w:r>
        <w:lastRenderedPageBreak/>
        <w:t>For each country, we look in the title of each country strategy paper for:</w:t>
      </w:r>
      <w:r>
        <w:br/>
        <w:t>a) the name of the country, using the same name as provided in the recipient country budget;</w:t>
      </w:r>
    </w:p>
    <w:p w:rsidR="009611A7" w:rsidRDefault="009611A7" w:rsidP="009611A7">
      <w:pPr>
        <w:spacing w:after="0" w:line="240" w:lineRule="auto"/>
      </w:pPr>
      <w:r>
        <w:t>b) the English language name of the country, if the ISO country codes list is used for reporting the country budget.</w:t>
      </w:r>
    </w:p>
    <w:p w:rsidR="009611A7" w:rsidRDefault="009611A7" w:rsidP="009611A7">
      <w:pPr>
        <w:spacing w:after="0" w:line="240" w:lineRule="auto"/>
      </w:pPr>
    </w:p>
    <w:p w:rsidR="009611A7" w:rsidRDefault="009611A7" w:rsidP="009611A7">
      <w:pPr>
        <w:spacing w:after="0" w:line="240" w:lineRule="auto"/>
      </w:pPr>
      <w:r>
        <w:t xml:space="preserve">Where a country strategy paper uses in its title a name that is not used in the recipient country budget, and that is also not a standard version (e.g. Viet Nam vs Vietnam), the tests may on occasions fail to pick up those countries. The tests appear to be picking up almost all countries, and in 2014, manual checks </w:t>
      </w:r>
      <w:r w:rsidR="006B3C48">
        <w:t>are</w:t>
      </w:r>
      <w:r>
        <w:t xml:space="preserve"> </w:t>
      </w:r>
      <w:r w:rsidR="00C81EEA">
        <w:t xml:space="preserve">conducted </w:t>
      </w:r>
      <w:r>
        <w:t>to ensure this is the case to the extent possible. We will be engaging with the IATI Technical Advisory Group on how to improve the Standard so that country strategy papers can be better coded in the future.</w:t>
      </w:r>
    </w:p>
    <w:p w:rsidR="009611A7" w:rsidRDefault="009611A7" w:rsidP="009611A7">
      <w:pPr>
        <w:spacing w:after="0" w:line="240" w:lineRule="auto"/>
      </w:pPr>
    </w:p>
    <w:p w:rsidR="009611A7" w:rsidRDefault="009611A7" w:rsidP="009611A7">
      <w:pPr>
        <w:spacing w:after="0" w:line="240" w:lineRule="auto"/>
      </w:pPr>
      <w:r w:rsidRPr="009F3432">
        <w:rPr>
          <w:b/>
        </w:rPr>
        <w:t>Total budget</w:t>
      </w:r>
      <w:r>
        <w:rPr>
          <w:b/>
        </w:rPr>
        <w:t xml:space="preserve"> (indicator 9)</w:t>
      </w:r>
      <w:r>
        <w:t>: We look to see whether there is a total budget one, two and three years forward. The first year must have an end date of at least 184 days forward from the last date on which the tests are run.</w:t>
      </w:r>
      <w:r>
        <w:rPr>
          <w:rStyle w:val="FootnoteReference"/>
        </w:rPr>
        <w:footnoteReference w:id="25"/>
      </w:r>
      <w:r>
        <w:t xml:space="preserve"> The second year must be 365 days later, and the third year a further 730 days forward. </w:t>
      </w:r>
      <w:r w:rsidRPr="002A5DEC">
        <w:t>The points available are distributed equally among the three years, so one year forward gets 33.33 points; two years forward gets 66.66 points; and three years gets 100 points.</w:t>
      </w:r>
    </w:p>
    <w:p w:rsidR="009611A7" w:rsidRDefault="009611A7" w:rsidP="009611A7">
      <w:pPr>
        <w:spacing w:after="0" w:line="240" w:lineRule="auto"/>
      </w:pPr>
    </w:p>
    <w:p w:rsidR="009611A7" w:rsidRDefault="009611A7" w:rsidP="009611A7">
      <w:pPr>
        <w:spacing w:after="0" w:line="240" w:lineRule="auto"/>
      </w:pPr>
      <w:r w:rsidRPr="009F3432">
        <w:rPr>
          <w:b/>
        </w:rPr>
        <w:t>Disaggregated budget</w:t>
      </w:r>
      <w:r>
        <w:rPr>
          <w:b/>
        </w:rPr>
        <w:t xml:space="preserve"> (indicator 10)</w:t>
      </w:r>
      <w:r>
        <w:t>: Disaggregated budgets are scored for each of the three years ahead for which they are available. This is assessed as the value of all recipient country budgets available for the relevant year as a percentage of 50% of the average of Country Programmable Aid (CPA)</w:t>
      </w:r>
      <w:r>
        <w:rPr>
          <w:rStyle w:val="FootnoteReference"/>
        </w:rPr>
        <w:footnoteReference w:id="26"/>
      </w:r>
      <w:r>
        <w:t>, multiplied by the total budget for the relevant year. If the relevant year is not available, the current year is used instead. We used the same fraction for all donors (21.36%). As above, the total points available are derived from an average of the points received in each of the three years.</w:t>
      </w:r>
    </w:p>
    <w:p w:rsidR="009611A7" w:rsidRDefault="009611A7" w:rsidP="009611A7">
      <w:pPr>
        <w:spacing w:after="0" w:line="240" w:lineRule="auto"/>
      </w:pPr>
    </w:p>
    <w:p w:rsidR="009611A7" w:rsidRDefault="009611A7" w:rsidP="009611A7">
      <w:pPr>
        <w:spacing w:after="0" w:line="240" w:lineRule="auto"/>
      </w:pPr>
      <w:r>
        <w:t>For example, total budget: USD 1,000</w:t>
      </w:r>
    </w:p>
    <w:p w:rsidR="009611A7" w:rsidRDefault="009611A7" w:rsidP="009611A7">
      <w:pPr>
        <w:spacing w:after="0" w:line="240" w:lineRule="auto"/>
      </w:pPr>
      <w:r>
        <w:t>Total country spend per year required for getting maximum possible points for each year: USD 213.60 (i.e. 21.36% of 1</w:t>
      </w:r>
      <w:r w:rsidR="00745BF7">
        <w:t>,</w:t>
      </w:r>
      <w:r>
        <w:t>000)</w:t>
      </w:r>
    </w:p>
    <w:p w:rsidR="009611A7" w:rsidRPr="001E57D2" w:rsidRDefault="009611A7" w:rsidP="009611A7">
      <w:pPr>
        <w:spacing w:after="0" w:line="240" w:lineRule="auto"/>
        <w:rPr>
          <w:sz w:val="20"/>
          <w:szCs w:val="20"/>
        </w:rPr>
      </w:pPr>
    </w:p>
    <w:p w:rsidR="009611A7" w:rsidRDefault="009611A7" w:rsidP="009611A7">
      <w:pPr>
        <w:spacing w:after="0" w:line="240" w:lineRule="auto"/>
      </w:pPr>
      <w:r>
        <w:t>Total country budgets in Year 1: USD 300 =&gt; over USD 213.60, so 100 points for year 1</w:t>
      </w:r>
    </w:p>
    <w:p w:rsidR="009611A7" w:rsidRDefault="009611A7" w:rsidP="009611A7">
      <w:pPr>
        <w:spacing w:after="0" w:line="240" w:lineRule="auto"/>
      </w:pPr>
      <w:r>
        <w:t>Total country budgets in Year 2: USD 150 =&gt; 70% of USD 213.60, so 70 points for year 2</w:t>
      </w:r>
    </w:p>
    <w:p w:rsidR="009611A7" w:rsidRDefault="009611A7" w:rsidP="009611A7">
      <w:pPr>
        <w:spacing w:after="0" w:line="240" w:lineRule="auto"/>
      </w:pPr>
      <w:r>
        <w:t>Total country budgets in Year 3: USD 0 =&gt; 0% of USD 213.60, so 0 for year 3</w:t>
      </w:r>
    </w:p>
    <w:p w:rsidR="009611A7" w:rsidRDefault="009611A7" w:rsidP="009611A7">
      <w:pPr>
        <w:spacing w:after="0" w:line="240" w:lineRule="auto"/>
      </w:pPr>
      <w:r w:rsidRPr="00D34B07">
        <w:rPr>
          <w:b/>
        </w:rPr>
        <w:t>Total data quality score</w:t>
      </w:r>
      <w:r>
        <w:t>: (100+70+0)/3 = 57</w:t>
      </w:r>
    </w:p>
    <w:p w:rsidR="009611A7" w:rsidRDefault="009611A7" w:rsidP="009611A7">
      <w:pPr>
        <w:spacing w:after="0" w:line="240" w:lineRule="auto"/>
      </w:pPr>
    </w:p>
    <w:p w:rsidR="009611A7" w:rsidRDefault="009611A7" w:rsidP="009611A7">
      <w:pPr>
        <w:spacing w:after="0" w:line="240" w:lineRule="auto"/>
        <w:rPr>
          <w:rFonts w:ascii="Cambria" w:eastAsia="Calibri" w:hAnsi="Cambria" w:cs="Times New Roman"/>
          <w:b/>
          <w:bCs/>
          <w:color w:val="4F81BD"/>
        </w:rPr>
      </w:pPr>
      <w:r>
        <w:rPr>
          <w:rFonts w:ascii="Cambria" w:eastAsia="Calibri" w:hAnsi="Cambria" w:cs="Times New Roman"/>
          <w:b/>
          <w:bCs/>
          <w:color w:val="4F81BD"/>
        </w:rPr>
        <w:t>Current data test</w:t>
      </w:r>
    </w:p>
    <w:p w:rsidR="009611A7" w:rsidRDefault="009611A7" w:rsidP="009611A7">
      <w:pPr>
        <w:spacing w:after="0" w:line="240" w:lineRule="auto"/>
      </w:pPr>
      <w:r>
        <w:t xml:space="preserve">The tests above are only run against current data for the purposes of the </w:t>
      </w:r>
      <w:r w:rsidR="002A5DEC">
        <w:t>ATI</w:t>
      </w:r>
      <w:r>
        <w:t>. Current data is defined as:</w:t>
      </w:r>
    </w:p>
    <w:p w:rsidR="009611A7" w:rsidRDefault="009611A7" w:rsidP="009611A7">
      <w:pPr>
        <w:pStyle w:val="ListParagraph"/>
        <w:numPr>
          <w:ilvl w:val="0"/>
          <w:numId w:val="46"/>
        </w:numPr>
        <w:spacing w:after="0" w:line="240" w:lineRule="auto"/>
      </w:pPr>
      <w:r>
        <w:t>ongoing activities</w:t>
      </w:r>
      <w:r w:rsidR="006D799E">
        <w:t>;</w:t>
      </w:r>
      <w:r>
        <w:t xml:space="preserve"> or</w:t>
      </w:r>
    </w:p>
    <w:p w:rsidR="009611A7" w:rsidRDefault="009611A7" w:rsidP="009611A7">
      <w:pPr>
        <w:pStyle w:val="ListParagraph"/>
        <w:numPr>
          <w:ilvl w:val="0"/>
          <w:numId w:val="46"/>
        </w:numPr>
        <w:spacing w:after="0" w:line="240" w:lineRule="auto"/>
      </w:pPr>
      <w:r>
        <w:t>planned end dates within the previous 12 months</w:t>
      </w:r>
      <w:r w:rsidR="006D799E">
        <w:t>;</w:t>
      </w:r>
      <w:r>
        <w:t xml:space="preserve"> or</w:t>
      </w:r>
    </w:p>
    <w:p w:rsidR="009611A7" w:rsidRDefault="009611A7" w:rsidP="009611A7">
      <w:pPr>
        <w:pStyle w:val="ListParagraph"/>
        <w:numPr>
          <w:ilvl w:val="0"/>
          <w:numId w:val="46"/>
        </w:numPr>
        <w:spacing w:after="0" w:line="240" w:lineRule="auto"/>
      </w:pPr>
      <w:r>
        <w:t>actual end dates within the previous 12 months</w:t>
      </w:r>
      <w:r w:rsidR="006D799E">
        <w:t>;</w:t>
      </w:r>
      <w:r>
        <w:t xml:space="preserve"> or</w:t>
      </w:r>
    </w:p>
    <w:p w:rsidR="009611A7" w:rsidRDefault="00A7066D" w:rsidP="009611A7">
      <w:pPr>
        <w:pStyle w:val="ListParagraph"/>
        <w:numPr>
          <w:ilvl w:val="0"/>
          <w:numId w:val="46"/>
        </w:numPr>
        <w:spacing w:after="0" w:line="240" w:lineRule="auto"/>
      </w:pPr>
      <w:r>
        <w:t xml:space="preserve">disbursement or expenditure </w:t>
      </w:r>
      <w:r w:rsidR="009611A7">
        <w:t>transaction dates within the previous 12 months</w:t>
      </w:r>
      <w:r w:rsidR="006D799E">
        <w:t>.</w:t>
      </w:r>
    </w:p>
    <w:p w:rsidR="009611A7" w:rsidRDefault="009611A7" w:rsidP="009611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The test expression used is:</w:t>
      </w:r>
    </w:p>
    <w:p w:rsidR="009611A7" w:rsidRPr="00676170" w:rsidRDefault="009611A7" w:rsidP="009611A7">
      <w:pPr>
        <w:spacing w:after="0" w:line="240" w:lineRule="auto"/>
        <w:rPr>
          <w:rFonts w:ascii="Calibri" w:eastAsia="Times New Roman" w:hAnsi="Calibri" w:cs="Times New Roman"/>
          <w:color w:val="000000"/>
          <w:lang w:eastAsia="en-GB"/>
        </w:rPr>
      </w:pPr>
      <w:r w:rsidRPr="00EC70E0">
        <w:rPr>
          <w:rFonts w:ascii="Calibri" w:eastAsia="Times New Roman" w:hAnsi="Calibri" w:cs="Times New Roman"/>
          <w:color w:val="000000"/>
          <w:lang w:eastAsia="en-GB"/>
        </w:rPr>
        <w:t>activity-date[@type='end-planned']/@iso-date or activity-date[@type='end-planned']/text() or</w:t>
      </w:r>
      <w:r>
        <w:rPr>
          <w:rFonts w:ascii="Calibri" w:eastAsia="Times New Roman" w:hAnsi="Calibri" w:cs="Times New Roman"/>
          <w:color w:val="000000"/>
          <w:lang w:eastAsia="en-GB"/>
        </w:rPr>
        <w:t xml:space="preserve"> </w:t>
      </w:r>
      <w:r w:rsidRPr="00EC70E0">
        <w:rPr>
          <w:rFonts w:ascii="Calibri" w:eastAsia="Times New Roman" w:hAnsi="Calibri" w:cs="Times New Roman"/>
          <w:color w:val="000000"/>
          <w:lang w:eastAsia="en-GB"/>
        </w:rPr>
        <w:t>activity-date[@type='end-actual']/@iso-date or activity-date[@type='end-actual']/text() or</w:t>
      </w:r>
      <w:r>
        <w:rPr>
          <w:rFonts w:ascii="Calibri" w:eastAsia="Times New Roman" w:hAnsi="Calibri" w:cs="Times New Roman"/>
          <w:color w:val="000000"/>
          <w:lang w:eastAsia="en-GB"/>
        </w:rPr>
        <w:t xml:space="preserve"> </w:t>
      </w:r>
      <w:r w:rsidRPr="00EC70E0">
        <w:rPr>
          <w:rFonts w:ascii="Calibri" w:eastAsia="Times New Roman" w:hAnsi="Calibri" w:cs="Times New Roman"/>
          <w:color w:val="000000"/>
          <w:lang w:eastAsia="en-GB"/>
        </w:rPr>
        <w:t>transaction-date/@iso-date (for any transaction[transaction-type/@code='D']|transaction[transaction-type/@code='E']) is less than 13 months ago?</w:t>
      </w:r>
    </w:p>
    <w:p w:rsidR="009611A7" w:rsidRDefault="009611A7" w:rsidP="009611A7">
      <w:pPr>
        <w:spacing w:after="0" w:line="240" w:lineRule="auto"/>
      </w:pPr>
    </w:p>
    <w:p w:rsidR="009611A7" w:rsidRDefault="009611A7" w:rsidP="009611A7">
      <w:pPr>
        <w:spacing w:after="0" w:line="240" w:lineRule="auto"/>
        <w:rPr>
          <w:rFonts w:ascii="Cambria" w:eastAsia="Calibri" w:hAnsi="Cambria" w:cs="Times New Roman"/>
          <w:b/>
          <w:bCs/>
          <w:color w:val="4F81BD"/>
        </w:rPr>
      </w:pPr>
      <w:r>
        <w:rPr>
          <w:rFonts w:ascii="Cambria" w:eastAsia="Calibri" w:hAnsi="Cambria" w:cs="Times New Roman"/>
          <w:b/>
          <w:bCs/>
          <w:color w:val="4F81BD"/>
        </w:rPr>
        <w:t>Frequency test</w:t>
      </w:r>
    </w:p>
    <w:p w:rsidR="002D7EB4" w:rsidRDefault="002D7EB4" w:rsidP="002D7EB4">
      <w:pPr>
        <w:spacing w:after="0" w:line="240" w:lineRule="auto"/>
        <w:rPr>
          <w:rFonts w:cs="Times New Roman"/>
          <w:bCs/>
          <w:kern w:val="36"/>
        </w:rPr>
      </w:pPr>
      <w:r w:rsidRPr="003D1EEA">
        <w:t xml:space="preserve">The frequency of publication is calculated based on the number of </w:t>
      </w:r>
      <w:r>
        <w:t>months in which there are update</w:t>
      </w:r>
      <w:r w:rsidRPr="003D1EEA">
        <w:t>s in the previous six month period as recorded in the IATI Registry logs.</w:t>
      </w:r>
      <w:r>
        <w:t xml:space="preserve"> </w:t>
      </w:r>
      <w:r w:rsidRPr="003D1EEA">
        <w:t>To score as a monthly publisher, an organisation needs</w:t>
      </w:r>
      <w:r>
        <w:t xml:space="preserve"> to update its files in five of the</w:t>
      </w:r>
      <w:r w:rsidRPr="003D1EEA">
        <w:t xml:space="preserve"> previous six months</w:t>
      </w:r>
      <w:r>
        <w:t xml:space="preserve"> (</w:t>
      </w:r>
      <w:r w:rsidRPr="003D1EEA">
        <w:t>January–June 2014</w:t>
      </w:r>
      <w:r>
        <w:t>, at the end of data collection)</w:t>
      </w:r>
      <w:r w:rsidRPr="003D1EEA">
        <w:t xml:space="preserve">. For quarterly, the organisation needs to </w:t>
      </w:r>
      <w:r>
        <w:t>update</w:t>
      </w:r>
      <w:r w:rsidRPr="003D1EEA">
        <w:t xml:space="preserve"> its files </w:t>
      </w:r>
      <w:r>
        <w:t>in two of the previous six months.</w:t>
      </w:r>
      <w:r>
        <w:rPr>
          <w:rFonts w:cs="Times New Roman"/>
          <w:bCs/>
          <w:kern w:val="36"/>
        </w:rPr>
        <w:t xml:space="preserve"> </w:t>
      </w:r>
      <w:r>
        <w:t xml:space="preserve">The frequency of publication used for organisations included in the Index can be found in the </w:t>
      </w:r>
      <w:hyperlink r:id="rId23" w:history="1">
        <w:r w:rsidRPr="00745DF3">
          <w:rPr>
            <w:rStyle w:val="Hyperlink"/>
            <w:rFonts w:cstheme="minorBidi"/>
          </w:rPr>
          <w:t>IATI Updates</w:t>
        </w:r>
      </w:hyperlink>
      <w:r>
        <w:t xml:space="preserve"> section of the Aid Transparency Tracker. The six month window is defined as 184 days, which is the maximum number of days in any six month period. </w:t>
      </w:r>
    </w:p>
    <w:p w:rsidR="00FE73FF" w:rsidRPr="00CA6284" w:rsidRDefault="00FE73FF" w:rsidP="009611A7">
      <w:pPr>
        <w:spacing w:after="0" w:line="240" w:lineRule="auto"/>
      </w:pPr>
    </w:p>
    <w:sectPr w:rsidR="00FE73FF" w:rsidRPr="00CA6284" w:rsidSect="009611A7">
      <w:headerReference w:type="default" r:id="rId24"/>
      <w:type w:val="continuous"/>
      <w:pgSz w:w="16838" w:h="11906" w:orient="landscape"/>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A5C" w:rsidRDefault="00A06A5C" w:rsidP="000805C4">
      <w:pPr>
        <w:spacing w:after="0" w:line="240" w:lineRule="auto"/>
      </w:pPr>
      <w:r>
        <w:separator/>
      </w:r>
    </w:p>
  </w:endnote>
  <w:endnote w:type="continuationSeparator" w:id="0">
    <w:p w:rsidR="00A06A5C" w:rsidRDefault="00A06A5C" w:rsidP="0008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9BC" w:rsidRDefault="009F49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0690"/>
      <w:docPartObj>
        <w:docPartGallery w:val="Page Numbers (Bottom of Page)"/>
        <w:docPartUnique/>
      </w:docPartObj>
    </w:sdtPr>
    <w:sdtEndPr/>
    <w:sdtContent>
      <w:p w:rsidR="009F49BC" w:rsidRDefault="00A06A5C" w:rsidP="00F01BB0">
        <w:pPr>
          <w:pStyle w:val="Footer"/>
          <w:jc w:val="right"/>
        </w:pPr>
        <w:r>
          <w:fldChar w:fldCharType="begin"/>
        </w:r>
        <w:r>
          <w:instrText xml:space="preserve"> PAGE   \* MERGEFORMAT </w:instrText>
        </w:r>
        <w:r>
          <w:fldChar w:fldCharType="separate"/>
        </w:r>
        <w:r w:rsidR="00BF2B38">
          <w:rPr>
            <w:noProof/>
          </w:rPr>
          <w:t>33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A5C" w:rsidRDefault="00A06A5C" w:rsidP="000805C4">
      <w:pPr>
        <w:spacing w:after="0" w:line="240" w:lineRule="auto"/>
      </w:pPr>
      <w:r>
        <w:separator/>
      </w:r>
    </w:p>
  </w:footnote>
  <w:footnote w:type="continuationSeparator" w:id="0">
    <w:p w:rsidR="00A06A5C" w:rsidRDefault="00A06A5C" w:rsidP="000805C4">
      <w:pPr>
        <w:spacing w:after="0" w:line="240" w:lineRule="auto"/>
      </w:pPr>
      <w:r>
        <w:continuationSeparator/>
      </w:r>
    </w:p>
  </w:footnote>
  <w:footnote w:id="1">
    <w:p w:rsidR="009F49BC" w:rsidRDefault="009F49BC" w:rsidP="00491ED6">
      <w:pPr>
        <w:pStyle w:val="FootnoteText"/>
        <w:spacing w:after="0" w:line="240" w:lineRule="auto"/>
      </w:pPr>
      <w:r>
        <w:rPr>
          <w:rStyle w:val="FootnoteReference"/>
        </w:rPr>
        <w:footnoteRef/>
      </w:r>
      <w:r>
        <w:t xml:space="preserve"> For more on the commitments made at HLF-4 see the Busan Partnership Agreement: </w:t>
      </w:r>
      <w:hyperlink r:id="rId1" w:history="1">
        <w:r>
          <w:rPr>
            <w:rStyle w:val="Hyperlink"/>
            <w:rFonts w:eastAsiaTheme="majorEastAsia"/>
          </w:rPr>
          <w:t>http://www.effectivecooperation.org/files/OUTCOME_DOCUMENT_-_FINAL_EN2.pdf</w:t>
        </w:r>
      </w:hyperlink>
    </w:p>
  </w:footnote>
  <w:footnote w:id="2">
    <w:p w:rsidR="009F49BC" w:rsidRDefault="009F49BC" w:rsidP="00163163">
      <w:pPr>
        <w:pStyle w:val="FootnoteText"/>
        <w:spacing w:after="0" w:line="240" w:lineRule="auto"/>
      </w:pPr>
      <w:r>
        <w:rPr>
          <w:rStyle w:val="FootnoteReference"/>
        </w:rPr>
        <w:footnoteRef/>
      </w:r>
      <w:r>
        <w:t xml:space="preserve"> </w:t>
      </w:r>
      <w:r w:rsidRPr="004E0C77">
        <w:t>Croatia joined the E</w:t>
      </w:r>
      <w:r>
        <w:t>U in 2013</w:t>
      </w:r>
      <w:r w:rsidRPr="004E0C77">
        <w:t xml:space="preserve"> and is therefore covered by the EU-wide commitment on aid transparency</w:t>
      </w:r>
      <w:r>
        <w:t>.</w:t>
      </w:r>
    </w:p>
  </w:footnote>
  <w:footnote w:id="3">
    <w:p w:rsidR="009F49BC" w:rsidRDefault="009F49BC" w:rsidP="00163163">
      <w:pPr>
        <w:pStyle w:val="FootnoteText"/>
        <w:spacing w:after="0" w:line="240" w:lineRule="auto"/>
      </w:pPr>
      <w:r>
        <w:rPr>
          <w:rStyle w:val="FootnoteReference"/>
        </w:rPr>
        <w:footnoteRef/>
      </w:r>
      <w:r>
        <w:t xml:space="preserve"> The data source for calculating annual spend is the OECD DAC’s Creditor Reporting System (CRS). The figures used are from the April 2014 CRS release of data for the year 2012. The asterisk (*) denotes that figures are inclusive of both ODA and OOF spending. For those organisations that do not report to the DAC, </w:t>
      </w:r>
      <w:r w:rsidRPr="006A04DC">
        <w:t>the</w:t>
      </w:r>
      <w:r>
        <w:t xml:space="preserve"> total</w:t>
      </w:r>
      <w:r w:rsidRPr="006A04DC">
        <w:t xml:space="preserve"> spend </w:t>
      </w:r>
      <w:r>
        <w:t>i</w:t>
      </w:r>
      <w:r w:rsidRPr="006A04DC">
        <w:t>s calculated based on the mos</w:t>
      </w:r>
      <w:r>
        <w:t>t recent annual financial report or other official data sources. Where official data sources are not available, the figures are obtained from news articles or other grey literature.</w:t>
      </w:r>
    </w:p>
  </w:footnote>
  <w:footnote w:id="4">
    <w:p w:rsidR="009F49BC" w:rsidRDefault="009F49BC" w:rsidP="00163163">
      <w:pPr>
        <w:pStyle w:val="FootnoteText"/>
        <w:spacing w:after="0" w:line="240" w:lineRule="auto"/>
      </w:pPr>
      <w:r>
        <w:rPr>
          <w:rStyle w:val="FootnoteReference"/>
        </w:rPr>
        <w:footnoteRef/>
      </w:r>
      <w:r>
        <w:t xml:space="preserve"> Calculated based on DAC CRS 2012 ODA spend, information provided in annual reports or the donor’s own data. Where official data sources are not available, the largest recipient is selected based on news articles and other grey literature. Where figures for 2012 are not available, the most recent figures available are used. For the Millennium Challenge Corporation, as the compact for the largest recipient of ODA in 2012 and 2013 had ended before the start of data collection, the largest compact still under implementation has been selected. For EC, DG DEVCO and EC, DG Enlargement, the largest recipient of funds managed centrally has been selected.</w:t>
      </w:r>
    </w:p>
  </w:footnote>
  <w:footnote w:id="5">
    <w:p w:rsidR="009F49BC" w:rsidRDefault="009F49BC" w:rsidP="00163163">
      <w:pPr>
        <w:pStyle w:val="FootnoteText"/>
        <w:spacing w:after="0" w:line="240" w:lineRule="auto"/>
      </w:pPr>
      <w:r>
        <w:rPr>
          <w:rStyle w:val="FootnoteReference"/>
        </w:rPr>
        <w:footnoteRef/>
      </w:r>
      <w:r>
        <w:t xml:space="preserve"> For the Bill and Melinda Gates Foundation, the largest thematic programme is selected as the foundation does not develop country-specific strategies.</w:t>
      </w:r>
    </w:p>
  </w:footnote>
  <w:footnote w:id="6">
    <w:p w:rsidR="009F49BC" w:rsidRDefault="009F49BC" w:rsidP="000B0169">
      <w:pPr>
        <w:pStyle w:val="FootnoteText"/>
        <w:spacing w:after="0" w:line="240" w:lineRule="auto"/>
      </w:pPr>
      <w:r>
        <w:rPr>
          <w:rStyle w:val="FootnoteReference"/>
        </w:rPr>
        <w:footnoteRef/>
      </w:r>
      <w:r>
        <w:t xml:space="preserve"> The Common Standard template is available from the OECD DAC website: </w:t>
      </w:r>
      <w:hyperlink r:id="rId2" w:history="1">
        <w:r w:rsidRPr="0074066E">
          <w:rPr>
            <w:rStyle w:val="Hyperlink"/>
          </w:rPr>
          <w:t>http://www.oecd.org/dac/aid-architecture/acommonstandard.htm</w:t>
        </w:r>
      </w:hyperlink>
    </w:p>
  </w:footnote>
  <w:footnote w:id="7">
    <w:p w:rsidR="009F49BC" w:rsidRDefault="009F49BC" w:rsidP="0017234E">
      <w:pPr>
        <w:pStyle w:val="FootnoteText"/>
        <w:spacing w:after="0" w:line="240" w:lineRule="auto"/>
      </w:pPr>
      <w:r>
        <w:rPr>
          <w:rStyle w:val="FootnoteReference"/>
        </w:rPr>
        <w:footnoteRef/>
      </w:r>
      <w:r>
        <w:t xml:space="preserve"> This indicator</w:t>
      </w:r>
      <w:r w:rsidRPr="00745C83">
        <w:t xml:space="preserve"> is more rigorously measured in 2014 for IATI publishers</w:t>
      </w:r>
      <w:r>
        <w:t xml:space="preserve"> </w:t>
      </w:r>
      <w:r w:rsidRPr="001539FC">
        <w:t>(information published to IATI is scored higher than informat</w:t>
      </w:r>
      <w:r>
        <w:t>ion published in other formats)</w:t>
      </w:r>
      <w:r w:rsidRPr="00745C83">
        <w:t>. The information must be both forward-looking and broken down by quarter for the first year ahead to score the maximum available points on the indicator.</w:t>
      </w:r>
      <w:r>
        <w:t xml:space="preserve"> In 2013, indicator 33 was called overall cost; indicator 34 was called planned expenditures and indicator 35 was called actual expenditures. These indicators have been renamed in 2014, for better alignment with the information elements used in the IATI Standard. Details of these indicators are defined and measured are provided in annex 1 and 2. </w:t>
      </w:r>
    </w:p>
  </w:footnote>
  <w:footnote w:id="8">
    <w:p w:rsidR="009F49BC" w:rsidRDefault="009F49BC" w:rsidP="00584B39">
      <w:pPr>
        <w:pStyle w:val="FootnoteText"/>
        <w:spacing w:after="0" w:line="240" w:lineRule="auto"/>
      </w:pPr>
      <w:r>
        <w:rPr>
          <w:rStyle w:val="FootnoteReference"/>
          <w:rFonts w:eastAsiaTheme="majorEastAsia"/>
        </w:rPr>
        <w:footnoteRef/>
      </w:r>
      <w:r>
        <w:t xml:space="preserve"> Apart from for organisation-level documents covered by indicators 5, 6, 7 and 11, where only a single document is expected.</w:t>
      </w:r>
    </w:p>
  </w:footnote>
  <w:footnote w:id="9">
    <w:p w:rsidR="009F49BC" w:rsidRDefault="009F49BC" w:rsidP="00163163">
      <w:pPr>
        <w:pStyle w:val="FootnoteText"/>
        <w:spacing w:after="0" w:line="240" w:lineRule="auto"/>
      </w:pPr>
      <w:r>
        <w:rPr>
          <w:rStyle w:val="FootnoteReference"/>
        </w:rPr>
        <w:footnoteRef/>
      </w:r>
      <w:r>
        <w:t xml:space="preserve"> Note that indicator 8 (country strategy) follows a slightly different scoring approach. The details of this are provided </w:t>
      </w:r>
      <w:r w:rsidRPr="004514D7">
        <w:t>on page 28.</w:t>
      </w:r>
    </w:p>
  </w:footnote>
  <w:footnote w:id="10">
    <w:p w:rsidR="009F49BC" w:rsidRDefault="009F49BC" w:rsidP="00FC0BC5">
      <w:pPr>
        <w:pStyle w:val="FootnoteText"/>
        <w:spacing w:after="0" w:line="240" w:lineRule="auto"/>
      </w:pPr>
      <w:r>
        <w:rPr>
          <w:rStyle w:val="FootnoteReference"/>
        </w:rPr>
        <w:footnoteRef/>
      </w:r>
      <w:r>
        <w:t xml:space="preserve"> For more on the consultation, visit: </w:t>
      </w:r>
      <w:hyperlink r:id="rId3" w:history="1">
        <w:r w:rsidRPr="0074066E">
          <w:rPr>
            <w:rStyle w:val="Hyperlink"/>
          </w:rPr>
          <w:t>https://github.com/pwyf/index-data-quality-tests/issues/2</w:t>
        </w:r>
      </w:hyperlink>
      <w:r>
        <w:t>.</w:t>
      </w:r>
      <w:r w:rsidRPr="006D2A64">
        <w:t xml:space="preserve"> </w:t>
      </w:r>
      <w:r>
        <w:t xml:space="preserve">More information about the AIMS survey and its main findings is available at: </w:t>
      </w:r>
      <w:hyperlink r:id="rId4" w:history="1">
        <w:r w:rsidRPr="0074066E">
          <w:rPr>
            <w:rStyle w:val="Hyperlink"/>
          </w:rPr>
          <w:t>http://www.aidtransparency.net/wp-content/uploads/2013/01/Paper-4a-Country-Survey-of-AIMS.pdf</w:t>
        </w:r>
      </w:hyperlink>
    </w:p>
  </w:footnote>
  <w:footnote w:id="11">
    <w:p w:rsidR="009F49BC" w:rsidRPr="001A66FE" w:rsidRDefault="009F49BC" w:rsidP="00A50516">
      <w:pPr>
        <w:spacing w:after="0" w:line="240" w:lineRule="auto"/>
        <w:contextualSpacing/>
        <w:rPr>
          <w:sz w:val="20"/>
          <w:szCs w:val="20"/>
        </w:rPr>
      </w:pPr>
      <w:r w:rsidRPr="001A66FE">
        <w:rPr>
          <w:rStyle w:val="FootnoteReference"/>
          <w:sz w:val="20"/>
          <w:szCs w:val="20"/>
        </w:rPr>
        <w:footnoteRef/>
      </w:r>
      <w:r w:rsidRPr="001A66FE">
        <w:rPr>
          <w:sz w:val="20"/>
          <w:szCs w:val="20"/>
        </w:rPr>
        <w:t xml:space="preserve"> Activities that </w:t>
      </w:r>
      <w:r>
        <w:rPr>
          <w:sz w:val="20"/>
          <w:szCs w:val="20"/>
        </w:rPr>
        <w:t xml:space="preserve">finish </w:t>
      </w:r>
      <w:r w:rsidRPr="001A66FE">
        <w:rPr>
          <w:sz w:val="20"/>
          <w:szCs w:val="20"/>
        </w:rPr>
        <w:t xml:space="preserve">more than 12 months </w:t>
      </w:r>
      <w:r>
        <w:rPr>
          <w:sz w:val="20"/>
          <w:szCs w:val="20"/>
        </w:rPr>
        <w:t xml:space="preserve">prior to data collection </w:t>
      </w:r>
      <w:r w:rsidRPr="001A66FE">
        <w:rPr>
          <w:sz w:val="20"/>
          <w:szCs w:val="20"/>
        </w:rPr>
        <w:t xml:space="preserve">but are still receiving loan or interest repayments </w:t>
      </w:r>
      <w:r>
        <w:rPr>
          <w:sz w:val="20"/>
          <w:szCs w:val="20"/>
        </w:rPr>
        <w:t>are therefore excluded from the tests.</w:t>
      </w:r>
    </w:p>
  </w:footnote>
  <w:footnote w:id="12">
    <w:p w:rsidR="009F49BC" w:rsidRDefault="009F49BC" w:rsidP="00A50516">
      <w:pPr>
        <w:pStyle w:val="FootnoteText"/>
        <w:spacing w:after="0" w:line="240" w:lineRule="auto"/>
      </w:pPr>
      <w:r>
        <w:rPr>
          <w:rStyle w:val="FootnoteReference"/>
          <w:rFonts w:eastAsiaTheme="majorEastAsia"/>
        </w:rPr>
        <w:footnoteRef/>
      </w:r>
      <w:r>
        <w:t xml:space="preserve"> Publish What You Fund ran a public consultation on the tests used in January 2014. More information is available at:</w:t>
      </w:r>
      <w:r w:rsidRPr="00BB55A3">
        <w:t xml:space="preserve"> </w:t>
      </w:r>
      <w:hyperlink r:id="rId5" w:history="1">
        <w:r w:rsidRPr="00150566">
          <w:rPr>
            <w:rStyle w:val="Hyperlink"/>
          </w:rPr>
          <w:t>https://github.com/pwyf/index-data-quality-tests/</w:t>
        </w:r>
      </w:hyperlink>
      <w:r w:rsidRPr="006A1357">
        <w:t>. Please note that users need</w:t>
      </w:r>
      <w:r>
        <w:t>ed</w:t>
      </w:r>
      <w:r w:rsidRPr="006A1357">
        <w:t xml:space="preserve"> to register themselves on GitHub </w:t>
      </w:r>
      <w:r>
        <w:t xml:space="preserve">in order to comment on the tests; </w:t>
      </w:r>
      <w:r w:rsidRPr="006A1357">
        <w:t>registration is free of cost.</w:t>
      </w:r>
    </w:p>
  </w:footnote>
  <w:footnote w:id="13">
    <w:p w:rsidR="009F49BC" w:rsidRPr="00C504EB" w:rsidRDefault="009F49BC" w:rsidP="005D1BE7">
      <w:pPr>
        <w:pStyle w:val="FootnoteText"/>
        <w:spacing w:after="0" w:line="240" w:lineRule="auto"/>
      </w:pPr>
      <w:r>
        <w:rPr>
          <w:rStyle w:val="FootnoteReference"/>
          <w:rFonts w:eastAsiaTheme="majorEastAsia"/>
        </w:rPr>
        <w:footnoteRef/>
      </w:r>
      <w:r>
        <w:t xml:space="preserve"> </w:t>
      </w:r>
      <w:r w:rsidRPr="00423FCC">
        <w:t xml:space="preserve">The complete approach to assessing and scoring FOIA and disclosure policy quality </w:t>
      </w:r>
      <w:r>
        <w:t>is</w:t>
      </w:r>
      <w:r w:rsidRPr="00423FCC">
        <w:t xml:space="preserve"> </w:t>
      </w:r>
      <w:r w:rsidRPr="004514D7">
        <w:t>detailed in box 2 on p.19.</w:t>
      </w:r>
    </w:p>
  </w:footnote>
  <w:footnote w:id="14">
    <w:p w:rsidR="009F49BC" w:rsidRPr="00C9490D" w:rsidRDefault="009F49BC" w:rsidP="00C9490D">
      <w:pPr>
        <w:pStyle w:val="FootnoteText"/>
        <w:spacing w:after="0" w:line="240" w:lineRule="auto"/>
      </w:pPr>
      <w:r w:rsidRPr="00C9490D">
        <w:rPr>
          <w:rStyle w:val="FootnoteReference"/>
        </w:rPr>
        <w:footnoteRef/>
      </w:r>
      <w:r w:rsidRPr="00C9490D">
        <w:t xml:space="preserve"> See</w:t>
      </w:r>
      <w:r>
        <w:t>:</w:t>
      </w:r>
      <w:r w:rsidRPr="00C9490D">
        <w:t xml:space="preserve"> </w:t>
      </w:r>
      <w:hyperlink r:id="rId6" w:history="1">
        <w:r w:rsidRPr="00C9490D">
          <w:rPr>
            <w:rStyle w:val="Hyperlink"/>
            <w:rFonts w:eastAsiaTheme="majorEastAsia"/>
          </w:rPr>
          <w:t>http://tracker.publishwhatyoufund.org/</w:t>
        </w:r>
      </w:hyperlink>
    </w:p>
  </w:footnote>
  <w:footnote w:id="15">
    <w:p w:rsidR="009F49BC" w:rsidRPr="00655993" w:rsidRDefault="009F49BC" w:rsidP="00655993">
      <w:pPr>
        <w:pStyle w:val="FootnoteText"/>
        <w:spacing w:after="0" w:line="240" w:lineRule="auto"/>
      </w:pPr>
      <w:r w:rsidRPr="00655993">
        <w:rPr>
          <w:rStyle w:val="FootnoteReference"/>
        </w:rPr>
        <w:footnoteRef/>
      </w:r>
      <w:r w:rsidRPr="00655993">
        <w:t xml:space="preserve"> </w:t>
      </w:r>
      <w:r>
        <w:t xml:space="preserve">The Global RTI Rating is produced by the </w:t>
      </w:r>
      <w:r w:rsidRPr="00B36026">
        <w:t>Centre for Law and Democracy and Access Info Europe</w:t>
      </w:r>
      <w:r>
        <w:t xml:space="preserve">. </w:t>
      </w:r>
      <w:r w:rsidRPr="00655993">
        <w:t xml:space="preserve">For the methodology and dataset, visit: </w:t>
      </w:r>
      <w:hyperlink r:id="rId7" w:history="1">
        <w:r w:rsidRPr="00655993">
          <w:rPr>
            <w:rStyle w:val="Hyperlink"/>
          </w:rPr>
          <w:t>http://www.rti-rating.org/index.html</w:t>
        </w:r>
      </w:hyperlink>
    </w:p>
  </w:footnote>
  <w:footnote w:id="16">
    <w:p w:rsidR="009F49BC" w:rsidRDefault="009F49BC" w:rsidP="00C9490D">
      <w:pPr>
        <w:pStyle w:val="FootnoteText"/>
        <w:spacing w:after="0" w:line="240" w:lineRule="auto"/>
      </w:pPr>
      <w:r w:rsidRPr="00C9490D">
        <w:rPr>
          <w:rStyle w:val="FootnoteReference"/>
        </w:rPr>
        <w:footnoteRef/>
      </w:r>
      <w:r w:rsidRPr="00C9490D">
        <w:t xml:space="preserve"> EC ECHO, EC Enlargement, U.S. MCC and U.S. Treasury.</w:t>
      </w:r>
    </w:p>
  </w:footnote>
  <w:footnote w:id="17">
    <w:p w:rsidR="009F49BC" w:rsidRDefault="009F49BC" w:rsidP="00BB68EC">
      <w:pPr>
        <w:pStyle w:val="FootnoteText"/>
        <w:spacing w:after="0" w:line="240" w:lineRule="auto"/>
      </w:pPr>
      <w:r>
        <w:rPr>
          <w:rStyle w:val="FootnoteReference"/>
        </w:rPr>
        <w:footnoteRef/>
      </w:r>
      <w:r>
        <w:t xml:space="preserve"> For more information on the data quality tests, visit the data quality tool page on the Aid Transparency Tracker: </w:t>
      </w:r>
      <w:hyperlink r:id="rId8" w:history="1">
        <w:r w:rsidRPr="00F17771">
          <w:rPr>
            <w:rStyle w:val="Hyperlink"/>
            <w:rFonts w:eastAsiaTheme="majorEastAsia"/>
          </w:rPr>
          <w:t>http://tracker.publishwhatyoufund.org/publish/about/</w:t>
        </w:r>
      </w:hyperlink>
    </w:p>
  </w:footnote>
  <w:footnote w:id="18">
    <w:p w:rsidR="009F49BC" w:rsidRDefault="009F49BC" w:rsidP="00863863">
      <w:pPr>
        <w:pStyle w:val="FootnoteText"/>
        <w:spacing w:after="0" w:line="240" w:lineRule="auto"/>
      </w:pPr>
      <w:r>
        <w:rPr>
          <w:rStyle w:val="FootnoteReference"/>
        </w:rPr>
        <w:footnoteRef/>
      </w:r>
      <w:r>
        <w:t xml:space="preserve"> For IATI data to be taken into account, it needs to be current and pass a minimum threshold of</w:t>
      </w:r>
      <w:r w:rsidRPr="006A23AA">
        <w:t xml:space="preserve"> 20% or more of the organisation’s country programmable aid budget.</w:t>
      </w:r>
    </w:p>
  </w:footnote>
  <w:footnote w:id="19">
    <w:p w:rsidR="009F49BC" w:rsidRDefault="009F49BC" w:rsidP="00893194">
      <w:pPr>
        <w:pStyle w:val="FootnoteText"/>
        <w:spacing w:after="0" w:line="240" w:lineRule="auto"/>
      </w:pPr>
      <w:r w:rsidRPr="004514D7">
        <w:rPr>
          <w:rStyle w:val="FootnoteReference"/>
        </w:rPr>
        <w:footnoteRef/>
      </w:r>
      <w:r w:rsidRPr="004514D7">
        <w:t xml:space="preserve"> </w:t>
      </w:r>
      <w:r w:rsidRPr="004514D7">
        <w:rPr>
          <w:bCs/>
          <w:iCs/>
        </w:rPr>
        <w:t>See p</w:t>
      </w:r>
      <w:r w:rsidR="004F6860">
        <w:rPr>
          <w:bCs/>
          <w:iCs/>
        </w:rPr>
        <w:t>.</w:t>
      </w:r>
      <w:r w:rsidRPr="004514D7">
        <w:rPr>
          <w:bCs/>
          <w:iCs/>
        </w:rPr>
        <w:t>5 in</w:t>
      </w:r>
      <w:r w:rsidRPr="00893194">
        <w:rPr>
          <w:bCs/>
          <w:iCs/>
        </w:rPr>
        <w:t xml:space="preserve"> Section 1 for more on the selection of multiple agencies from the same donor country or group.</w:t>
      </w:r>
    </w:p>
  </w:footnote>
  <w:footnote w:id="20">
    <w:p w:rsidR="009F49BC" w:rsidRDefault="009F49BC" w:rsidP="00D22CB8">
      <w:pPr>
        <w:pStyle w:val="FootnoteText"/>
        <w:spacing w:after="0" w:line="240" w:lineRule="auto"/>
      </w:pPr>
      <w:r>
        <w:rPr>
          <w:rStyle w:val="FootnoteReference"/>
        </w:rPr>
        <w:footnoteRef/>
      </w:r>
      <w:r>
        <w:t xml:space="preserve"> The agreed template is available from the OECD website: </w:t>
      </w:r>
      <w:hyperlink r:id="rId9" w:history="1">
        <w:r>
          <w:rPr>
            <w:rStyle w:val="Hyperlink"/>
          </w:rPr>
          <w:t>http://www.oecd.org/dac/aid-architecture/acommonstandard.htm</w:t>
        </w:r>
      </w:hyperlink>
    </w:p>
  </w:footnote>
  <w:footnote w:id="21">
    <w:p w:rsidR="009F49BC" w:rsidRPr="00611778" w:rsidRDefault="009F49BC" w:rsidP="00611778">
      <w:pPr>
        <w:pStyle w:val="FootnoteText"/>
        <w:spacing w:after="0" w:line="240" w:lineRule="auto"/>
      </w:pPr>
      <w:r w:rsidRPr="00611778">
        <w:rPr>
          <w:rStyle w:val="FootnoteReference"/>
        </w:rPr>
        <w:footnoteRef/>
      </w:r>
      <w:r w:rsidRPr="00611778">
        <w:t xml:space="preserve"> Calculated as 21.36% based on OECD DAC 2011 data. </w:t>
      </w:r>
    </w:p>
  </w:footnote>
  <w:footnote w:id="22">
    <w:p w:rsidR="009F49BC" w:rsidRDefault="009F49BC" w:rsidP="00611778">
      <w:pPr>
        <w:pStyle w:val="FootnoteText"/>
        <w:spacing w:after="0" w:line="240" w:lineRule="auto"/>
      </w:pPr>
      <w:r w:rsidRPr="00611778">
        <w:rPr>
          <w:rStyle w:val="FootnoteReference"/>
        </w:rPr>
        <w:footnoteRef/>
      </w:r>
      <w:r w:rsidRPr="00611778">
        <w:t xml:space="preserve"> In order to score the maximum points on the forward budget indicators, budgets need to run up to a minimum of December 201</w:t>
      </w:r>
      <w:r>
        <w:t>6</w:t>
      </w:r>
      <w:r w:rsidRPr="00611778">
        <w:t>. The number of days used in the tests help ensure that budgets that are mid-cycle are still captured but that they run up to the required end date of 31</w:t>
      </w:r>
      <w:r w:rsidRPr="00611778">
        <w:rPr>
          <w:vertAlign w:val="superscript"/>
        </w:rPr>
        <w:t xml:space="preserve"> </w:t>
      </w:r>
      <w:r w:rsidRPr="00611778">
        <w:t>December 201</w:t>
      </w:r>
      <w:r>
        <w:t>4</w:t>
      </w:r>
      <w:r w:rsidRPr="00611778">
        <w:t>, 201</w:t>
      </w:r>
      <w:r>
        <w:t>5</w:t>
      </w:r>
      <w:r w:rsidRPr="00611778">
        <w:t xml:space="preserve"> and 201</w:t>
      </w:r>
      <w:r>
        <w:t>6</w:t>
      </w:r>
      <w:r w:rsidRPr="00611778">
        <w:t xml:space="preserve"> to score the points for each year.</w:t>
      </w:r>
      <w:r w:rsidR="00345D43">
        <w:t xml:space="preserve"> </w:t>
      </w:r>
    </w:p>
  </w:footnote>
  <w:footnote w:id="23">
    <w:p w:rsidR="009F49BC" w:rsidRDefault="009F49BC" w:rsidP="00163163">
      <w:pPr>
        <w:pStyle w:val="FootnoteText"/>
        <w:spacing w:after="0" w:line="240" w:lineRule="auto"/>
      </w:pPr>
      <w:r>
        <w:rPr>
          <w:rStyle w:val="FootnoteReference"/>
        </w:rPr>
        <w:footnoteRef/>
      </w:r>
      <w:r>
        <w:t xml:space="preserve"> See 2014 IATI Annual Report: </w:t>
      </w:r>
      <w:hyperlink r:id="rId10" w:history="1">
        <w:r w:rsidRPr="00775D49">
          <w:rPr>
            <w:rStyle w:val="Hyperlink"/>
          </w:rPr>
          <w:t>http://www.aidtransparency.net/reports/IATI-annual-report-2014.pdf</w:t>
        </w:r>
      </w:hyperlink>
      <w:r>
        <w:t xml:space="preserve">, </w:t>
      </w:r>
      <w:r w:rsidR="00556826">
        <w:t>p</w:t>
      </w:r>
      <w:r w:rsidRPr="004514D7">
        <w:t>.172</w:t>
      </w:r>
      <w:r w:rsidR="00163163">
        <w:t>.</w:t>
      </w:r>
    </w:p>
  </w:footnote>
  <w:footnote w:id="24">
    <w:p w:rsidR="009F49BC" w:rsidRDefault="009F49BC" w:rsidP="002A5DEC">
      <w:pPr>
        <w:pStyle w:val="FootnoteText"/>
        <w:spacing w:after="0" w:line="240" w:lineRule="auto"/>
      </w:pPr>
      <w:r>
        <w:rPr>
          <w:rStyle w:val="FootnoteReference"/>
        </w:rPr>
        <w:footnoteRef/>
      </w:r>
      <w:r>
        <w:t xml:space="preserve"> Where more than one test is used for a single indicator, the total available data quality points are divided equally amongst the tests. For example: For indicator 14 (title), half the quality points are available for providing the tile for every activity and the remaining half are available if the titles have more than 10 characters. </w:t>
      </w:r>
    </w:p>
  </w:footnote>
  <w:footnote w:id="25">
    <w:p w:rsidR="009F49BC" w:rsidRDefault="009F49BC" w:rsidP="009611A7">
      <w:pPr>
        <w:pStyle w:val="FootnoteText"/>
        <w:spacing w:after="0" w:line="240" w:lineRule="auto"/>
      </w:pPr>
      <w:r>
        <w:rPr>
          <w:rStyle w:val="FootnoteReference"/>
        </w:rPr>
        <w:footnoteRef/>
      </w:r>
      <w:r>
        <w:t xml:space="preserve"> In order to score the maximum points on the forward budget indicators, budgets need to run up to a minimum of December 2016. The number of days used in the tests help ensure that budgets that are mid-cycle are still captured but that they run up to the required end date of 31</w:t>
      </w:r>
      <w:r>
        <w:rPr>
          <w:vertAlign w:val="superscript"/>
        </w:rPr>
        <w:t xml:space="preserve"> </w:t>
      </w:r>
      <w:r>
        <w:t>December 2014, 2015 and 2016 to score the points for each year.</w:t>
      </w:r>
      <w:r w:rsidR="00345D43">
        <w:t xml:space="preserve"> </w:t>
      </w:r>
    </w:p>
  </w:footnote>
  <w:footnote w:id="26">
    <w:p w:rsidR="009F49BC" w:rsidRDefault="009F49BC" w:rsidP="009611A7">
      <w:pPr>
        <w:pStyle w:val="FootnoteText"/>
        <w:spacing w:after="0" w:line="240" w:lineRule="auto"/>
      </w:pPr>
      <w:r>
        <w:rPr>
          <w:rStyle w:val="FootnoteReference"/>
        </w:rPr>
        <w:footnoteRef/>
      </w:r>
      <w:r>
        <w:t xml:space="preserve"> Calculated as 21.36% based on OECD DAC 2011 data.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9BC" w:rsidRDefault="009F49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7EAC29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1F4AB3"/>
    <w:multiLevelType w:val="hybridMultilevel"/>
    <w:tmpl w:val="F910A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63724D"/>
    <w:multiLevelType w:val="hybridMultilevel"/>
    <w:tmpl w:val="AD981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60540E"/>
    <w:multiLevelType w:val="hybridMultilevel"/>
    <w:tmpl w:val="D0748AC6"/>
    <w:lvl w:ilvl="0" w:tplc="FDD0D71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E94971"/>
    <w:multiLevelType w:val="hybridMultilevel"/>
    <w:tmpl w:val="0DF6E7F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139B5CFF"/>
    <w:multiLevelType w:val="hybridMultilevel"/>
    <w:tmpl w:val="31A62D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AAD1907"/>
    <w:multiLevelType w:val="hybridMultilevel"/>
    <w:tmpl w:val="3C088BE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475233"/>
    <w:multiLevelType w:val="hybridMultilevel"/>
    <w:tmpl w:val="2182D36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FD31E80"/>
    <w:multiLevelType w:val="hybridMultilevel"/>
    <w:tmpl w:val="91EA3AD6"/>
    <w:lvl w:ilvl="0" w:tplc="08090001">
      <w:start w:val="1"/>
      <w:numFmt w:val="bullet"/>
      <w:lvlText w:val=""/>
      <w:lvlJc w:val="left"/>
      <w:pPr>
        <w:ind w:left="144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3E0501"/>
    <w:multiLevelType w:val="hybridMultilevel"/>
    <w:tmpl w:val="9E441EC6"/>
    <w:lvl w:ilvl="0" w:tplc="0809000F">
      <w:start w:val="1"/>
      <w:numFmt w:val="decimal"/>
      <w:lvlText w:val="%1."/>
      <w:lvlJc w:val="left"/>
      <w:pPr>
        <w:ind w:left="360" w:hanging="360"/>
      </w:pPr>
    </w:lvl>
    <w:lvl w:ilvl="1" w:tplc="08090019">
      <w:start w:val="1"/>
      <w:numFmt w:val="decimal"/>
      <w:lvlText w:val="%2."/>
      <w:lvlJc w:val="left"/>
      <w:pPr>
        <w:tabs>
          <w:tab w:val="num" w:pos="1080"/>
        </w:tabs>
        <w:ind w:left="1080" w:hanging="360"/>
      </w:pPr>
    </w:lvl>
    <w:lvl w:ilvl="2" w:tplc="0809001B">
      <w:start w:val="1"/>
      <w:numFmt w:val="decimal"/>
      <w:lvlText w:val="%3."/>
      <w:lvlJc w:val="left"/>
      <w:pPr>
        <w:tabs>
          <w:tab w:val="num" w:pos="1800"/>
        </w:tabs>
        <w:ind w:left="1800" w:hanging="360"/>
      </w:pPr>
    </w:lvl>
    <w:lvl w:ilvl="3" w:tplc="0809000F">
      <w:start w:val="1"/>
      <w:numFmt w:val="decimal"/>
      <w:lvlText w:val="%4."/>
      <w:lvlJc w:val="left"/>
      <w:pPr>
        <w:tabs>
          <w:tab w:val="num" w:pos="2520"/>
        </w:tabs>
        <w:ind w:left="2520" w:hanging="360"/>
      </w:pPr>
    </w:lvl>
    <w:lvl w:ilvl="4" w:tplc="08090019">
      <w:start w:val="1"/>
      <w:numFmt w:val="decimal"/>
      <w:lvlText w:val="%5."/>
      <w:lvlJc w:val="left"/>
      <w:pPr>
        <w:tabs>
          <w:tab w:val="num" w:pos="3240"/>
        </w:tabs>
        <w:ind w:left="3240" w:hanging="360"/>
      </w:pPr>
    </w:lvl>
    <w:lvl w:ilvl="5" w:tplc="0809001B">
      <w:start w:val="1"/>
      <w:numFmt w:val="decimal"/>
      <w:lvlText w:val="%6."/>
      <w:lvlJc w:val="left"/>
      <w:pPr>
        <w:tabs>
          <w:tab w:val="num" w:pos="3960"/>
        </w:tabs>
        <w:ind w:left="3960" w:hanging="360"/>
      </w:pPr>
    </w:lvl>
    <w:lvl w:ilvl="6" w:tplc="0809000F">
      <w:start w:val="1"/>
      <w:numFmt w:val="decimal"/>
      <w:lvlText w:val="%7."/>
      <w:lvlJc w:val="left"/>
      <w:pPr>
        <w:tabs>
          <w:tab w:val="num" w:pos="4680"/>
        </w:tabs>
        <w:ind w:left="4680" w:hanging="360"/>
      </w:pPr>
    </w:lvl>
    <w:lvl w:ilvl="7" w:tplc="08090019">
      <w:start w:val="1"/>
      <w:numFmt w:val="decimal"/>
      <w:lvlText w:val="%8."/>
      <w:lvlJc w:val="left"/>
      <w:pPr>
        <w:tabs>
          <w:tab w:val="num" w:pos="5400"/>
        </w:tabs>
        <w:ind w:left="5400" w:hanging="360"/>
      </w:pPr>
    </w:lvl>
    <w:lvl w:ilvl="8" w:tplc="0809001B">
      <w:start w:val="1"/>
      <w:numFmt w:val="decimal"/>
      <w:lvlText w:val="%9."/>
      <w:lvlJc w:val="left"/>
      <w:pPr>
        <w:tabs>
          <w:tab w:val="num" w:pos="6120"/>
        </w:tabs>
        <w:ind w:left="6120" w:hanging="360"/>
      </w:pPr>
    </w:lvl>
  </w:abstractNum>
  <w:abstractNum w:abstractNumId="10">
    <w:nsid w:val="294B4CBA"/>
    <w:multiLevelType w:val="hybridMultilevel"/>
    <w:tmpl w:val="9E441EC6"/>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
    <w:nsid w:val="35320C70"/>
    <w:multiLevelType w:val="hybridMultilevel"/>
    <w:tmpl w:val="9AE254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82A68A3"/>
    <w:multiLevelType w:val="hybridMultilevel"/>
    <w:tmpl w:val="9AE254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B001C93"/>
    <w:multiLevelType w:val="multilevel"/>
    <w:tmpl w:val="B684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207A5D"/>
    <w:multiLevelType w:val="hybridMultilevel"/>
    <w:tmpl w:val="51963B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nsid w:val="43961316"/>
    <w:multiLevelType w:val="hybridMultilevel"/>
    <w:tmpl w:val="AD7CE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5576DB8"/>
    <w:multiLevelType w:val="multilevel"/>
    <w:tmpl w:val="1BFE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5B5E36"/>
    <w:multiLevelType w:val="hybridMultilevel"/>
    <w:tmpl w:val="F6E2EC6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4CA079F"/>
    <w:multiLevelType w:val="hybridMultilevel"/>
    <w:tmpl w:val="8D0EF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7011974"/>
    <w:multiLevelType w:val="multilevel"/>
    <w:tmpl w:val="6D04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A77C82"/>
    <w:multiLevelType w:val="hybridMultilevel"/>
    <w:tmpl w:val="AE52F77A"/>
    <w:lvl w:ilvl="0" w:tplc="265CF070">
      <w:start w:val="2012"/>
      <w:numFmt w:val="bullet"/>
      <w:lvlText w:val="•"/>
      <w:lvlJc w:val="left"/>
      <w:pPr>
        <w:ind w:left="1212" w:hanging="360"/>
      </w:pPr>
      <w:rPr>
        <w:rFonts w:ascii="Calibri" w:eastAsia="Calibri" w:hAnsi="Calibri" w:cs="Times New Roman"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1">
    <w:nsid w:val="59B00D9B"/>
    <w:multiLevelType w:val="hybridMultilevel"/>
    <w:tmpl w:val="22E8A1E6"/>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2">
    <w:nsid w:val="5BCA2743"/>
    <w:multiLevelType w:val="hybridMultilevel"/>
    <w:tmpl w:val="2DC438C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D1837D7"/>
    <w:multiLevelType w:val="hybridMultilevel"/>
    <w:tmpl w:val="22E8A1E6"/>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4">
    <w:nsid w:val="5DEF6E60"/>
    <w:multiLevelType w:val="hybridMultilevel"/>
    <w:tmpl w:val="61CC5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A238BB"/>
    <w:multiLevelType w:val="hybridMultilevel"/>
    <w:tmpl w:val="1BFCE3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2E0020A"/>
    <w:multiLevelType w:val="hybridMultilevel"/>
    <w:tmpl w:val="31A62D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2FD3E8C"/>
    <w:multiLevelType w:val="hybridMultilevel"/>
    <w:tmpl w:val="73CE362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36B5434"/>
    <w:multiLevelType w:val="hybridMultilevel"/>
    <w:tmpl w:val="1CD21B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50364C7"/>
    <w:multiLevelType w:val="hybridMultilevel"/>
    <w:tmpl w:val="029C5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7085843"/>
    <w:multiLevelType w:val="hybridMultilevel"/>
    <w:tmpl w:val="82160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C733E4A"/>
    <w:multiLevelType w:val="hybridMultilevel"/>
    <w:tmpl w:val="A35695DA"/>
    <w:lvl w:ilvl="0" w:tplc="3B78B32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0BD60B0"/>
    <w:multiLevelType w:val="multilevel"/>
    <w:tmpl w:val="1F36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B563A1"/>
    <w:multiLevelType w:val="hybridMultilevel"/>
    <w:tmpl w:val="CFFA61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6D652C"/>
    <w:multiLevelType w:val="hybridMultilevel"/>
    <w:tmpl w:val="22DEE3C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71377CE"/>
    <w:multiLevelType w:val="hybridMultilevel"/>
    <w:tmpl w:val="BF5804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B1B162F"/>
    <w:multiLevelType w:val="hybridMultilevel"/>
    <w:tmpl w:val="6E2AD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15"/>
  </w:num>
  <w:num w:numId="5">
    <w:abstractNumId w:val="28"/>
  </w:num>
  <w:num w:numId="6">
    <w:abstractNumId w:val="25"/>
  </w:num>
  <w:num w:numId="7">
    <w:abstractNumId w:val="0"/>
  </w:num>
  <w:num w:numId="8">
    <w:abstractNumId w:val="20"/>
  </w:num>
  <w:num w:numId="9">
    <w:abstractNumId w:val="7"/>
  </w:num>
  <w:num w:numId="10">
    <w:abstractNumId w:val="26"/>
  </w:num>
  <w:num w:numId="11">
    <w:abstractNumId w:val="32"/>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21"/>
  </w:num>
  <w:num w:numId="15">
    <w:abstractNumId w:val="22"/>
  </w:num>
  <w:num w:numId="16">
    <w:abstractNumId w:val="1"/>
  </w:num>
  <w:num w:numId="17">
    <w:abstractNumId w:val="30"/>
  </w:num>
  <w:num w:numId="18">
    <w:abstractNumId w:val="18"/>
  </w:num>
  <w:num w:numId="19">
    <w:abstractNumId w:val="14"/>
  </w:num>
  <w:num w:numId="20">
    <w:abstractNumId w:val="16"/>
  </w:num>
  <w:num w:numId="21">
    <w:abstractNumId w:val="17"/>
  </w:num>
  <w:num w:numId="22">
    <w:abstractNumId w:val="12"/>
  </w:num>
  <w:num w:numId="23">
    <w:abstractNumId w:val="24"/>
  </w:num>
  <w:num w:numId="24">
    <w:abstractNumId w:val="31"/>
  </w:num>
  <w:num w:numId="25">
    <w:abstractNumId w:val="35"/>
  </w:num>
  <w:num w:numId="26">
    <w:abstractNumId w:val="0"/>
  </w:num>
  <w:num w:numId="27">
    <w:abstractNumId w:val="0"/>
  </w:num>
  <w:num w:numId="28">
    <w:abstractNumId w:val="0"/>
  </w:num>
  <w:num w:numId="29">
    <w:abstractNumId w:val="34"/>
  </w:num>
  <w:num w:numId="30">
    <w:abstractNumId w:val="5"/>
  </w:num>
  <w:num w:numId="31">
    <w:abstractNumId w:val="6"/>
  </w:num>
  <w:num w:numId="32">
    <w:abstractNumId w:val="3"/>
  </w:num>
  <w:num w:numId="33">
    <w:abstractNumId w:val="13"/>
  </w:num>
  <w:num w:numId="34">
    <w:abstractNumId w:val="19"/>
  </w:num>
  <w:num w:numId="35">
    <w:abstractNumId w:val="0"/>
  </w:num>
  <w:num w:numId="36">
    <w:abstractNumId w:val="0"/>
  </w:num>
  <w:num w:numId="37">
    <w:abstractNumId w:val="0"/>
  </w:num>
  <w:num w:numId="38">
    <w:abstractNumId w:val="0"/>
  </w:num>
  <w:num w:numId="39">
    <w:abstractNumId w:val="0"/>
  </w:num>
  <w:num w:numId="40">
    <w:abstractNumId w:val="0"/>
  </w:num>
  <w:num w:numId="41">
    <w:abstractNumId w:val="33"/>
  </w:num>
  <w:num w:numId="42">
    <w:abstractNumId w:val="9"/>
  </w:num>
  <w:num w:numId="43">
    <w:abstractNumId w:val="10"/>
  </w:num>
  <w:num w:numId="44">
    <w:abstractNumId w:val="8"/>
  </w:num>
  <w:num w:numId="45">
    <w:abstractNumId w:val="27"/>
  </w:num>
  <w:num w:numId="46">
    <w:abstractNumId w:val="29"/>
  </w:num>
  <w:num w:numId="47">
    <w:abstractNumId w:val="36"/>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C4"/>
    <w:rsid w:val="00000519"/>
    <w:rsid w:val="000044E8"/>
    <w:rsid w:val="000052F3"/>
    <w:rsid w:val="0000531A"/>
    <w:rsid w:val="00005CC5"/>
    <w:rsid w:val="000062EF"/>
    <w:rsid w:val="00006723"/>
    <w:rsid w:val="00012F50"/>
    <w:rsid w:val="00017EB5"/>
    <w:rsid w:val="00020EA7"/>
    <w:rsid w:val="00020EE5"/>
    <w:rsid w:val="00021C0C"/>
    <w:rsid w:val="000233E0"/>
    <w:rsid w:val="000242E9"/>
    <w:rsid w:val="0002636F"/>
    <w:rsid w:val="00027A5D"/>
    <w:rsid w:val="000308B1"/>
    <w:rsid w:val="00035A7B"/>
    <w:rsid w:val="00036641"/>
    <w:rsid w:val="00040928"/>
    <w:rsid w:val="00040D72"/>
    <w:rsid w:val="00041520"/>
    <w:rsid w:val="0004424A"/>
    <w:rsid w:val="00044366"/>
    <w:rsid w:val="000445AB"/>
    <w:rsid w:val="00045D18"/>
    <w:rsid w:val="00046E27"/>
    <w:rsid w:val="00054A1F"/>
    <w:rsid w:val="00055794"/>
    <w:rsid w:val="000571B8"/>
    <w:rsid w:val="0005756A"/>
    <w:rsid w:val="00061A20"/>
    <w:rsid w:val="00064106"/>
    <w:rsid w:val="000645DB"/>
    <w:rsid w:val="00064D07"/>
    <w:rsid w:val="00071245"/>
    <w:rsid w:val="000733ED"/>
    <w:rsid w:val="00075085"/>
    <w:rsid w:val="0007684A"/>
    <w:rsid w:val="00076D41"/>
    <w:rsid w:val="00077913"/>
    <w:rsid w:val="000800DA"/>
    <w:rsid w:val="000805C4"/>
    <w:rsid w:val="000812DF"/>
    <w:rsid w:val="00083EEC"/>
    <w:rsid w:val="00085F86"/>
    <w:rsid w:val="0009210A"/>
    <w:rsid w:val="00093458"/>
    <w:rsid w:val="00094244"/>
    <w:rsid w:val="00095BEF"/>
    <w:rsid w:val="00095E99"/>
    <w:rsid w:val="000A01B0"/>
    <w:rsid w:val="000A07E5"/>
    <w:rsid w:val="000A2462"/>
    <w:rsid w:val="000A5880"/>
    <w:rsid w:val="000A7382"/>
    <w:rsid w:val="000B005C"/>
    <w:rsid w:val="000B0169"/>
    <w:rsid w:val="000B10D8"/>
    <w:rsid w:val="000B1E53"/>
    <w:rsid w:val="000B21F7"/>
    <w:rsid w:val="000B4B69"/>
    <w:rsid w:val="000B5115"/>
    <w:rsid w:val="000B617D"/>
    <w:rsid w:val="000B647D"/>
    <w:rsid w:val="000B6BE4"/>
    <w:rsid w:val="000B6C6A"/>
    <w:rsid w:val="000C2575"/>
    <w:rsid w:val="000C342C"/>
    <w:rsid w:val="000D0651"/>
    <w:rsid w:val="000D072A"/>
    <w:rsid w:val="000D28D9"/>
    <w:rsid w:val="000D2BD5"/>
    <w:rsid w:val="000D31F2"/>
    <w:rsid w:val="000D474E"/>
    <w:rsid w:val="000D5DBB"/>
    <w:rsid w:val="000D5F0D"/>
    <w:rsid w:val="000D6821"/>
    <w:rsid w:val="000D73D4"/>
    <w:rsid w:val="000E379B"/>
    <w:rsid w:val="000E4548"/>
    <w:rsid w:val="000E61D3"/>
    <w:rsid w:val="000E6AC2"/>
    <w:rsid w:val="000E700A"/>
    <w:rsid w:val="000E7F88"/>
    <w:rsid w:val="000F6F43"/>
    <w:rsid w:val="0010150D"/>
    <w:rsid w:val="001016CC"/>
    <w:rsid w:val="001036CF"/>
    <w:rsid w:val="001047B7"/>
    <w:rsid w:val="00107AC5"/>
    <w:rsid w:val="0011136F"/>
    <w:rsid w:val="00111CE8"/>
    <w:rsid w:val="00113611"/>
    <w:rsid w:val="0011454A"/>
    <w:rsid w:val="00114711"/>
    <w:rsid w:val="00114B75"/>
    <w:rsid w:val="00115768"/>
    <w:rsid w:val="00117EE2"/>
    <w:rsid w:val="00120550"/>
    <w:rsid w:val="0012188B"/>
    <w:rsid w:val="0012377F"/>
    <w:rsid w:val="00123884"/>
    <w:rsid w:val="00123B65"/>
    <w:rsid w:val="00123C3C"/>
    <w:rsid w:val="00124A97"/>
    <w:rsid w:val="00126286"/>
    <w:rsid w:val="0013021C"/>
    <w:rsid w:val="0013063C"/>
    <w:rsid w:val="00132CF8"/>
    <w:rsid w:val="00134A3A"/>
    <w:rsid w:val="001363B1"/>
    <w:rsid w:val="00141785"/>
    <w:rsid w:val="00143AE3"/>
    <w:rsid w:val="00144355"/>
    <w:rsid w:val="00145318"/>
    <w:rsid w:val="0014699C"/>
    <w:rsid w:val="0015054C"/>
    <w:rsid w:val="00152A8D"/>
    <w:rsid w:val="001539FC"/>
    <w:rsid w:val="00154052"/>
    <w:rsid w:val="001550DD"/>
    <w:rsid w:val="00156EED"/>
    <w:rsid w:val="001579DB"/>
    <w:rsid w:val="00160A57"/>
    <w:rsid w:val="00160BB5"/>
    <w:rsid w:val="001615AB"/>
    <w:rsid w:val="00161B17"/>
    <w:rsid w:val="00162D39"/>
    <w:rsid w:val="00163163"/>
    <w:rsid w:val="001640C2"/>
    <w:rsid w:val="001661A1"/>
    <w:rsid w:val="001662B0"/>
    <w:rsid w:val="0016646F"/>
    <w:rsid w:val="001670E1"/>
    <w:rsid w:val="001705FA"/>
    <w:rsid w:val="00171B63"/>
    <w:rsid w:val="0017234E"/>
    <w:rsid w:val="0017266A"/>
    <w:rsid w:val="0017485D"/>
    <w:rsid w:val="00181D9B"/>
    <w:rsid w:val="00182B34"/>
    <w:rsid w:val="0018505A"/>
    <w:rsid w:val="001859B7"/>
    <w:rsid w:val="0018609C"/>
    <w:rsid w:val="001879C4"/>
    <w:rsid w:val="00190432"/>
    <w:rsid w:val="00190F7A"/>
    <w:rsid w:val="00192086"/>
    <w:rsid w:val="001939B3"/>
    <w:rsid w:val="001A13F3"/>
    <w:rsid w:val="001A1511"/>
    <w:rsid w:val="001A23F5"/>
    <w:rsid w:val="001A4B13"/>
    <w:rsid w:val="001A5230"/>
    <w:rsid w:val="001B1C05"/>
    <w:rsid w:val="001B296A"/>
    <w:rsid w:val="001B588E"/>
    <w:rsid w:val="001B660F"/>
    <w:rsid w:val="001B705E"/>
    <w:rsid w:val="001C2D80"/>
    <w:rsid w:val="001C3D14"/>
    <w:rsid w:val="001C6A64"/>
    <w:rsid w:val="001C6FF2"/>
    <w:rsid w:val="001D00CC"/>
    <w:rsid w:val="001D10E7"/>
    <w:rsid w:val="001D4D23"/>
    <w:rsid w:val="001D59CC"/>
    <w:rsid w:val="001D6A10"/>
    <w:rsid w:val="001E19B5"/>
    <w:rsid w:val="001E2E2D"/>
    <w:rsid w:val="001E57D2"/>
    <w:rsid w:val="001E667E"/>
    <w:rsid w:val="001E7F36"/>
    <w:rsid w:val="001F132F"/>
    <w:rsid w:val="001F5748"/>
    <w:rsid w:val="00201566"/>
    <w:rsid w:val="00202462"/>
    <w:rsid w:val="00202E1A"/>
    <w:rsid w:val="00203783"/>
    <w:rsid w:val="00205489"/>
    <w:rsid w:val="00210228"/>
    <w:rsid w:val="002118DF"/>
    <w:rsid w:val="00213723"/>
    <w:rsid w:val="00214020"/>
    <w:rsid w:val="00215A8B"/>
    <w:rsid w:val="00216D75"/>
    <w:rsid w:val="0022120A"/>
    <w:rsid w:val="00221A8B"/>
    <w:rsid w:val="002233BB"/>
    <w:rsid w:val="00226206"/>
    <w:rsid w:val="00226D8B"/>
    <w:rsid w:val="00227680"/>
    <w:rsid w:val="00235CB8"/>
    <w:rsid w:val="00235EC4"/>
    <w:rsid w:val="0023753E"/>
    <w:rsid w:val="00240FD6"/>
    <w:rsid w:val="00242CA6"/>
    <w:rsid w:val="002431DF"/>
    <w:rsid w:val="002473D8"/>
    <w:rsid w:val="0025084E"/>
    <w:rsid w:val="00251C40"/>
    <w:rsid w:val="00251C85"/>
    <w:rsid w:val="00252C35"/>
    <w:rsid w:val="00252C55"/>
    <w:rsid w:val="00255CF7"/>
    <w:rsid w:val="00256483"/>
    <w:rsid w:val="00257E5C"/>
    <w:rsid w:val="00260813"/>
    <w:rsid w:val="00263B3C"/>
    <w:rsid w:val="00266A03"/>
    <w:rsid w:val="00267F36"/>
    <w:rsid w:val="0027047F"/>
    <w:rsid w:val="00270A2B"/>
    <w:rsid w:val="0027446A"/>
    <w:rsid w:val="002749CC"/>
    <w:rsid w:val="00274C59"/>
    <w:rsid w:val="002765DC"/>
    <w:rsid w:val="002768CA"/>
    <w:rsid w:val="00277752"/>
    <w:rsid w:val="002808A6"/>
    <w:rsid w:val="00282748"/>
    <w:rsid w:val="002833B1"/>
    <w:rsid w:val="0028456A"/>
    <w:rsid w:val="00284A8F"/>
    <w:rsid w:val="00285593"/>
    <w:rsid w:val="00286D35"/>
    <w:rsid w:val="00287CDE"/>
    <w:rsid w:val="00291C5A"/>
    <w:rsid w:val="002935CB"/>
    <w:rsid w:val="00293F31"/>
    <w:rsid w:val="0029693B"/>
    <w:rsid w:val="002969EB"/>
    <w:rsid w:val="00296B3C"/>
    <w:rsid w:val="00296E56"/>
    <w:rsid w:val="002A05D8"/>
    <w:rsid w:val="002A19D5"/>
    <w:rsid w:val="002A1B98"/>
    <w:rsid w:val="002A211B"/>
    <w:rsid w:val="002A213E"/>
    <w:rsid w:val="002A2CD8"/>
    <w:rsid w:val="002A3FC8"/>
    <w:rsid w:val="002A5DEC"/>
    <w:rsid w:val="002B0E48"/>
    <w:rsid w:val="002B2AC5"/>
    <w:rsid w:val="002B346C"/>
    <w:rsid w:val="002B50C5"/>
    <w:rsid w:val="002B5A42"/>
    <w:rsid w:val="002B748F"/>
    <w:rsid w:val="002B782A"/>
    <w:rsid w:val="002C06F6"/>
    <w:rsid w:val="002C2B21"/>
    <w:rsid w:val="002C4192"/>
    <w:rsid w:val="002C4A0B"/>
    <w:rsid w:val="002C4BD7"/>
    <w:rsid w:val="002C5449"/>
    <w:rsid w:val="002C5DC8"/>
    <w:rsid w:val="002C73B4"/>
    <w:rsid w:val="002C7C55"/>
    <w:rsid w:val="002D03E3"/>
    <w:rsid w:val="002D1460"/>
    <w:rsid w:val="002D3868"/>
    <w:rsid w:val="002D3F2C"/>
    <w:rsid w:val="002D4147"/>
    <w:rsid w:val="002D5ECC"/>
    <w:rsid w:val="002D6BB5"/>
    <w:rsid w:val="002D7EB4"/>
    <w:rsid w:val="002E1C45"/>
    <w:rsid w:val="002E3D22"/>
    <w:rsid w:val="002E6B2E"/>
    <w:rsid w:val="002E7F5E"/>
    <w:rsid w:val="002F25DE"/>
    <w:rsid w:val="002F3553"/>
    <w:rsid w:val="002F3B0F"/>
    <w:rsid w:val="002F51D3"/>
    <w:rsid w:val="002F6E31"/>
    <w:rsid w:val="002F7921"/>
    <w:rsid w:val="002F7947"/>
    <w:rsid w:val="00300AB8"/>
    <w:rsid w:val="0030192F"/>
    <w:rsid w:val="00303E56"/>
    <w:rsid w:val="0030471D"/>
    <w:rsid w:val="0030568D"/>
    <w:rsid w:val="00305E4C"/>
    <w:rsid w:val="00307EBD"/>
    <w:rsid w:val="00310129"/>
    <w:rsid w:val="0031024C"/>
    <w:rsid w:val="00310893"/>
    <w:rsid w:val="00310F4D"/>
    <w:rsid w:val="00311520"/>
    <w:rsid w:val="00312F5C"/>
    <w:rsid w:val="00313126"/>
    <w:rsid w:val="0031560C"/>
    <w:rsid w:val="00320EAB"/>
    <w:rsid w:val="00323A13"/>
    <w:rsid w:val="003251AB"/>
    <w:rsid w:val="00326624"/>
    <w:rsid w:val="0032676E"/>
    <w:rsid w:val="00326D8F"/>
    <w:rsid w:val="003275DD"/>
    <w:rsid w:val="00331B59"/>
    <w:rsid w:val="003338C3"/>
    <w:rsid w:val="00340D26"/>
    <w:rsid w:val="003413E1"/>
    <w:rsid w:val="003433E8"/>
    <w:rsid w:val="00345410"/>
    <w:rsid w:val="00345D43"/>
    <w:rsid w:val="003462A9"/>
    <w:rsid w:val="00346F66"/>
    <w:rsid w:val="00351187"/>
    <w:rsid w:val="0035649B"/>
    <w:rsid w:val="00356678"/>
    <w:rsid w:val="003613F3"/>
    <w:rsid w:val="00362275"/>
    <w:rsid w:val="00362446"/>
    <w:rsid w:val="003641BF"/>
    <w:rsid w:val="00365EC8"/>
    <w:rsid w:val="00366432"/>
    <w:rsid w:val="0036745F"/>
    <w:rsid w:val="003708DA"/>
    <w:rsid w:val="00370968"/>
    <w:rsid w:val="00372D03"/>
    <w:rsid w:val="00373CD4"/>
    <w:rsid w:val="00373E2E"/>
    <w:rsid w:val="00374B2A"/>
    <w:rsid w:val="00376F53"/>
    <w:rsid w:val="003803DA"/>
    <w:rsid w:val="00385255"/>
    <w:rsid w:val="0039359D"/>
    <w:rsid w:val="00394D03"/>
    <w:rsid w:val="003956E0"/>
    <w:rsid w:val="00395FD5"/>
    <w:rsid w:val="0039626C"/>
    <w:rsid w:val="00396434"/>
    <w:rsid w:val="003A0579"/>
    <w:rsid w:val="003A05C5"/>
    <w:rsid w:val="003A0A6E"/>
    <w:rsid w:val="003A0B7A"/>
    <w:rsid w:val="003A1912"/>
    <w:rsid w:val="003A3371"/>
    <w:rsid w:val="003A4C30"/>
    <w:rsid w:val="003A5206"/>
    <w:rsid w:val="003A549A"/>
    <w:rsid w:val="003B0198"/>
    <w:rsid w:val="003B0E3D"/>
    <w:rsid w:val="003B2141"/>
    <w:rsid w:val="003B21EF"/>
    <w:rsid w:val="003B2F56"/>
    <w:rsid w:val="003B3341"/>
    <w:rsid w:val="003B3906"/>
    <w:rsid w:val="003B3E8F"/>
    <w:rsid w:val="003B57B7"/>
    <w:rsid w:val="003B57E4"/>
    <w:rsid w:val="003C0071"/>
    <w:rsid w:val="003C0DB2"/>
    <w:rsid w:val="003C2FA6"/>
    <w:rsid w:val="003C3FEF"/>
    <w:rsid w:val="003C5058"/>
    <w:rsid w:val="003C5AD8"/>
    <w:rsid w:val="003C7051"/>
    <w:rsid w:val="003C7C49"/>
    <w:rsid w:val="003D1640"/>
    <w:rsid w:val="003D5543"/>
    <w:rsid w:val="003D65E5"/>
    <w:rsid w:val="003D6E4F"/>
    <w:rsid w:val="003E1993"/>
    <w:rsid w:val="003E3608"/>
    <w:rsid w:val="003E37C5"/>
    <w:rsid w:val="003E4EDF"/>
    <w:rsid w:val="003E5A38"/>
    <w:rsid w:val="003E61FC"/>
    <w:rsid w:val="003E7440"/>
    <w:rsid w:val="003E7B87"/>
    <w:rsid w:val="003E7EFC"/>
    <w:rsid w:val="003F06F3"/>
    <w:rsid w:val="003F10E1"/>
    <w:rsid w:val="003F2688"/>
    <w:rsid w:val="003F2F7D"/>
    <w:rsid w:val="003F4846"/>
    <w:rsid w:val="003F4B5D"/>
    <w:rsid w:val="003F7B0A"/>
    <w:rsid w:val="004068CE"/>
    <w:rsid w:val="00407107"/>
    <w:rsid w:val="004074D4"/>
    <w:rsid w:val="004145B2"/>
    <w:rsid w:val="004165E9"/>
    <w:rsid w:val="00422AB4"/>
    <w:rsid w:val="00423FCC"/>
    <w:rsid w:val="00424238"/>
    <w:rsid w:val="004249AE"/>
    <w:rsid w:val="00427596"/>
    <w:rsid w:val="00435C01"/>
    <w:rsid w:val="00442A39"/>
    <w:rsid w:val="00443EFF"/>
    <w:rsid w:val="00445ED8"/>
    <w:rsid w:val="0044610E"/>
    <w:rsid w:val="004462F5"/>
    <w:rsid w:val="004478B8"/>
    <w:rsid w:val="004514D7"/>
    <w:rsid w:val="00457FA9"/>
    <w:rsid w:val="00460AF2"/>
    <w:rsid w:val="00461C1D"/>
    <w:rsid w:val="00463E79"/>
    <w:rsid w:val="0046769A"/>
    <w:rsid w:val="004714C9"/>
    <w:rsid w:val="00473846"/>
    <w:rsid w:val="00475FF9"/>
    <w:rsid w:val="0047656A"/>
    <w:rsid w:val="00477411"/>
    <w:rsid w:val="00480F6A"/>
    <w:rsid w:val="00482192"/>
    <w:rsid w:val="0048489C"/>
    <w:rsid w:val="00484FE1"/>
    <w:rsid w:val="0048626C"/>
    <w:rsid w:val="00486AC5"/>
    <w:rsid w:val="00487D13"/>
    <w:rsid w:val="00490213"/>
    <w:rsid w:val="0049082B"/>
    <w:rsid w:val="0049131E"/>
    <w:rsid w:val="00491ED6"/>
    <w:rsid w:val="004951F7"/>
    <w:rsid w:val="004952B7"/>
    <w:rsid w:val="004960F3"/>
    <w:rsid w:val="00496ABB"/>
    <w:rsid w:val="004976BD"/>
    <w:rsid w:val="004A0341"/>
    <w:rsid w:val="004A20A5"/>
    <w:rsid w:val="004A3C4E"/>
    <w:rsid w:val="004A47B3"/>
    <w:rsid w:val="004A63A0"/>
    <w:rsid w:val="004A64FC"/>
    <w:rsid w:val="004A6EC2"/>
    <w:rsid w:val="004B26A7"/>
    <w:rsid w:val="004B307A"/>
    <w:rsid w:val="004B3DFB"/>
    <w:rsid w:val="004B5447"/>
    <w:rsid w:val="004B5EAE"/>
    <w:rsid w:val="004B6C8E"/>
    <w:rsid w:val="004C1D4A"/>
    <w:rsid w:val="004C2E76"/>
    <w:rsid w:val="004C4B98"/>
    <w:rsid w:val="004D0BA0"/>
    <w:rsid w:val="004D0F41"/>
    <w:rsid w:val="004D17FC"/>
    <w:rsid w:val="004D19B4"/>
    <w:rsid w:val="004D1CC1"/>
    <w:rsid w:val="004D2037"/>
    <w:rsid w:val="004D26D1"/>
    <w:rsid w:val="004D26E4"/>
    <w:rsid w:val="004D2A4C"/>
    <w:rsid w:val="004D4D52"/>
    <w:rsid w:val="004D5000"/>
    <w:rsid w:val="004D5308"/>
    <w:rsid w:val="004D7858"/>
    <w:rsid w:val="004D7A27"/>
    <w:rsid w:val="004D7ACF"/>
    <w:rsid w:val="004E04F7"/>
    <w:rsid w:val="004E2E26"/>
    <w:rsid w:val="004E30B6"/>
    <w:rsid w:val="004E360C"/>
    <w:rsid w:val="004E6F78"/>
    <w:rsid w:val="004F2275"/>
    <w:rsid w:val="004F3527"/>
    <w:rsid w:val="004F397C"/>
    <w:rsid w:val="004F4053"/>
    <w:rsid w:val="004F5C34"/>
    <w:rsid w:val="004F6262"/>
    <w:rsid w:val="004F6860"/>
    <w:rsid w:val="00500B7D"/>
    <w:rsid w:val="00501386"/>
    <w:rsid w:val="005015B7"/>
    <w:rsid w:val="00505CEF"/>
    <w:rsid w:val="00507147"/>
    <w:rsid w:val="0051045A"/>
    <w:rsid w:val="00511CAA"/>
    <w:rsid w:val="005123AD"/>
    <w:rsid w:val="0051375D"/>
    <w:rsid w:val="0051497C"/>
    <w:rsid w:val="00516EFF"/>
    <w:rsid w:val="005170E7"/>
    <w:rsid w:val="00521DD0"/>
    <w:rsid w:val="005221A5"/>
    <w:rsid w:val="005230A8"/>
    <w:rsid w:val="005232AF"/>
    <w:rsid w:val="00525833"/>
    <w:rsid w:val="00525999"/>
    <w:rsid w:val="00526202"/>
    <w:rsid w:val="00526A6D"/>
    <w:rsid w:val="00526B6E"/>
    <w:rsid w:val="00530988"/>
    <w:rsid w:val="00530D37"/>
    <w:rsid w:val="00531018"/>
    <w:rsid w:val="00531F73"/>
    <w:rsid w:val="00532D4F"/>
    <w:rsid w:val="00534071"/>
    <w:rsid w:val="00535ED5"/>
    <w:rsid w:val="00541675"/>
    <w:rsid w:val="00541D38"/>
    <w:rsid w:val="005455EF"/>
    <w:rsid w:val="00546CCB"/>
    <w:rsid w:val="00550551"/>
    <w:rsid w:val="005518A8"/>
    <w:rsid w:val="00551A9E"/>
    <w:rsid w:val="00551D7B"/>
    <w:rsid w:val="00551DDF"/>
    <w:rsid w:val="0055216C"/>
    <w:rsid w:val="00552A14"/>
    <w:rsid w:val="00553543"/>
    <w:rsid w:val="00553C6C"/>
    <w:rsid w:val="00553E3D"/>
    <w:rsid w:val="0055426C"/>
    <w:rsid w:val="00554859"/>
    <w:rsid w:val="005553DA"/>
    <w:rsid w:val="0055600C"/>
    <w:rsid w:val="00556826"/>
    <w:rsid w:val="00560436"/>
    <w:rsid w:val="00563C6A"/>
    <w:rsid w:val="0056461D"/>
    <w:rsid w:val="00564BD8"/>
    <w:rsid w:val="00566A7B"/>
    <w:rsid w:val="00566E4B"/>
    <w:rsid w:val="00574199"/>
    <w:rsid w:val="00574C35"/>
    <w:rsid w:val="00574D6F"/>
    <w:rsid w:val="00574E22"/>
    <w:rsid w:val="005805F8"/>
    <w:rsid w:val="005817C1"/>
    <w:rsid w:val="00581D10"/>
    <w:rsid w:val="00583835"/>
    <w:rsid w:val="00584B39"/>
    <w:rsid w:val="00584F62"/>
    <w:rsid w:val="00586B2C"/>
    <w:rsid w:val="00587195"/>
    <w:rsid w:val="0058742E"/>
    <w:rsid w:val="005900A4"/>
    <w:rsid w:val="005902E0"/>
    <w:rsid w:val="00592A7C"/>
    <w:rsid w:val="00593CCB"/>
    <w:rsid w:val="00594F30"/>
    <w:rsid w:val="0059535F"/>
    <w:rsid w:val="00597106"/>
    <w:rsid w:val="00597BC2"/>
    <w:rsid w:val="005A1889"/>
    <w:rsid w:val="005A24CA"/>
    <w:rsid w:val="005A27C4"/>
    <w:rsid w:val="005A28B6"/>
    <w:rsid w:val="005A3696"/>
    <w:rsid w:val="005A442F"/>
    <w:rsid w:val="005A51CF"/>
    <w:rsid w:val="005B0CD8"/>
    <w:rsid w:val="005B2364"/>
    <w:rsid w:val="005B453C"/>
    <w:rsid w:val="005B5D00"/>
    <w:rsid w:val="005C0C43"/>
    <w:rsid w:val="005C2DC6"/>
    <w:rsid w:val="005C40E3"/>
    <w:rsid w:val="005C4B56"/>
    <w:rsid w:val="005C6DE1"/>
    <w:rsid w:val="005D0C16"/>
    <w:rsid w:val="005D1BE7"/>
    <w:rsid w:val="005D6EB2"/>
    <w:rsid w:val="005D6F86"/>
    <w:rsid w:val="005D7209"/>
    <w:rsid w:val="005D7A60"/>
    <w:rsid w:val="005E054C"/>
    <w:rsid w:val="005E6582"/>
    <w:rsid w:val="005E683D"/>
    <w:rsid w:val="005E6C19"/>
    <w:rsid w:val="005F019B"/>
    <w:rsid w:val="005F3735"/>
    <w:rsid w:val="005F4AE1"/>
    <w:rsid w:val="005F603F"/>
    <w:rsid w:val="005F74BF"/>
    <w:rsid w:val="00601B3A"/>
    <w:rsid w:val="00602967"/>
    <w:rsid w:val="006029D6"/>
    <w:rsid w:val="00602A1F"/>
    <w:rsid w:val="00606113"/>
    <w:rsid w:val="00606148"/>
    <w:rsid w:val="00606984"/>
    <w:rsid w:val="00610A1D"/>
    <w:rsid w:val="00611778"/>
    <w:rsid w:val="00611AA8"/>
    <w:rsid w:val="00613C45"/>
    <w:rsid w:val="00614906"/>
    <w:rsid w:val="006172EF"/>
    <w:rsid w:val="0061747D"/>
    <w:rsid w:val="006209C7"/>
    <w:rsid w:val="00621583"/>
    <w:rsid w:val="00621B0F"/>
    <w:rsid w:val="006230BC"/>
    <w:rsid w:val="0062378D"/>
    <w:rsid w:val="0062485A"/>
    <w:rsid w:val="00625529"/>
    <w:rsid w:val="006259D3"/>
    <w:rsid w:val="006275FA"/>
    <w:rsid w:val="00632B8B"/>
    <w:rsid w:val="00633BE9"/>
    <w:rsid w:val="00633EF1"/>
    <w:rsid w:val="00636102"/>
    <w:rsid w:val="00637F3A"/>
    <w:rsid w:val="006400C5"/>
    <w:rsid w:val="00640364"/>
    <w:rsid w:val="00641694"/>
    <w:rsid w:val="006416BC"/>
    <w:rsid w:val="00643E95"/>
    <w:rsid w:val="00645049"/>
    <w:rsid w:val="0064698C"/>
    <w:rsid w:val="006512F2"/>
    <w:rsid w:val="006514E5"/>
    <w:rsid w:val="00652983"/>
    <w:rsid w:val="00655993"/>
    <w:rsid w:val="00656570"/>
    <w:rsid w:val="00657109"/>
    <w:rsid w:val="0065757F"/>
    <w:rsid w:val="00657723"/>
    <w:rsid w:val="00661A3F"/>
    <w:rsid w:val="00663547"/>
    <w:rsid w:val="00663C01"/>
    <w:rsid w:val="00665F9B"/>
    <w:rsid w:val="00666C16"/>
    <w:rsid w:val="00671B93"/>
    <w:rsid w:val="006735B1"/>
    <w:rsid w:val="00676A8E"/>
    <w:rsid w:val="00677A04"/>
    <w:rsid w:val="00677FCE"/>
    <w:rsid w:val="00683ACE"/>
    <w:rsid w:val="00684C6A"/>
    <w:rsid w:val="00686D91"/>
    <w:rsid w:val="00691CE4"/>
    <w:rsid w:val="00692889"/>
    <w:rsid w:val="00694116"/>
    <w:rsid w:val="00695AB2"/>
    <w:rsid w:val="006960B8"/>
    <w:rsid w:val="0069726D"/>
    <w:rsid w:val="006977BA"/>
    <w:rsid w:val="006A08C0"/>
    <w:rsid w:val="006A0D15"/>
    <w:rsid w:val="006A1357"/>
    <w:rsid w:val="006A3E82"/>
    <w:rsid w:val="006A4138"/>
    <w:rsid w:val="006A4184"/>
    <w:rsid w:val="006A56C4"/>
    <w:rsid w:val="006A6399"/>
    <w:rsid w:val="006A6EC9"/>
    <w:rsid w:val="006A799F"/>
    <w:rsid w:val="006A7BF1"/>
    <w:rsid w:val="006B18F1"/>
    <w:rsid w:val="006B19DB"/>
    <w:rsid w:val="006B3033"/>
    <w:rsid w:val="006B3C48"/>
    <w:rsid w:val="006B4B38"/>
    <w:rsid w:val="006B648E"/>
    <w:rsid w:val="006C0B4D"/>
    <w:rsid w:val="006C26CA"/>
    <w:rsid w:val="006C4B0A"/>
    <w:rsid w:val="006C664F"/>
    <w:rsid w:val="006C6B64"/>
    <w:rsid w:val="006D207B"/>
    <w:rsid w:val="006D2A64"/>
    <w:rsid w:val="006D3CE3"/>
    <w:rsid w:val="006D6C9E"/>
    <w:rsid w:val="006D7971"/>
    <w:rsid w:val="006D799E"/>
    <w:rsid w:val="006E320C"/>
    <w:rsid w:val="006E4F87"/>
    <w:rsid w:val="006E7D7E"/>
    <w:rsid w:val="006F02A6"/>
    <w:rsid w:val="006F07C4"/>
    <w:rsid w:val="006F22D4"/>
    <w:rsid w:val="006F2947"/>
    <w:rsid w:val="006F4060"/>
    <w:rsid w:val="006F499F"/>
    <w:rsid w:val="006F579D"/>
    <w:rsid w:val="006F6E27"/>
    <w:rsid w:val="006F7992"/>
    <w:rsid w:val="00700C10"/>
    <w:rsid w:val="007017E7"/>
    <w:rsid w:val="00704A30"/>
    <w:rsid w:val="00710FB5"/>
    <w:rsid w:val="0071224A"/>
    <w:rsid w:val="007128B5"/>
    <w:rsid w:val="007137D4"/>
    <w:rsid w:val="00714E27"/>
    <w:rsid w:val="00715200"/>
    <w:rsid w:val="0071675A"/>
    <w:rsid w:val="00717A88"/>
    <w:rsid w:val="00721D02"/>
    <w:rsid w:val="00721FDE"/>
    <w:rsid w:val="00723034"/>
    <w:rsid w:val="00723A51"/>
    <w:rsid w:val="0072445E"/>
    <w:rsid w:val="00724AA0"/>
    <w:rsid w:val="007257DB"/>
    <w:rsid w:val="00732A8E"/>
    <w:rsid w:val="00733DF9"/>
    <w:rsid w:val="00736C3C"/>
    <w:rsid w:val="007374D5"/>
    <w:rsid w:val="007419CA"/>
    <w:rsid w:val="0074311C"/>
    <w:rsid w:val="00744257"/>
    <w:rsid w:val="00744441"/>
    <w:rsid w:val="00745BF7"/>
    <w:rsid w:val="00745C83"/>
    <w:rsid w:val="00747EEE"/>
    <w:rsid w:val="007513B6"/>
    <w:rsid w:val="00753497"/>
    <w:rsid w:val="007550AA"/>
    <w:rsid w:val="00755C3A"/>
    <w:rsid w:val="00756373"/>
    <w:rsid w:val="00756416"/>
    <w:rsid w:val="00764D73"/>
    <w:rsid w:val="00764EDF"/>
    <w:rsid w:val="00767C6B"/>
    <w:rsid w:val="00770F61"/>
    <w:rsid w:val="0077375B"/>
    <w:rsid w:val="00774D5A"/>
    <w:rsid w:val="007751B4"/>
    <w:rsid w:val="00775746"/>
    <w:rsid w:val="00775814"/>
    <w:rsid w:val="007758F0"/>
    <w:rsid w:val="00776FE1"/>
    <w:rsid w:val="007860B6"/>
    <w:rsid w:val="00786FF6"/>
    <w:rsid w:val="0078730F"/>
    <w:rsid w:val="00787B2E"/>
    <w:rsid w:val="00792603"/>
    <w:rsid w:val="00793F5E"/>
    <w:rsid w:val="0079433A"/>
    <w:rsid w:val="00795AD6"/>
    <w:rsid w:val="007A132F"/>
    <w:rsid w:val="007A3C2C"/>
    <w:rsid w:val="007A6954"/>
    <w:rsid w:val="007B0109"/>
    <w:rsid w:val="007B1271"/>
    <w:rsid w:val="007B1F09"/>
    <w:rsid w:val="007B228C"/>
    <w:rsid w:val="007B446C"/>
    <w:rsid w:val="007B47C8"/>
    <w:rsid w:val="007B59F5"/>
    <w:rsid w:val="007B7FEE"/>
    <w:rsid w:val="007C0A7C"/>
    <w:rsid w:val="007C0C03"/>
    <w:rsid w:val="007C2472"/>
    <w:rsid w:val="007C39FF"/>
    <w:rsid w:val="007C48C1"/>
    <w:rsid w:val="007C4DE7"/>
    <w:rsid w:val="007C5FFD"/>
    <w:rsid w:val="007C665E"/>
    <w:rsid w:val="007D3871"/>
    <w:rsid w:val="007D4DA0"/>
    <w:rsid w:val="007D57C4"/>
    <w:rsid w:val="007D6310"/>
    <w:rsid w:val="007D68FE"/>
    <w:rsid w:val="007E0807"/>
    <w:rsid w:val="007E1B2E"/>
    <w:rsid w:val="007E3DDA"/>
    <w:rsid w:val="007E486E"/>
    <w:rsid w:val="007E4FAE"/>
    <w:rsid w:val="007E666E"/>
    <w:rsid w:val="007E735F"/>
    <w:rsid w:val="007F1418"/>
    <w:rsid w:val="007F15ED"/>
    <w:rsid w:val="007F1788"/>
    <w:rsid w:val="007F299F"/>
    <w:rsid w:val="007F2B51"/>
    <w:rsid w:val="007F3B88"/>
    <w:rsid w:val="007F4C73"/>
    <w:rsid w:val="007F511E"/>
    <w:rsid w:val="007F7AA4"/>
    <w:rsid w:val="008032A6"/>
    <w:rsid w:val="0081034F"/>
    <w:rsid w:val="00811F6C"/>
    <w:rsid w:val="00813064"/>
    <w:rsid w:val="00813F39"/>
    <w:rsid w:val="00814729"/>
    <w:rsid w:val="008163E7"/>
    <w:rsid w:val="00816D99"/>
    <w:rsid w:val="00816DE1"/>
    <w:rsid w:val="00817173"/>
    <w:rsid w:val="00820CDC"/>
    <w:rsid w:val="0082422B"/>
    <w:rsid w:val="00824B10"/>
    <w:rsid w:val="00825C98"/>
    <w:rsid w:val="00827708"/>
    <w:rsid w:val="00827980"/>
    <w:rsid w:val="00830398"/>
    <w:rsid w:val="0083446E"/>
    <w:rsid w:val="00834646"/>
    <w:rsid w:val="008358E1"/>
    <w:rsid w:val="00835E99"/>
    <w:rsid w:val="008373BE"/>
    <w:rsid w:val="008433A0"/>
    <w:rsid w:val="008450DF"/>
    <w:rsid w:val="00846062"/>
    <w:rsid w:val="008469DB"/>
    <w:rsid w:val="008512B0"/>
    <w:rsid w:val="0085148D"/>
    <w:rsid w:val="00853192"/>
    <w:rsid w:val="00856EF5"/>
    <w:rsid w:val="0086097A"/>
    <w:rsid w:val="0086122A"/>
    <w:rsid w:val="00862DF3"/>
    <w:rsid w:val="00863863"/>
    <w:rsid w:val="00865DE7"/>
    <w:rsid w:val="008664FA"/>
    <w:rsid w:val="00871F3E"/>
    <w:rsid w:val="008726DD"/>
    <w:rsid w:val="00874013"/>
    <w:rsid w:val="0087407C"/>
    <w:rsid w:val="0087570D"/>
    <w:rsid w:val="00876316"/>
    <w:rsid w:val="00880483"/>
    <w:rsid w:val="00880ABE"/>
    <w:rsid w:val="00881EEE"/>
    <w:rsid w:val="008822C0"/>
    <w:rsid w:val="00883680"/>
    <w:rsid w:val="008838D9"/>
    <w:rsid w:val="008862EC"/>
    <w:rsid w:val="00887E3F"/>
    <w:rsid w:val="008927AE"/>
    <w:rsid w:val="00892DE6"/>
    <w:rsid w:val="00893194"/>
    <w:rsid w:val="00896AD1"/>
    <w:rsid w:val="008A0EE8"/>
    <w:rsid w:val="008A0FA3"/>
    <w:rsid w:val="008A1CB1"/>
    <w:rsid w:val="008A4217"/>
    <w:rsid w:val="008A5C1D"/>
    <w:rsid w:val="008A6BDE"/>
    <w:rsid w:val="008A7EC8"/>
    <w:rsid w:val="008B115C"/>
    <w:rsid w:val="008B25DD"/>
    <w:rsid w:val="008B26F2"/>
    <w:rsid w:val="008B3DD0"/>
    <w:rsid w:val="008B4463"/>
    <w:rsid w:val="008B48A3"/>
    <w:rsid w:val="008B6200"/>
    <w:rsid w:val="008C0B5E"/>
    <w:rsid w:val="008C55F6"/>
    <w:rsid w:val="008C5629"/>
    <w:rsid w:val="008C6BEF"/>
    <w:rsid w:val="008C72B6"/>
    <w:rsid w:val="008C7AF5"/>
    <w:rsid w:val="008D1C5E"/>
    <w:rsid w:val="008D4218"/>
    <w:rsid w:val="008D5541"/>
    <w:rsid w:val="008D617C"/>
    <w:rsid w:val="008D76A4"/>
    <w:rsid w:val="008D7782"/>
    <w:rsid w:val="008E0729"/>
    <w:rsid w:val="008E0CB1"/>
    <w:rsid w:val="008E1793"/>
    <w:rsid w:val="008E358D"/>
    <w:rsid w:val="008E4101"/>
    <w:rsid w:val="008E6AF5"/>
    <w:rsid w:val="008F2A2E"/>
    <w:rsid w:val="008F36F4"/>
    <w:rsid w:val="008F6F0C"/>
    <w:rsid w:val="008F7BF9"/>
    <w:rsid w:val="00903682"/>
    <w:rsid w:val="00903FB0"/>
    <w:rsid w:val="009043A6"/>
    <w:rsid w:val="00904A8D"/>
    <w:rsid w:val="00905AB7"/>
    <w:rsid w:val="00907D28"/>
    <w:rsid w:val="00911729"/>
    <w:rsid w:val="00913D9F"/>
    <w:rsid w:val="00913ED9"/>
    <w:rsid w:val="0091524B"/>
    <w:rsid w:val="00915EB2"/>
    <w:rsid w:val="00917087"/>
    <w:rsid w:val="00917B5D"/>
    <w:rsid w:val="00920989"/>
    <w:rsid w:val="009217A9"/>
    <w:rsid w:val="00922022"/>
    <w:rsid w:val="009222E3"/>
    <w:rsid w:val="00923775"/>
    <w:rsid w:val="00926738"/>
    <w:rsid w:val="00927A06"/>
    <w:rsid w:val="009311CD"/>
    <w:rsid w:val="00935A49"/>
    <w:rsid w:val="00937B39"/>
    <w:rsid w:val="00940999"/>
    <w:rsid w:val="00941D4C"/>
    <w:rsid w:val="00942130"/>
    <w:rsid w:val="00942265"/>
    <w:rsid w:val="0094587C"/>
    <w:rsid w:val="009460E8"/>
    <w:rsid w:val="00946694"/>
    <w:rsid w:val="009466CB"/>
    <w:rsid w:val="00946CB8"/>
    <w:rsid w:val="00947B2B"/>
    <w:rsid w:val="00951202"/>
    <w:rsid w:val="00955476"/>
    <w:rsid w:val="0095565A"/>
    <w:rsid w:val="00956673"/>
    <w:rsid w:val="00956C66"/>
    <w:rsid w:val="00957606"/>
    <w:rsid w:val="009611A7"/>
    <w:rsid w:val="0096144F"/>
    <w:rsid w:val="00962AAD"/>
    <w:rsid w:val="00963F52"/>
    <w:rsid w:val="009649A5"/>
    <w:rsid w:val="00971050"/>
    <w:rsid w:val="009715C0"/>
    <w:rsid w:val="00975077"/>
    <w:rsid w:val="00981BC0"/>
    <w:rsid w:val="0098390B"/>
    <w:rsid w:val="00984248"/>
    <w:rsid w:val="0098502E"/>
    <w:rsid w:val="009905EB"/>
    <w:rsid w:val="0099228B"/>
    <w:rsid w:val="009937B8"/>
    <w:rsid w:val="009959C0"/>
    <w:rsid w:val="00995BE8"/>
    <w:rsid w:val="00995C8E"/>
    <w:rsid w:val="009968CA"/>
    <w:rsid w:val="009A142E"/>
    <w:rsid w:val="009A1856"/>
    <w:rsid w:val="009A1B54"/>
    <w:rsid w:val="009A28D1"/>
    <w:rsid w:val="009A34D8"/>
    <w:rsid w:val="009A424B"/>
    <w:rsid w:val="009A4DE5"/>
    <w:rsid w:val="009A578B"/>
    <w:rsid w:val="009A6550"/>
    <w:rsid w:val="009B0CF3"/>
    <w:rsid w:val="009B134A"/>
    <w:rsid w:val="009B19E4"/>
    <w:rsid w:val="009B25FE"/>
    <w:rsid w:val="009B2B80"/>
    <w:rsid w:val="009C1DAA"/>
    <w:rsid w:val="009C4686"/>
    <w:rsid w:val="009C669A"/>
    <w:rsid w:val="009C7D14"/>
    <w:rsid w:val="009D07D1"/>
    <w:rsid w:val="009D1555"/>
    <w:rsid w:val="009D3E69"/>
    <w:rsid w:val="009D4137"/>
    <w:rsid w:val="009D5D28"/>
    <w:rsid w:val="009D76F8"/>
    <w:rsid w:val="009D7AC5"/>
    <w:rsid w:val="009E09CC"/>
    <w:rsid w:val="009E0C1E"/>
    <w:rsid w:val="009E0C58"/>
    <w:rsid w:val="009E2903"/>
    <w:rsid w:val="009F1356"/>
    <w:rsid w:val="009F2D0F"/>
    <w:rsid w:val="009F3688"/>
    <w:rsid w:val="009F49BC"/>
    <w:rsid w:val="009F4A64"/>
    <w:rsid w:val="009F6792"/>
    <w:rsid w:val="009F6DA1"/>
    <w:rsid w:val="009F7C5C"/>
    <w:rsid w:val="00A00189"/>
    <w:rsid w:val="00A030AF"/>
    <w:rsid w:val="00A0404D"/>
    <w:rsid w:val="00A05821"/>
    <w:rsid w:val="00A06A5C"/>
    <w:rsid w:val="00A106D7"/>
    <w:rsid w:val="00A13697"/>
    <w:rsid w:val="00A20386"/>
    <w:rsid w:val="00A221D5"/>
    <w:rsid w:val="00A2271C"/>
    <w:rsid w:val="00A230EE"/>
    <w:rsid w:val="00A23DD4"/>
    <w:rsid w:val="00A25935"/>
    <w:rsid w:val="00A2617B"/>
    <w:rsid w:val="00A271BB"/>
    <w:rsid w:val="00A27604"/>
    <w:rsid w:val="00A30A4A"/>
    <w:rsid w:val="00A30B32"/>
    <w:rsid w:val="00A30CB5"/>
    <w:rsid w:val="00A30ECE"/>
    <w:rsid w:val="00A31040"/>
    <w:rsid w:val="00A3166E"/>
    <w:rsid w:val="00A31FF0"/>
    <w:rsid w:val="00A326C5"/>
    <w:rsid w:val="00A35CA0"/>
    <w:rsid w:val="00A35E16"/>
    <w:rsid w:val="00A36899"/>
    <w:rsid w:val="00A37090"/>
    <w:rsid w:val="00A41B17"/>
    <w:rsid w:val="00A43382"/>
    <w:rsid w:val="00A4356F"/>
    <w:rsid w:val="00A4618A"/>
    <w:rsid w:val="00A46676"/>
    <w:rsid w:val="00A50516"/>
    <w:rsid w:val="00A5068A"/>
    <w:rsid w:val="00A510D8"/>
    <w:rsid w:val="00A513E6"/>
    <w:rsid w:val="00A51CF0"/>
    <w:rsid w:val="00A5238B"/>
    <w:rsid w:val="00A525CC"/>
    <w:rsid w:val="00A5269F"/>
    <w:rsid w:val="00A5515C"/>
    <w:rsid w:val="00A5597A"/>
    <w:rsid w:val="00A55A43"/>
    <w:rsid w:val="00A55B85"/>
    <w:rsid w:val="00A57A59"/>
    <w:rsid w:val="00A64100"/>
    <w:rsid w:val="00A64CA6"/>
    <w:rsid w:val="00A660F4"/>
    <w:rsid w:val="00A67C05"/>
    <w:rsid w:val="00A67FE2"/>
    <w:rsid w:val="00A7066D"/>
    <w:rsid w:val="00A75829"/>
    <w:rsid w:val="00A7629E"/>
    <w:rsid w:val="00A80698"/>
    <w:rsid w:val="00A83FB6"/>
    <w:rsid w:val="00A85C4C"/>
    <w:rsid w:val="00A8759B"/>
    <w:rsid w:val="00A9039C"/>
    <w:rsid w:val="00A91A84"/>
    <w:rsid w:val="00A92F3E"/>
    <w:rsid w:val="00A93213"/>
    <w:rsid w:val="00A954EE"/>
    <w:rsid w:val="00A956B1"/>
    <w:rsid w:val="00A964E7"/>
    <w:rsid w:val="00A96C72"/>
    <w:rsid w:val="00AA18ED"/>
    <w:rsid w:val="00AA1F1F"/>
    <w:rsid w:val="00AA26A0"/>
    <w:rsid w:val="00AA27AE"/>
    <w:rsid w:val="00AA4E79"/>
    <w:rsid w:val="00AA4EF8"/>
    <w:rsid w:val="00AB41C1"/>
    <w:rsid w:val="00AB7CAE"/>
    <w:rsid w:val="00AC0F1B"/>
    <w:rsid w:val="00AC29E5"/>
    <w:rsid w:val="00AC401E"/>
    <w:rsid w:val="00AC6E71"/>
    <w:rsid w:val="00AD2B90"/>
    <w:rsid w:val="00AD42DC"/>
    <w:rsid w:val="00AD466B"/>
    <w:rsid w:val="00AD4CFD"/>
    <w:rsid w:val="00AD6FCA"/>
    <w:rsid w:val="00AE1A27"/>
    <w:rsid w:val="00AE20FC"/>
    <w:rsid w:val="00AE341F"/>
    <w:rsid w:val="00AE3CA6"/>
    <w:rsid w:val="00AE42C4"/>
    <w:rsid w:val="00AE6A52"/>
    <w:rsid w:val="00AE7F70"/>
    <w:rsid w:val="00AF1E84"/>
    <w:rsid w:val="00AF4276"/>
    <w:rsid w:val="00AF5EAA"/>
    <w:rsid w:val="00AF7505"/>
    <w:rsid w:val="00AF7769"/>
    <w:rsid w:val="00B0029F"/>
    <w:rsid w:val="00B0062F"/>
    <w:rsid w:val="00B014E9"/>
    <w:rsid w:val="00B03254"/>
    <w:rsid w:val="00B03FD5"/>
    <w:rsid w:val="00B07C89"/>
    <w:rsid w:val="00B15B2F"/>
    <w:rsid w:val="00B15C68"/>
    <w:rsid w:val="00B16932"/>
    <w:rsid w:val="00B16C65"/>
    <w:rsid w:val="00B179AA"/>
    <w:rsid w:val="00B21ED8"/>
    <w:rsid w:val="00B23142"/>
    <w:rsid w:val="00B2622D"/>
    <w:rsid w:val="00B26EEB"/>
    <w:rsid w:val="00B27E86"/>
    <w:rsid w:val="00B326A7"/>
    <w:rsid w:val="00B34267"/>
    <w:rsid w:val="00B36836"/>
    <w:rsid w:val="00B369A8"/>
    <w:rsid w:val="00B37A93"/>
    <w:rsid w:val="00B37DD6"/>
    <w:rsid w:val="00B41BB5"/>
    <w:rsid w:val="00B4239F"/>
    <w:rsid w:val="00B43D5D"/>
    <w:rsid w:val="00B44053"/>
    <w:rsid w:val="00B46C3F"/>
    <w:rsid w:val="00B4756E"/>
    <w:rsid w:val="00B47FAC"/>
    <w:rsid w:val="00B507EF"/>
    <w:rsid w:val="00B50E30"/>
    <w:rsid w:val="00B516CB"/>
    <w:rsid w:val="00B51CDF"/>
    <w:rsid w:val="00B53787"/>
    <w:rsid w:val="00B537E6"/>
    <w:rsid w:val="00B57FBF"/>
    <w:rsid w:val="00B616B5"/>
    <w:rsid w:val="00B6513F"/>
    <w:rsid w:val="00B66222"/>
    <w:rsid w:val="00B6657C"/>
    <w:rsid w:val="00B675D0"/>
    <w:rsid w:val="00B71E4E"/>
    <w:rsid w:val="00B8368E"/>
    <w:rsid w:val="00B83807"/>
    <w:rsid w:val="00B83D55"/>
    <w:rsid w:val="00B87378"/>
    <w:rsid w:val="00B915D6"/>
    <w:rsid w:val="00B9252B"/>
    <w:rsid w:val="00B93C3C"/>
    <w:rsid w:val="00B93FCF"/>
    <w:rsid w:val="00B942FD"/>
    <w:rsid w:val="00B944BF"/>
    <w:rsid w:val="00BA3D26"/>
    <w:rsid w:val="00BA3F5D"/>
    <w:rsid w:val="00BA4D43"/>
    <w:rsid w:val="00BA4F12"/>
    <w:rsid w:val="00BA5941"/>
    <w:rsid w:val="00BA6A94"/>
    <w:rsid w:val="00BA6D8F"/>
    <w:rsid w:val="00BB0D0C"/>
    <w:rsid w:val="00BB16F4"/>
    <w:rsid w:val="00BB4B17"/>
    <w:rsid w:val="00BB5402"/>
    <w:rsid w:val="00BB68EC"/>
    <w:rsid w:val="00BB6AEA"/>
    <w:rsid w:val="00BC0D40"/>
    <w:rsid w:val="00BC12AB"/>
    <w:rsid w:val="00BC1F4A"/>
    <w:rsid w:val="00BC3642"/>
    <w:rsid w:val="00BC509F"/>
    <w:rsid w:val="00BD0891"/>
    <w:rsid w:val="00BD17FE"/>
    <w:rsid w:val="00BD58AA"/>
    <w:rsid w:val="00BD5A7B"/>
    <w:rsid w:val="00BD6D58"/>
    <w:rsid w:val="00BD7802"/>
    <w:rsid w:val="00BE1096"/>
    <w:rsid w:val="00BE13D6"/>
    <w:rsid w:val="00BF0364"/>
    <w:rsid w:val="00BF18B3"/>
    <w:rsid w:val="00BF26FF"/>
    <w:rsid w:val="00BF2B38"/>
    <w:rsid w:val="00BF42B0"/>
    <w:rsid w:val="00BF5C76"/>
    <w:rsid w:val="00C01082"/>
    <w:rsid w:val="00C0110D"/>
    <w:rsid w:val="00C01622"/>
    <w:rsid w:val="00C02A77"/>
    <w:rsid w:val="00C06498"/>
    <w:rsid w:val="00C06E6E"/>
    <w:rsid w:val="00C12050"/>
    <w:rsid w:val="00C12DB2"/>
    <w:rsid w:val="00C13688"/>
    <w:rsid w:val="00C13765"/>
    <w:rsid w:val="00C172E4"/>
    <w:rsid w:val="00C201A3"/>
    <w:rsid w:val="00C2039E"/>
    <w:rsid w:val="00C2118E"/>
    <w:rsid w:val="00C21246"/>
    <w:rsid w:val="00C22685"/>
    <w:rsid w:val="00C2647F"/>
    <w:rsid w:val="00C26D40"/>
    <w:rsid w:val="00C31AC6"/>
    <w:rsid w:val="00C32170"/>
    <w:rsid w:val="00C341B3"/>
    <w:rsid w:val="00C346C5"/>
    <w:rsid w:val="00C34B56"/>
    <w:rsid w:val="00C402C3"/>
    <w:rsid w:val="00C40C5F"/>
    <w:rsid w:val="00C427F0"/>
    <w:rsid w:val="00C428DA"/>
    <w:rsid w:val="00C43118"/>
    <w:rsid w:val="00C432C7"/>
    <w:rsid w:val="00C4346D"/>
    <w:rsid w:val="00C44AC2"/>
    <w:rsid w:val="00C44D8E"/>
    <w:rsid w:val="00C47DB6"/>
    <w:rsid w:val="00C501D6"/>
    <w:rsid w:val="00C50927"/>
    <w:rsid w:val="00C51E04"/>
    <w:rsid w:val="00C532EB"/>
    <w:rsid w:val="00C53B5E"/>
    <w:rsid w:val="00C57487"/>
    <w:rsid w:val="00C5770E"/>
    <w:rsid w:val="00C60354"/>
    <w:rsid w:val="00C615DF"/>
    <w:rsid w:val="00C62E57"/>
    <w:rsid w:val="00C62F64"/>
    <w:rsid w:val="00C6493C"/>
    <w:rsid w:val="00C65C0B"/>
    <w:rsid w:val="00C679EF"/>
    <w:rsid w:val="00C71981"/>
    <w:rsid w:val="00C7313A"/>
    <w:rsid w:val="00C75AE3"/>
    <w:rsid w:val="00C81EEA"/>
    <w:rsid w:val="00C84D76"/>
    <w:rsid w:val="00C870F2"/>
    <w:rsid w:val="00C876B7"/>
    <w:rsid w:val="00C93DA5"/>
    <w:rsid w:val="00C940C6"/>
    <w:rsid w:val="00C9490D"/>
    <w:rsid w:val="00C94B8F"/>
    <w:rsid w:val="00C94F34"/>
    <w:rsid w:val="00C9502F"/>
    <w:rsid w:val="00C95759"/>
    <w:rsid w:val="00C95BF2"/>
    <w:rsid w:val="00C9639C"/>
    <w:rsid w:val="00C96F2A"/>
    <w:rsid w:val="00C97DA4"/>
    <w:rsid w:val="00CA6284"/>
    <w:rsid w:val="00CA74EA"/>
    <w:rsid w:val="00CB07D7"/>
    <w:rsid w:val="00CB0867"/>
    <w:rsid w:val="00CB10BC"/>
    <w:rsid w:val="00CB2C53"/>
    <w:rsid w:val="00CB489E"/>
    <w:rsid w:val="00CB72D0"/>
    <w:rsid w:val="00CB7370"/>
    <w:rsid w:val="00CB7FF3"/>
    <w:rsid w:val="00CC0EE2"/>
    <w:rsid w:val="00CC10EC"/>
    <w:rsid w:val="00CC24F4"/>
    <w:rsid w:val="00CC38F1"/>
    <w:rsid w:val="00CC3BE0"/>
    <w:rsid w:val="00CC56AC"/>
    <w:rsid w:val="00CC5E97"/>
    <w:rsid w:val="00CC6B45"/>
    <w:rsid w:val="00CD0F8D"/>
    <w:rsid w:val="00CD3239"/>
    <w:rsid w:val="00CD42FF"/>
    <w:rsid w:val="00CD521D"/>
    <w:rsid w:val="00CD6445"/>
    <w:rsid w:val="00CE1BA3"/>
    <w:rsid w:val="00CE2C8C"/>
    <w:rsid w:val="00CE3F75"/>
    <w:rsid w:val="00CF04C8"/>
    <w:rsid w:val="00CF072D"/>
    <w:rsid w:val="00CF079D"/>
    <w:rsid w:val="00CF1045"/>
    <w:rsid w:val="00CF1AEE"/>
    <w:rsid w:val="00CF3525"/>
    <w:rsid w:val="00CF35C8"/>
    <w:rsid w:val="00CF6D29"/>
    <w:rsid w:val="00D002FD"/>
    <w:rsid w:val="00D01B19"/>
    <w:rsid w:val="00D026ED"/>
    <w:rsid w:val="00D030D5"/>
    <w:rsid w:val="00D03194"/>
    <w:rsid w:val="00D0642A"/>
    <w:rsid w:val="00D073A9"/>
    <w:rsid w:val="00D07BBC"/>
    <w:rsid w:val="00D1088A"/>
    <w:rsid w:val="00D113CF"/>
    <w:rsid w:val="00D12471"/>
    <w:rsid w:val="00D12824"/>
    <w:rsid w:val="00D129EC"/>
    <w:rsid w:val="00D1468E"/>
    <w:rsid w:val="00D16B9C"/>
    <w:rsid w:val="00D16D3C"/>
    <w:rsid w:val="00D2032C"/>
    <w:rsid w:val="00D22CB8"/>
    <w:rsid w:val="00D2403E"/>
    <w:rsid w:val="00D2481C"/>
    <w:rsid w:val="00D26307"/>
    <w:rsid w:val="00D26D43"/>
    <w:rsid w:val="00D27B08"/>
    <w:rsid w:val="00D3068F"/>
    <w:rsid w:val="00D31A35"/>
    <w:rsid w:val="00D339E7"/>
    <w:rsid w:val="00D346C8"/>
    <w:rsid w:val="00D34B07"/>
    <w:rsid w:val="00D3576F"/>
    <w:rsid w:val="00D35924"/>
    <w:rsid w:val="00D36074"/>
    <w:rsid w:val="00D36146"/>
    <w:rsid w:val="00D37D0B"/>
    <w:rsid w:val="00D401C5"/>
    <w:rsid w:val="00D42148"/>
    <w:rsid w:val="00D42335"/>
    <w:rsid w:val="00D42698"/>
    <w:rsid w:val="00D43320"/>
    <w:rsid w:val="00D435E3"/>
    <w:rsid w:val="00D4396F"/>
    <w:rsid w:val="00D44B21"/>
    <w:rsid w:val="00D4559A"/>
    <w:rsid w:val="00D45AFC"/>
    <w:rsid w:val="00D45D23"/>
    <w:rsid w:val="00D47BA4"/>
    <w:rsid w:val="00D50CC7"/>
    <w:rsid w:val="00D50EC5"/>
    <w:rsid w:val="00D51563"/>
    <w:rsid w:val="00D515F1"/>
    <w:rsid w:val="00D53219"/>
    <w:rsid w:val="00D53618"/>
    <w:rsid w:val="00D542D9"/>
    <w:rsid w:val="00D561BB"/>
    <w:rsid w:val="00D56725"/>
    <w:rsid w:val="00D56DC8"/>
    <w:rsid w:val="00D6013E"/>
    <w:rsid w:val="00D61432"/>
    <w:rsid w:val="00D617F1"/>
    <w:rsid w:val="00D64AC3"/>
    <w:rsid w:val="00D709C0"/>
    <w:rsid w:val="00D71114"/>
    <w:rsid w:val="00D7254E"/>
    <w:rsid w:val="00D72C45"/>
    <w:rsid w:val="00D72E1F"/>
    <w:rsid w:val="00D73B85"/>
    <w:rsid w:val="00D74CF2"/>
    <w:rsid w:val="00D74ECF"/>
    <w:rsid w:val="00D76A2E"/>
    <w:rsid w:val="00D80DE8"/>
    <w:rsid w:val="00D81462"/>
    <w:rsid w:val="00D86F57"/>
    <w:rsid w:val="00D90C15"/>
    <w:rsid w:val="00D9120A"/>
    <w:rsid w:val="00D94DFA"/>
    <w:rsid w:val="00D95B62"/>
    <w:rsid w:val="00D961CD"/>
    <w:rsid w:val="00DA1266"/>
    <w:rsid w:val="00DA285C"/>
    <w:rsid w:val="00DA30F4"/>
    <w:rsid w:val="00DA48C0"/>
    <w:rsid w:val="00DA49C6"/>
    <w:rsid w:val="00DA5629"/>
    <w:rsid w:val="00DA592E"/>
    <w:rsid w:val="00DA6FF5"/>
    <w:rsid w:val="00DA7813"/>
    <w:rsid w:val="00DA7A1C"/>
    <w:rsid w:val="00DB2E62"/>
    <w:rsid w:val="00DB2FE9"/>
    <w:rsid w:val="00DB443E"/>
    <w:rsid w:val="00DC11E5"/>
    <w:rsid w:val="00DC1A09"/>
    <w:rsid w:val="00DC2ED3"/>
    <w:rsid w:val="00DC312D"/>
    <w:rsid w:val="00DC5925"/>
    <w:rsid w:val="00DC7E6B"/>
    <w:rsid w:val="00DD0B41"/>
    <w:rsid w:val="00DD1AED"/>
    <w:rsid w:val="00DD3C4D"/>
    <w:rsid w:val="00DD5999"/>
    <w:rsid w:val="00DD729A"/>
    <w:rsid w:val="00DE0E84"/>
    <w:rsid w:val="00DE1CC3"/>
    <w:rsid w:val="00DE41E4"/>
    <w:rsid w:val="00DE4C89"/>
    <w:rsid w:val="00DE5901"/>
    <w:rsid w:val="00DE7CB8"/>
    <w:rsid w:val="00DF643E"/>
    <w:rsid w:val="00DF6B51"/>
    <w:rsid w:val="00E0455D"/>
    <w:rsid w:val="00E07A6E"/>
    <w:rsid w:val="00E10349"/>
    <w:rsid w:val="00E12B11"/>
    <w:rsid w:val="00E135D8"/>
    <w:rsid w:val="00E14697"/>
    <w:rsid w:val="00E17FFC"/>
    <w:rsid w:val="00E200CA"/>
    <w:rsid w:val="00E20FC3"/>
    <w:rsid w:val="00E210D3"/>
    <w:rsid w:val="00E2354D"/>
    <w:rsid w:val="00E2384A"/>
    <w:rsid w:val="00E23A4B"/>
    <w:rsid w:val="00E26CCF"/>
    <w:rsid w:val="00E3119C"/>
    <w:rsid w:val="00E335BC"/>
    <w:rsid w:val="00E35BD6"/>
    <w:rsid w:val="00E3620C"/>
    <w:rsid w:val="00E37A01"/>
    <w:rsid w:val="00E41109"/>
    <w:rsid w:val="00E4143F"/>
    <w:rsid w:val="00E416A4"/>
    <w:rsid w:val="00E50E6A"/>
    <w:rsid w:val="00E51745"/>
    <w:rsid w:val="00E51E41"/>
    <w:rsid w:val="00E52455"/>
    <w:rsid w:val="00E528F3"/>
    <w:rsid w:val="00E53371"/>
    <w:rsid w:val="00E537C8"/>
    <w:rsid w:val="00E53DE6"/>
    <w:rsid w:val="00E54685"/>
    <w:rsid w:val="00E5501D"/>
    <w:rsid w:val="00E565BF"/>
    <w:rsid w:val="00E604B0"/>
    <w:rsid w:val="00E614F2"/>
    <w:rsid w:val="00E6199F"/>
    <w:rsid w:val="00E62668"/>
    <w:rsid w:val="00E6729B"/>
    <w:rsid w:val="00E67F5E"/>
    <w:rsid w:val="00E71A87"/>
    <w:rsid w:val="00E72E9D"/>
    <w:rsid w:val="00E761F2"/>
    <w:rsid w:val="00E770DA"/>
    <w:rsid w:val="00E775F4"/>
    <w:rsid w:val="00E80D60"/>
    <w:rsid w:val="00E81125"/>
    <w:rsid w:val="00E8142E"/>
    <w:rsid w:val="00E82A6C"/>
    <w:rsid w:val="00E82F20"/>
    <w:rsid w:val="00E839FA"/>
    <w:rsid w:val="00E83B34"/>
    <w:rsid w:val="00E83B86"/>
    <w:rsid w:val="00E860C8"/>
    <w:rsid w:val="00E86606"/>
    <w:rsid w:val="00E8780D"/>
    <w:rsid w:val="00E87963"/>
    <w:rsid w:val="00E9077A"/>
    <w:rsid w:val="00E90EAC"/>
    <w:rsid w:val="00E92820"/>
    <w:rsid w:val="00E9372C"/>
    <w:rsid w:val="00E94C7E"/>
    <w:rsid w:val="00E96EA7"/>
    <w:rsid w:val="00E9747B"/>
    <w:rsid w:val="00EA2297"/>
    <w:rsid w:val="00EA2616"/>
    <w:rsid w:val="00EA2E16"/>
    <w:rsid w:val="00EA2F66"/>
    <w:rsid w:val="00EA3C7D"/>
    <w:rsid w:val="00EA3D1E"/>
    <w:rsid w:val="00EA6D2F"/>
    <w:rsid w:val="00EA71D8"/>
    <w:rsid w:val="00EB2722"/>
    <w:rsid w:val="00EB274F"/>
    <w:rsid w:val="00EB2780"/>
    <w:rsid w:val="00EB3A71"/>
    <w:rsid w:val="00EB4003"/>
    <w:rsid w:val="00EB5BBF"/>
    <w:rsid w:val="00EB6175"/>
    <w:rsid w:val="00EB6E74"/>
    <w:rsid w:val="00EC2DB8"/>
    <w:rsid w:val="00EC361A"/>
    <w:rsid w:val="00EC4962"/>
    <w:rsid w:val="00EC53C0"/>
    <w:rsid w:val="00EC5CF1"/>
    <w:rsid w:val="00EC7FBE"/>
    <w:rsid w:val="00EC7FEF"/>
    <w:rsid w:val="00ED1A81"/>
    <w:rsid w:val="00ED1AFC"/>
    <w:rsid w:val="00ED22C5"/>
    <w:rsid w:val="00ED310E"/>
    <w:rsid w:val="00EE0E03"/>
    <w:rsid w:val="00EE25A0"/>
    <w:rsid w:val="00EE296C"/>
    <w:rsid w:val="00EE5EEE"/>
    <w:rsid w:val="00EE6196"/>
    <w:rsid w:val="00EF3BF3"/>
    <w:rsid w:val="00EF4185"/>
    <w:rsid w:val="00EF5702"/>
    <w:rsid w:val="00EF6501"/>
    <w:rsid w:val="00EF7C3C"/>
    <w:rsid w:val="00F00745"/>
    <w:rsid w:val="00F01BB0"/>
    <w:rsid w:val="00F01EE2"/>
    <w:rsid w:val="00F03850"/>
    <w:rsid w:val="00F04569"/>
    <w:rsid w:val="00F04CEC"/>
    <w:rsid w:val="00F0509F"/>
    <w:rsid w:val="00F1455C"/>
    <w:rsid w:val="00F14CAE"/>
    <w:rsid w:val="00F230AD"/>
    <w:rsid w:val="00F234DF"/>
    <w:rsid w:val="00F25697"/>
    <w:rsid w:val="00F25AEC"/>
    <w:rsid w:val="00F25F28"/>
    <w:rsid w:val="00F30CEB"/>
    <w:rsid w:val="00F30FC7"/>
    <w:rsid w:val="00F34CB3"/>
    <w:rsid w:val="00F352E3"/>
    <w:rsid w:val="00F35F56"/>
    <w:rsid w:val="00F37262"/>
    <w:rsid w:val="00F40368"/>
    <w:rsid w:val="00F47A9D"/>
    <w:rsid w:val="00F47F02"/>
    <w:rsid w:val="00F51C1C"/>
    <w:rsid w:val="00F51C58"/>
    <w:rsid w:val="00F523F4"/>
    <w:rsid w:val="00F537A5"/>
    <w:rsid w:val="00F53AEA"/>
    <w:rsid w:val="00F53EE6"/>
    <w:rsid w:val="00F560C9"/>
    <w:rsid w:val="00F574B7"/>
    <w:rsid w:val="00F610AE"/>
    <w:rsid w:val="00F61E6C"/>
    <w:rsid w:val="00F63547"/>
    <w:rsid w:val="00F647F9"/>
    <w:rsid w:val="00F65021"/>
    <w:rsid w:val="00F6694A"/>
    <w:rsid w:val="00F71857"/>
    <w:rsid w:val="00F71ED3"/>
    <w:rsid w:val="00F751CC"/>
    <w:rsid w:val="00F75A9F"/>
    <w:rsid w:val="00F769FF"/>
    <w:rsid w:val="00F807F6"/>
    <w:rsid w:val="00F82199"/>
    <w:rsid w:val="00F82F6B"/>
    <w:rsid w:val="00F84047"/>
    <w:rsid w:val="00F845C5"/>
    <w:rsid w:val="00F85F17"/>
    <w:rsid w:val="00F902BC"/>
    <w:rsid w:val="00F91BE1"/>
    <w:rsid w:val="00F91C79"/>
    <w:rsid w:val="00F928A9"/>
    <w:rsid w:val="00F935B3"/>
    <w:rsid w:val="00F93AD6"/>
    <w:rsid w:val="00F95552"/>
    <w:rsid w:val="00F97906"/>
    <w:rsid w:val="00FA0614"/>
    <w:rsid w:val="00FA15E6"/>
    <w:rsid w:val="00FA1A44"/>
    <w:rsid w:val="00FA226B"/>
    <w:rsid w:val="00FA4123"/>
    <w:rsid w:val="00FA486E"/>
    <w:rsid w:val="00FA5222"/>
    <w:rsid w:val="00FA681E"/>
    <w:rsid w:val="00FA794E"/>
    <w:rsid w:val="00FB0257"/>
    <w:rsid w:val="00FB1CC6"/>
    <w:rsid w:val="00FB5F5D"/>
    <w:rsid w:val="00FB6702"/>
    <w:rsid w:val="00FB68DA"/>
    <w:rsid w:val="00FB78B6"/>
    <w:rsid w:val="00FC0BC5"/>
    <w:rsid w:val="00FC2787"/>
    <w:rsid w:val="00FC421A"/>
    <w:rsid w:val="00FC7457"/>
    <w:rsid w:val="00FD04E1"/>
    <w:rsid w:val="00FD2C62"/>
    <w:rsid w:val="00FD3150"/>
    <w:rsid w:val="00FD46F6"/>
    <w:rsid w:val="00FD6556"/>
    <w:rsid w:val="00FD68DA"/>
    <w:rsid w:val="00FD6EE8"/>
    <w:rsid w:val="00FD703A"/>
    <w:rsid w:val="00FE044F"/>
    <w:rsid w:val="00FE28E2"/>
    <w:rsid w:val="00FE2E28"/>
    <w:rsid w:val="00FE41EE"/>
    <w:rsid w:val="00FE42F5"/>
    <w:rsid w:val="00FE73FF"/>
    <w:rsid w:val="00FE7924"/>
    <w:rsid w:val="00FF07EE"/>
    <w:rsid w:val="00FF22CC"/>
    <w:rsid w:val="00FF2FDF"/>
    <w:rsid w:val="00FF61B9"/>
    <w:rsid w:val="00FF6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734D90-2DED-4CFF-9D47-8F4722AE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15C"/>
    <w:rPr>
      <w:rFonts w:eastAsiaTheme="minorEastAsia"/>
      <w:lang w:val="en-GB" w:bidi="en-US"/>
    </w:rPr>
  </w:style>
  <w:style w:type="paragraph" w:styleId="Heading1">
    <w:name w:val="heading 1"/>
    <w:basedOn w:val="Normal"/>
    <w:next w:val="Normal"/>
    <w:link w:val="Heading1Char"/>
    <w:uiPriority w:val="9"/>
    <w:qFormat/>
    <w:rsid w:val="00FD2C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2C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37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37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61A2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5C4"/>
    <w:pPr>
      <w:ind w:left="720"/>
      <w:contextualSpacing/>
    </w:pPr>
  </w:style>
  <w:style w:type="paragraph" w:styleId="FootnoteText">
    <w:name w:val="footnote text"/>
    <w:basedOn w:val="Normal"/>
    <w:link w:val="FootnoteTextChar"/>
    <w:uiPriority w:val="99"/>
    <w:rsid w:val="000805C4"/>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rsid w:val="000805C4"/>
    <w:rPr>
      <w:rFonts w:ascii="Calibri" w:eastAsia="Times New Roman" w:hAnsi="Calibri" w:cs="Times New Roman"/>
      <w:sz w:val="20"/>
      <w:szCs w:val="20"/>
      <w:lang w:val="en-GB" w:bidi="en-US"/>
    </w:rPr>
  </w:style>
  <w:style w:type="character" w:styleId="FootnoteReference">
    <w:name w:val="footnote reference"/>
    <w:uiPriority w:val="99"/>
    <w:rsid w:val="000805C4"/>
    <w:rPr>
      <w:rFonts w:cs="Times New Roman"/>
      <w:vertAlign w:val="superscript"/>
    </w:rPr>
  </w:style>
  <w:style w:type="character" w:styleId="Hyperlink">
    <w:name w:val="Hyperlink"/>
    <w:uiPriority w:val="99"/>
    <w:rsid w:val="00FD2C62"/>
    <w:rPr>
      <w:rFonts w:cs="Times New Roman"/>
      <w:color w:val="0000FF"/>
      <w:u w:val="single"/>
    </w:rPr>
  </w:style>
  <w:style w:type="paragraph" w:styleId="ListBullet">
    <w:name w:val="List Bullet"/>
    <w:basedOn w:val="Normal"/>
    <w:unhideWhenUsed/>
    <w:rsid w:val="00FD2C62"/>
    <w:pPr>
      <w:numPr>
        <w:numId w:val="2"/>
      </w:numPr>
      <w:contextualSpacing/>
    </w:pPr>
    <w:rPr>
      <w:lang w:val="en-SG" w:eastAsia="en-SG" w:bidi="ar-SA"/>
    </w:rPr>
  </w:style>
  <w:style w:type="character" w:customStyle="1" w:styleId="Heading2Char">
    <w:name w:val="Heading 2 Char"/>
    <w:basedOn w:val="DefaultParagraphFont"/>
    <w:link w:val="Heading2"/>
    <w:uiPriority w:val="9"/>
    <w:rsid w:val="00FD2C62"/>
    <w:rPr>
      <w:rFonts w:asciiTheme="majorHAnsi" w:eastAsiaTheme="majorEastAsia" w:hAnsiTheme="majorHAnsi" w:cstheme="majorBidi"/>
      <w:b/>
      <w:bCs/>
      <w:color w:val="4F81BD" w:themeColor="accent1"/>
      <w:sz w:val="26"/>
      <w:szCs w:val="26"/>
      <w:lang w:val="en-GB" w:bidi="en-US"/>
    </w:rPr>
  </w:style>
  <w:style w:type="character" w:customStyle="1" w:styleId="Heading1Char">
    <w:name w:val="Heading 1 Char"/>
    <w:basedOn w:val="DefaultParagraphFont"/>
    <w:link w:val="Heading1"/>
    <w:uiPriority w:val="9"/>
    <w:rsid w:val="00FD2C62"/>
    <w:rPr>
      <w:rFonts w:asciiTheme="majorHAnsi" w:eastAsiaTheme="majorEastAsia" w:hAnsiTheme="majorHAnsi" w:cstheme="majorBidi"/>
      <w:b/>
      <w:bCs/>
      <w:color w:val="365F91" w:themeColor="accent1" w:themeShade="BF"/>
      <w:sz w:val="28"/>
      <w:szCs w:val="28"/>
      <w:lang w:val="en-GB" w:bidi="en-US"/>
    </w:rPr>
  </w:style>
  <w:style w:type="character" w:customStyle="1" w:styleId="Heading3Char">
    <w:name w:val="Heading 3 Char"/>
    <w:basedOn w:val="DefaultParagraphFont"/>
    <w:link w:val="Heading3"/>
    <w:uiPriority w:val="9"/>
    <w:rsid w:val="0062378D"/>
    <w:rPr>
      <w:rFonts w:asciiTheme="majorHAnsi" w:eastAsiaTheme="majorEastAsia" w:hAnsiTheme="majorHAnsi" w:cstheme="majorBidi"/>
      <w:b/>
      <w:bCs/>
      <w:color w:val="4F81BD" w:themeColor="accent1"/>
      <w:lang w:val="en-GB" w:bidi="en-US"/>
    </w:rPr>
  </w:style>
  <w:style w:type="character" w:customStyle="1" w:styleId="Heading4Char">
    <w:name w:val="Heading 4 Char"/>
    <w:basedOn w:val="DefaultParagraphFont"/>
    <w:link w:val="Heading4"/>
    <w:uiPriority w:val="9"/>
    <w:rsid w:val="0062378D"/>
    <w:rPr>
      <w:rFonts w:asciiTheme="majorHAnsi" w:eastAsiaTheme="majorEastAsia" w:hAnsiTheme="majorHAnsi" w:cstheme="majorBidi"/>
      <w:b/>
      <w:bCs/>
      <w:i/>
      <w:iCs/>
      <w:color w:val="4F81BD" w:themeColor="accent1"/>
      <w:lang w:val="en-GB" w:bidi="en-US"/>
    </w:rPr>
  </w:style>
  <w:style w:type="table" w:styleId="TableGrid">
    <w:name w:val="Table Grid"/>
    <w:basedOn w:val="TableNormal"/>
    <w:rsid w:val="00905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A2593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TableNormal"/>
    <w:uiPriority w:val="46"/>
    <w:rsid w:val="009D07D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8A4217"/>
    <w:rPr>
      <w:sz w:val="16"/>
      <w:szCs w:val="16"/>
    </w:rPr>
  </w:style>
  <w:style w:type="paragraph" w:styleId="CommentText">
    <w:name w:val="annotation text"/>
    <w:basedOn w:val="Normal"/>
    <w:link w:val="CommentTextChar"/>
    <w:uiPriority w:val="99"/>
    <w:semiHidden/>
    <w:unhideWhenUsed/>
    <w:rsid w:val="008A4217"/>
    <w:pPr>
      <w:spacing w:line="240" w:lineRule="auto"/>
    </w:pPr>
    <w:rPr>
      <w:sz w:val="20"/>
      <w:szCs w:val="20"/>
    </w:rPr>
  </w:style>
  <w:style w:type="character" w:customStyle="1" w:styleId="CommentTextChar">
    <w:name w:val="Comment Text Char"/>
    <w:basedOn w:val="DefaultParagraphFont"/>
    <w:link w:val="CommentText"/>
    <w:uiPriority w:val="99"/>
    <w:semiHidden/>
    <w:rsid w:val="008A4217"/>
    <w:rPr>
      <w:rFonts w:eastAsiaTheme="minorEastAsia"/>
      <w:sz w:val="20"/>
      <w:szCs w:val="20"/>
      <w:lang w:val="en-GB" w:bidi="en-US"/>
    </w:rPr>
  </w:style>
  <w:style w:type="paragraph" w:styleId="CommentSubject">
    <w:name w:val="annotation subject"/>
    <w:basedOn w:val="CommentText"/>
    <w:next w:val="CommentText"/>
    <w:link w:val="CommentSubjectChar"/>
    <w:uiPriority w:val="99"/>
    <w:semiHidden/>
    <w:unhideWhenUsed/>
    <w:rsid w:val="008A4217"/>
    <w:rPr>
      <w:b/>
      <w:bCs/>
    </w:rPr>
  </w:style>
  <w:style w:type="character" w:customStyle="1" w:styleId="CommentSubjectChar">
    <w:name w:val="Comment Subject Char"/>
    <w:basedOn w:val="CommentTextChar"/>
    <w:link w:val="CommentSubject"/>
    <w:uiPriority w:val="99"/>
    <w:semiHidden/>
    <w:rsid w:val="008A4217"/>
    <w:rPr>
      <w:rFonts w:eastAsiaTheme="minorEastAsia"/>
      <w:b/>
      <w:bCs/>
      <w:sz w:val="20"/>
      <w:szCs w:val="20"/>
      <w:lang w:val="en-GB" w:bidi="en-US"/>
    </w:rPr>
  </w:style>
  <w:style w:type="paragraph" w:styleId="BalloonText">
    <w:name w:val="Balloon Text"/>
    <w:basedOn w:val="Normal"/>
    <w:link w:val="BalloonTextChar"/>
    <w:uiPriority w:val="99"/>
    <w:semiHidden/>
    <w:unhideWhenUsed/>
    <w:rsid w:val="008A42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217"/>
    <w:rPr>
      <w:rFonts w:ascii="Segoe UI" w:eastAsiaTheme="minorEastAsia" w:hAnsi="Segoe UI" w:cs="Segoe UI"/>
      <w:sz w:val="18"/>
      <w:szCs w:val="18"/>
      <w:lang w:val="en-GB" w:bidi="en-US"/>
    </w:rPr>
  </w:style>
  <w:style w:type="character" w:customStyle="1" w:styleId="Heading5Char">
    <w:name w:val="Heading 5 Char"/>
    <w:basedOn w:val="DefaultParagraphFont"/>
    <w:link w:val="Heading5"/>
    <w:uiPriority w:val="9"/>
    <w:rsid w:val="00061A20"/>
    <w:rPr>
      <w:rFonts w:asciiTheme="majorHAnsi" w:eastAsiaTheme="majorEastAsia" w:hAnsiTheme="majorHAnsi" w:cstheme="majorBidi"/>
      <w:color w:val="365F91" w:themeColor="accent1" w:themeShade="BF"/>
      <w:lang w:val="en-GB" w:bidi="en-US"/>
    </w:rPr>
  </w:style>
  <w:style w:type="character" w:styleId="IntenseEmphasis">
    <w:name w:val="Intense Emphasis"/>
    <w:basedOn w:val="DefaultParagraphFont"/>
    <w:uiPriority w:val="21"/>
    <w:qFormat/>
    <w:rsid w:val="00061A20"/>
    <w:rPr>
      <w:i/>
      <w:iCs/>
      <w:color w:val="4F81BD" w:themeColor="accent1"/>
    </w:rPr>
  </w:style>
  <w:style w:type="paragraph" w:styleId="Revision">
    <w:name w:val="Revision"/>
    <w:hidden/>
    <w:uiPriority w:val="99"/>
    <w:semiHidden/>
    <w:rsid w:val="000D28D9"/>
    <w:pPr>
      <w:spacing w:after="0" w:line="240" w:lineRule="auto"/>
    </w:pPr>
    <w:rPr>
      <w:rFonts w:eastAsiaTheme="minorEastAsia"/>
      <w:lang w:val="en-GB" w:bidi="en-US"/>
    </w:rPr>
  </w:style>
  <w:style w:type="paragraph" w:styleId="NoSpacing">
    <w:name w:val="No Spacing"/>
    <w:uiPriority w:val="1"/>
    <w:qFormat/>
    <w:rsid w:val="009F2D0F"/>
    <w:pPr>
      <w:spacing w:after="0" w:line="240" w:lineRule="auto"/>
    </w:pPr>
    <w:rPr>
      <w:rFonts w:eastAsiaTheme="minorEastAsia"/>
      <w:lang w:eastAsia="en-SG"/>
    </w:rPr>
  </w:style>
  <w:style w:type="paragraph" w:styleId="Subtitle">
    <w:name w:val="Subtitle"/>
    <w:basedOn w:val="Normal"/>
    <w:next w:val="Normal"/>
    <w:link w:val="SubtitleChar"/>
    <w:uiPriority w:val="11"/>
    <w:qFormat/>
    <w:rsid w:val="009F2D0F"/>
    <w:pPr>
      <w:numPr>
        <w:ilvl w:val="1"/>
      </w:numPr>
    </w:pPr>
    <w:rPr>
      <w:rFonts w:asciiTheme="majorHAnsi" w:eastAsiaTheme="majorEastAsia" w:hAnsiTheme="majorHAnsi" w:cstheme="majorBidi"/>
      <w:i/>
      <w:iCs/>
      <w:color w:val="4F81BD" w:themeColor="accent1"/>
      <w:spacing w:val="15"/>
      <w:sz w:val="24"/>
      <w:szCs w:val="24"/>
      <w:lang w:val="en-SG" w:eastAsia="en-SG" w:bidi="ar-SA"/>
    </w:rPr>
  </w:style>
  <w:style w:type="character" w:customStyle="1" w:styleId="SubtitleChar">
    <w:name w:val="Subtitle Char"/>
    <w:basedOn w:val="DefaultParagraphFont"/>
    <w:link w:val="Subtitle"/>
    <w:uiPriority w:val="11"/>
    <w:rsid w:val="009F2D0F"/>
    <w:rPr>
      <w:rFonts w:asciiTheme="majorHAnsi" w:eastAsiaTheme="majorEastAsia" w:hAnsiTheme="majorHAnsi" w:cstheme="majorBidi"/>
      <w:i/>
      <w:iCs/>
      <w:color w:val="4F81BD" w:themeColor="accent1"/>
      <w:spacing w:val="15"/>
      <w:sz w:val="24"/>
      <w:szCs w:val="24"/>
      <w:lang w:eastAsia="en-SG"/>
    </w:rPr>
  </w:style>
  <w:style w:type="paragraph" w:styleId="Header">
    <w:name w:val="header"/>
    <w:basedOn w:val="Normal"/>
    <w:link w:val="HeaderChar"/>
    <w:uiPriority w:val="99"/>
    <w:unhideWhenUsed/>
    <w:rsid w:val="00340D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0D26"/>
    <w:rPr>
      <w:rFonts w:eastAsiaTheme="minorEastAsia"/>
      <w:lang w:val="en-GB" w:bidi="en-US"/>
    </w:rPr>
  </w:style>
  <w:style w:type="paragraph" w:styleId="Footer">
    <w:name w:val="footer"/>
    <w:basedOn w:val="Normal"/>
    <w:link w:val="FooterChar"/>
    <w:uiPriority w:val="99"/>
    <w:unhideWhenUsed/>
    <w:rsid w:val="00340D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D26"/>
    <w:rPr>
      <w:rFonts w:eastAsiaTheme="minorEastAsia"/>
      <w:lang w:val="en-GB" w:bidi="en-US"/>
    </w:rPr>
  </w:style>
  <w:style w:type="paragraph" w:customStyle="1" w:styleId="ColorfulList-Accent11">
    <w:name w:val="Colorful List - Accent 11"/>
    <w:basedOn w:val="Normal"/>
    <w:rsid w:val="00CC0EE2"/>
    <w:pPr>
      <w:spacing w:line="240" w:lineRule="auto"/>
      <w:ind w:left="720"/>
      <w:contextualSpacing/>
    </w:pPr>
    <w:rPr>
      <w:rFonts w:ascii="Cambria" w:eastAsia="Cambria" w:hAnsi="Cambria" w:cs="Times New Roman"/>
      <w:sz w:val="24"/>
      <w:szCs w:val="24"/>
      <w:lang w:bidi="ar-SA"/>
    </w:rPr>
  </w:style>
  <w:style w:type="paragraph" w:customStyle="1" w:styleId="Heading30">
    <w:name w:val="Heading3"/>
    <w:basedOn w:val="Normal"/>
    <w:link w:val="Heading3Char0"/>
    <w:qFormat/>
    <w:rsid w:val="00723034"/>
    <w:pPr>
      <w:keepNext/>
      <w:keepLines/>
      <w:spacing w:before="200" w:after="0" w:line="240" w:lineRule="auto"/>
      <w:outlineLvl w:val="2"/>
    </w:pPr>
    <w:rPr>
      <w:rFonts w:ascii="Cambria" w:eastAsia="Calibri" w:hAnsi="Cambria" w:cs="Times New Roman"/>
      <w:b/>
      <w:bCs/>
      <w:color w:val="4F81BD"/>
      <w:sz w:val="24"/>
    </w:rPr>
  </w:style>
  <w:style w:type="character" w:customStyle="1" w:styleId="Heading3Char0">
    <w:name w:val="Heading3 Char"/>
    <w:basedOn w:val="DefaultParagraphFont"/>
    <w:link w:val="Heading30"/>
    <w:rsid w:val="00723034"/>
    <w:rPr>
      <w:rFonts w:ascii="Cambria" w:eastAsia="Calibri" w:hAnsi="Cambria" w:cs="Times New Roman"/>
      <w:b/>
      <w:bCs/>
      <w:color w:val="4F81BD"/>
      <w:sz w:val="24"/>
      <w:lang w:val="en-GB" w:bidi="en-US"/>
    </w:rPr>
  </w:style>
  <w:style w:type="character" w:styleId="Emphasis">
    <w:name w:val="Emphasis"/>
    <w:basedOn w:val="DefaultParagraphFont"/>
    <w:uiPriority w:val="20"/>
    <w:qFormat/>
    <w:rsid w:val="0027047F"/>
    <w:rPr>
      <w:i/>
      <w:iCs/>
    </w:rPr>
  </w:style>
  <w:style w:type="character" w:customStyle="1" w:styleId="gi">
    <w:name w:val="gi"/>
    <w:basedOn w:val="DefaultParagraphFont"/>
    <w:rsid w:val="0027047F"/>
  </w:style>
  <w:style w:type="character" w:styleId="FollowedHyperlink">
    <w:name w:val="FollowedHyperlink"/>
    <w:basedOn w:val="DefaultParagraphFont"/>
    <w:uiPriority w:val="99"/>
    <w:semiHidden/>
    <w:unhideWhenUsed/>
    <w:rsid w:val="00764D73"/>
    <w:rPr>
      <w:color w:val="800080" w:themeColor="followedHyperlink"/>
      <w:u w:val="single"/>
    </w:rPr>
  </w:style>
  <w:style w:type="table" w:customStyle="1" w:styleId="GridTable4-Accent51">
    <w:name w:val="Grid Table 4 - Accent 51"/>
    <w:basedOn w:val="TableNormal"/>
    <w:uiPriority w:val="49"/>
    <w:rsid w:val="00A67C05"/>
    <w:pPr>
      <w:spacing w:after="0" w:line="240" w:lineRule="auto"/>
    </w:pPr>
    <w:rPr>
      <w:lang w:val="en-GB"/>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Heading">
    <w:name w:val="TOC Heading"/>
    <w:basedOn w:val="Heading1"/>
    <w:next w:val="Normal"/>
    <w:uiPriority w:val="39"/>
    <w:unhideWhenUsed/>
    <w:qFormat/>
    <w:rsid w:val="004960F3"/>
    <w:pPr>
      <w:spacing w:before="240" w:line="259" w:lineRule="auto"/>
      <w:outlineLvl w:val="9"/>
    </w:pPr>
    <w:rPr>
      <w:b w:val="0"/>
      <w:bCs w:val="0"/>
      <w:sz w:val="32"/>
      <w:szCs w:val="32"/>
      <w:lang w:val="en-US" w:bidi="ar-SA"/>
    </w:rPr>
  </w:style>
  <w:style w:type="paragraph" w:styleId="TOC3">
    <w:name w:val="toc 3"/>
    <w:basedOn w:val="Normal"/>
    <w:next w:val="Normal"/>
    <w:autoRedefine/>
    <w:uiPriority w:val="39"/>
    <w:unhideWhenUsed/>
    <w:rsid w:val="004960F3"/>
    <w:pPr>
      <w:spacing w:after="100"/>
      <w:ind w:left="440"/>
    </w:pPr>
  </w:style>
  <w:style w:type="paragraph" w:styleId="TOC1">
    <w:name w:val="toc 1"/>
    <w:basedOn w:val="Normal"/>
    <w:next w:val="Normal"/>
    <w:autoRedefine/>
    <w:uiPriority w:val="39"/>
    <w:unhideWhenUsed/>
    <w:rsid w:val="00242CA6"/>
    <w:pPr>
      <w:tabs>
        <w:tab w:val="left" w:pos="440"/>
        <w:tab w:val="right" w:leader="dot" w:pos="14786"/>
      </w:tabs>
      <w:spacing w:after="100"/>
    </w:pPr>
    <w:rPr>
      <w:rFonts w:ascii="Cambria" w:eastAsia="Times New Roman" w:hAnsi="Cambria"/>
      <w:bCs/>
      <w:noProof/>
    </w:rPr>
  </w:style>
  <w:style w:type="paragraph" w:styleId="TOC2">
    <w:name w:val="toc 2"/>
    <w:basedOn w:val="Normal"/>
    <w:next w:val="Normal"/>
    <w:autoRedefine/>
    <w:uiPriority w:val="39"/>
    <w:unhideWhenUsed/>
    <w:rsid w:val="004960F3"/>
    <w:pPr>
      <w:spacing w:after="100"/>
      <w:ind w:left="220"/>
    </w:pPr>
  </w:style>
  <w:style w:type="table" w:customStyle="1" w:styleId="GridTable1Light-Accent12">
    <w:name w:val="Grid Table 1 Light - Accent 12"/>
    <w:basedOn w:val="TableNormal"/>
    <w:uiPriority w:val="46"/>
    <w:rsid w:val="000C342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5C4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89639">
      <w:bodyDiv w:val="1"/>
      <w:marLeft w:val="0"/>
      <w:marRight w:val="0"/>
      <w:marTop w:val="0"/>
      <w:marBottom w:val="0"/>
      <w:divBdr>
        <w:top w:val="none" w:sz="0" w:space="0" w:color="auto"/>
        <w:left w:val="none" w:sz="0" w:space="0" w:color="auto"/>
        <w:bottom w:val="none" w:sz="0" w:space="0" w:color="auto"/>
        <w:right w:val="none" w:sz="0" w:space="0" w:color="auto"/>
      </w:divBdr>
    </w:div>
    <w:div w:id="811680721">
      <w:bodyDiv w:val="1"/>
      <w:marLeft w:val="0"/>
      <w:marRight w:val="0"/>
      <w:marTop w:val="0"/>
      <w:marBottom w:val="0"/>
      <w:divBdr>
        <w:top w:val="none" w:sz="0" w:space="0" w:color="auto"/>
        <w:left w:val="none" w:sz="0" w:space="0" w:color="auto"/>
        <w:bottom w:val="none" w:sz="0" w:space="0" w:color="auto"/>
        <w:right w:val="none" w:sz="0" w:space="0" w:color="auto"/>
      </w:divBdr>
    </w:div>
    <w:div w:id="938759556">
      <w:bodyDiv w:val="1"/>
      <w:marLeft w:val="0"/>
      <w:marRight w:val="0"/>
      <w:marTop w:val="0"/>
      <w:marBottom w:val="0"/>
      <w:divBdr>
        <w:top w:val="none" w:sz="0" w:space="0" w:color="auto"/>
        <w:left w:val="none" w:sz="0" w:space="0" w:color="auto"/>
        <w:bottom w:val="none" w:sz="0" w:space="0" w:color="auto"/>
        <w:right w:val="none" w:sz="0" w:space="0" w:color="auto"/>
      </w:divBdr>
    </w:div>
    <w:div w:id="174066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hyperlink" Target="http://tracker.publishwhatyoufund.org/plan/abou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tracker.publishwhatyoufund.org/plan/organisations/"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tracker.publishwhatyoufund.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racker.publishwhatyoufund.org/" TargetMode="External"/><Relationship Id="rId20" Type="http://schemas.openxmlformats.org/officeDocument/2006/relationships/hyperlink" Target="mailto:2014tracker@publishwhatyoufun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14tracker@publishwhatyoufund.or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ati.publishwhatyoufund.org/" TargetMode="External"/><Relationship Id="rId23" Type="http://schemas.openxmlformats.org/officeDocument/2006/relationships/hyperlink" Target="http://tracker.publishwhatyoufund.org/iatiupdates/publisher/" TargetMode="External"/><Relationship Id="rId10" Type="http://schemas.openxmlformats.org/officeDocument/2006/relationships/hyperlink" Target="http://www.tracker.publishwhatyoufund.org" TargetMode="External"/><Relationship Id="rId19" Type="http://schemas.openxmlformats.org/officeDocument/2006/relationships/hyperlink" Target="https://github.com/pwyf/index-data-quality-test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tracker.publishwhatyoufund.org/iatiupdates/publisher/" TargetMode="External"/><Relationship Id="rId22" Type="http://schemas.openxmlformats.org/officeDocument/2006/relationships/hyperlink" Target="http://tracker.publishwhatyoufund.org/"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tracker.publishwhatyoufund.org/publish/about/" TargetMode="External"/><Relationship Id="rId3" Type="http://schemas.openxmlformats.org/officeDocument/2006/relationships/hyperlink" Target="https://github.com/pwyf/index-data-quality-tests/issues/2" TargetMode="External"/><Relationship Id="rId7" Type="http://schemas.openxmlformats.org/officeDocument/2006/relationships/hyperlink" Target="http://www.rti-rating.org/index.html" TargetMode="External"/><Relationship Id="rId2" Type="http://schemas.openxmlformats.org/officeDocument/2006/relationships/hyperlink" Target="http://www.oecd.org/dac/aid-architecture/acommonstandard.htm" TargetMode="External"/><Relationship Id="rId1" Type="http://schemas.openxmlformats.org/officeDocument/2006/relationships/hyperlink" Target="http://www.effectivecooperation.org/files/OUTCOME_DOCUMENT_-_FINAL_EN2.pdf" TargetMode="External"/><Relationship Id="rId6" Type="http://schemas.openxmlformats.org/officeDocument/2006/relationships/hyperlink" Target="http://tracker.publishwhatyoufund.org/" TargetMode="External"/><Relationship Id="rId5" Type="http://schemas.openxmlformats.org/officeDocument/2006/relationships/hyperlink" Target="https://github.com/pwyf/index-data-quality-tests/" TargetMode="External"/><Relationship Id="rId10" Type="http://schemas.openxmlformats.org/officeDocument/2006/relationships/hyperlink" Target="http://www.aidtransparency.net/reports/IATI-annual-report-2014.pdf" TargetMode="External"/><Relationship Id="rId4" Type="http://schemas.openxmlformats.org/officeDocument/2006/relationships/hyperlink" Target="http://www.aidtransparency.net/wp-content/uploads/2013/01/Paper-4a-Country-Survey-of-AIMS.pdf" TargetMode="External"/><Relationship Id="rId9" Type="http://schemas.openxmlformats.org/officeDocument/2006/relationships/hyperlink" Target="http://www.oecd.org/dac/aid-architecture/acommonstandard.ht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28889065634538"/>
          <c:y val="9.9200613621927239E-2"/>
          <c:w val="0.28752547345723306"/>
          <c:h val="0.77986361293879702"/>
        </c:manualLayout>
      </c:layout>
      <c:pieChart>
        <c:varyColors val="1"/>
        <c:ser>
          <c:idx val="0"/>
          <c:order val="0"/>
          <c:tx>
            <c:strRef>
              <c:f>Sheet1!$B$1</c:f>
              <c:strCache>
                <c:ptCount val="1"/>
                <c:pt idx="0">
                  <c:v>Grouping of 2013 indicators</c:v>
                </c:pt>
              </c:strCache>
            </c:strRef>
          </c:tx>
          <c:spPr>
            <a:ln>
              <a:solidFill>
                <a:schemeClr val="tx1">
                  <a:lumMod val="75000"/>
                  <a:lumOff val="25000"/>
                </a:schemeClr>
              </a:solidFill>
            </a:ln>
          </c:spPr>
          <c:dPt>
            <c:idx val="1"/>
            <c:bubble3D val="0"/>
            <c:spPr>
              <a:solidFill>
                <a:srgbClr val="4F81BD">
                  <a:alpha val="60000"/>
                </a:srgbClr>
              </a:solidFill>
              <a:ln>
                <a:solidFill>
                  <a:schemeClr val="tx1">
                    <a:lumMod val="75000"/>
                    <a:lumOff val="25000"/>
                  </a:schemeClr>
                </a:solidFill>
              </a:ln>
            </c:spPr>
          </c:dPt>
          <c:dPt>
            <c:idx val="2"/>
            <c:bubble3D val="0"/>
            <c:spPr>
              <a:solidFill>
                <a:srgbClr val="4F81BD">
                  <a:alpha val="35000"/>
                </a:srgbClr>
              </a:solidFill>
              <a:ln>
                <a:solidFill>
                  <a:schemeClr val="tx1">
                    <a:lumMod val="75000"/>
                    <a:lumOff val="25000"/>
                  </a:schemeClr>
                </a:solidFill>
              </a:ln>
            </c:spPr>
          </c:dPt>
          <c:dLbls>
            <c:dLbl>
              <c:idx val="0"/>
              <c:layout>
                <c:manualLayout>
                  <c:x val="-4.0214038901702984E-2"/>
                  <c:y val="0.15261304665684"/>
                </c:manualLayout>
              </c:layout>
              <c:showLegendKey val="0"/>
              <c:showVal val="0"/>
              <c:showCatName val="0"/>
              <c:showSerName val="0"/>
              <c:showPercent val="1"/>
              <c:showBubbleSize val="0"/>
              <c:extLst>
                <c:ext xmlns:c15="http://schemas.microsoft.com/office/drawing/2012/chart" uri="{CE6537A1-D6FC-4f65-9D91-7224C49458BB}"/>
              </c:extLst>
            </c:dLbl>
            <c:dLbl>
              <c:idx val="1"/>
              <c:layout>
                <c:manualLayout>
                  <c:x val="-7.7401309684774253E-2"/>
                  <c:y val="2.904972494876501E-2"/>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9.213376105764548E-2"/>
                  <c:y val="-0.13675859010774341"/>
                </c:manualLayout>
              </c:layout>
              <c:showLegendKey val="0"/>
              <c:showVal val="0"/>
              <c:showCatName val="0"/>
              <c:showSerName val="0"/>
              <c:showPercent val="1"/>
              <c:showBubbleSize val="0"/>
              <c:extLst>
                <c:ext xmlns:c15="http://schemas.microsoft.com/office/drawing/2012/chart" uri="{CE6537A1-D6FC-4f65-9D91-7224C49458BB}"/>
              </c:extLst>
            </c:dLbl>
            <c:numFmt formatCode="0%" sourceLinked="0"/>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Commitment (3)</c:v>
                </c:pt>
                <c:pt idx="1">
                  <c:v>Publication: organisation level (8)</c:v>
                </c:pt>
                <c:pt idx="2">
                  <c:v>Publication: activity level (28)</c:v>
                </c:pt>
              </c:strCache>
            </c:strRef>
          </c:cat>
          <c:val>
            <c:numRef>
              <c:f>Sheet1!$B$2:$B$4</c:f>
              <c:numCache>
                <c:formatCode>General</c:formatCode>
                <c:ptCount val="3"/>
                <c:pt idx="0">
                  <c:v>10</c:v>
                </c:pt>
                <c:pt idx="1">
                  <c:v>25</c:v>
                </c:pt>
                <c:pt idx="2">
                  <c:v>65</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5594465325980691"/>
          <c:y val="0.17648920031785031"/>
          <c:w val="0.41268091488563957"/>
          <c:h val="0.6625591755159046"/>
        </c:manualLayout>
      </c:layout>
      <c:overlay val="0"/>
    </c:legend>
    <c:plotVisOnly val="1"/>
    <c:dispBlanksAs val="zero"/>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71930969768675"/>
          <c:y val="7.5213675213675529E-2"/>
          <c:w val="0.56954455822555861"/>
          <c:h val="0.60850124503667813"/>
        </c:manualLayout>
      </c:layout>
      <c:barChart>
        <c:barDir val="bar"/>
        <c:grouping val="clustered"/>
        <c:varyColors val="0"/>
        <c:ser>
          <c:idx val="0"/>
          <c:order val="0"/>
          <c:tx>
            <c:strRef>
              <c:f>Sheet1!$B$1</c:f>
              <c:strCache>
                <c:ptCount val="1"/>
                <c:pt idx="0">
                  <c:v>% score for format of data</c:v>
                </c:pt>
              </c:strCache>
            </c:strRef>
          </c:tx>
          <c:invertIfNegative val="0"/>
          <c:dLbls>
            <c:dLbl>
              <c:idx val="3"/>
              <c:layout>
                <c:manualLayout>
                  <c:x val="0"/>
                  <c:y val="0"/>
                </c:manualLayout>
              </c:layout>
              <c:tx>
                <c:rich>
                  <a:bodyPr/>
                  <a:lstStyle/>
                  <a:p>
                    <a:r>
                      <a:rPr lang="en-US"/>
                      <a:t>Up to 100.00</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PDF</c:v>
                </c:pt>
                <c:pt idx="1">
                  <c:v>Website</c:v>
                </c:pt>
                <c:pt idx="2">
                  <c:v>Excel/CSV file</c:v>
                </c:pt>
                <c:pt idx="3">
                  <c:v>IATI-XML</c:v>
                </c:pt>
              </c:strCache>
            </c:strRef>
          </c:cat>
          <c:val>
            <c:numRef>
              <c:f>Sheet1!$B$2:$B$5</c:f>
              <c:numCache>
                <c:formatCode>0.00</c:formatCode>
                <c:ptCount val="4"/>
                <c:pt idx="0">
                  <c:v>16.670000000000005</c:v>
                </c:pt>
                <c:pt idx="1">
                  <c:v>33.33</c:v>
                </c:pt>
                <c:pt idx="2">
                  <c:v>50</c:v>
                </c:pt>
                <c:pt idx="3">
                  <c:v>100</c:v>
                </c:pt>
              </c:numCache>
            </c:numRef>
          </c:val>
        </c:ser>
        <c:dLbls>
          <c:showLegendKey val="0"/>
          <c:showVal val="0"/>
          <c:showCatName val="0"/>
          <c:showSerName val="0"/>
          <c:showPercent val="0"/>
          <c:showBubbleSize val="0"/>
        </c:dLbls>
        <c:gapWidth val="150"/>
        <c:axId val="538847720"/>
        <c:axId val="526966824"/>
      </c:barChart>
      <c:catAx>
        <c:axId val="538847720"/>
        <c:scaling>
          <c:orientation val="minMax"/>
        </c:scaling>
        <c:delete val="0"/>
        <c:axPos val="l"/>
        <c:title>
          <c:tx>
            <c:rich>
              <a:bodyPr rot="-5400000" vert="horz"/>
              <a:lstStyle/>
              <a:p>
                <a:pPr>
                  <a:defRPr/>
                </a:pPr>
                <a:r>
                  <a:rPr lang="en-GB"/>
                  <a:t>Publication</a:t>
                </a:r>
                <a:r>
                  <a:rPr lang="en-GB" baseline="0"/>
                  <a:t> format</a:t>
                </a:r>
                <a:endParaRPr lang="en-GB"/>
              </a:p>
            </c:rich>
          </c:tx>
          <c:layout>
            <c:manualLayout>
              <c:xMode val="edge"/>
              <c:yMode val="edge"/>
              <c:x val="5.7150066017715412E-2"/>
              <c:y val="0.14988088027458107"/>
            </c:manualLayout>
          </c:layout>
          <c:overlay val="0"/>
        </c:title>
        <c:numFmt formatCode="General" sourceLinked="0"/>
        <c:majorTickMark val="out"/>
        <c:minorTickMark val="none"/>
        <c:tickLblPos val="nextTo"/>
        <c:crossAx val="526966824"/>
        <c:crosses val="autoZero"/>
        <c:auto val="1"/>
        <c:lblAlgn val="ctr"/>
        <c:lblOffset val="100"/>
        <c:noMultiLvlLbl val="0"/>
      </c:catAx>
      <c:valAx>
        <c:axId val="526966824"/>
        <c:scaling>
          <c:orientation val="minMax"/>
          <c:max val="100"/>
        </c:scaling>
        <c:delete val="0"/>
        <c:axPos val="b"/>
        <c:majorGridlines/>
        <c:title>
          <c:tx>
            <c:rich>
              <a:bodyPr/>
              <a:lstStyle/>
              <a:p>
                <a:pPr>
                  <a:defRPr/>
                </a:pPr>
                <a:r>
                  <a:rPr lang="en-GB"/>
                  <a:t> Score available for 22 indicators</a:t>
                </a:r>
                <a:r>
                  <a:rPr lang="en-GB" baseline="0"/>
                  <a:t> scored on format</a:t>
                </a:r>
                <a:endParaRPr lang="en-GB"/>
              </a:p>
            </c:rich>
          </c:tx>
          <c:layout>
            <c:manualLayout>
              <c:xMode val="edge"/>
              <c:yMode val="edge"/>
              <c:x val="0.24756996006863721"/>
              <c:y val="0.85044972743791669"/>
            </c:manualLayout>
          </c:layout>
          <c:overlay val="0"/>
        </c:title>
        <c:numFmt formatCode="0.00" sourceLinked="1"/>
        <c:majorTickMark val="out"/>
        <c:minorTickMark val="none"/>
        <c:tickLblPos val="nextTo"/>
        <c:crossAx val="538847720"/>
        <c:crosses val="autoZero"/>
        <c:crossBetween val="between"/>
      </c:valAx>
    </c:plotArea>
    <c:plotVisOnly val="1"/>
    <c:dispBlanksAs val="gap"/>
    <c:showDLblsOverMax val="0"/>
  </c:chart>
  <c:spPr>
    <a:noFill/>
    <a:ln>
      <a:noFill/>
      <a:beve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6987C-46A3-4B45-A1C2-903C49A5C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20015</Words>
  <Characters>114092</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Index Technical Paper</vt:lpstr>
    </vt:vector>
  </TitlesOfParts>
  <Company>Hewlett-Packard</Company>
  <LinksUpToDate>false</LinksUpToDate>
  <CharactersWithSpaces>133840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Index Technical Paper</dc:title>
  <dc:creator>PWYF</dc:creator>
  <cp:lastModifiedBy>Shreya Basu</cp:lastModifiedBy>
  <cp:revision>3</cp:revision>
  <cp:lastPrinted>2014-04-01T17:21:00Z</cp:lastPrinted>
  <dcterms:created xsi:type="dcterms:W3CDTF">2014-10-16T15:30:00Z</dcterms:created>
  <dcterms:modified xsi:type="dcterms:W3CDTF">2014-10-16T15:30:00Z</dcterms:modified>
</cp:coreProperties>
</file>