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2A48A" w14:textId="77777777" w:rsidR="00723034" w:rsidRDefault="00723034" w:rsidP="00935A49">
      <w:pPr>
        <w:pStyle w:val="Heading30"/>
        <w:jc w:val="center"/>
        <w:rPr>
          <w:sz w:val="36"/>
          <w:szCs w:val="36"/>
        </w:rPr>
      </w:pPr>
      <w:bookmarkStart w:id="0" w:name="_GoBack"/>
      <w:bookmarkEnd w:id="0"/>
    </w:p>
    <w:p w14:paraId="5BCF3106" w14:textId="77777777" w:rsidR="00723034" w:rsidRDefault="00723034" w:rsidP="00935A49">
      <w:pPr>
        <w:pStyle w:val="Heading30"/>
        <w:jc w:val="center"/>
        <w:rPr>
          <w:sz w:val="36"/>
          <w:szCs w:val="36"/>
        </w:rPr>
      </w:pPr>
    </w:p>
    <w:p w14:paraId="3698ACCA" w14:textId="77777777" w:rsidR="00723034" w:rsidRDefault="00723034" w:rsidP="00935A49">
      <w:pPr>
        <w:pStyle w:val="Heading30"/>
        <w:jc w:val="center"/>
        <w:rPr>
          <w:sz w:val="36"/>
          <w:szCs w:val="36"/>
        </w:rPr>
      </w:pPr>
    </w:p>
    <w:p w14:paraId="1A2993A8" w14:textId="77777777" w:rsidR="00723034" w:rsidRDefault="00723034" w:rsidP="00935A49">
      <w:pPr>
        <w:pStyle w:val="Heading30"/>
        <w:jc w:val="center"/>
        <w:rPr>
          <w:sz w:val="36"/>
          <w:szCs w:val="36"/>
        </w:rPr>
      </w:pPr>
    </w:p>
    <w:p w14:paraId="48125871" w14:textId="77777777" w:rsidR="00723034" w:rsidRDefault="00723034" w:rsidP="00935A49">
      <w:pPr>
        <w:pStyle w:val="Heading30"/>
        <w:jc w:val="center"/>
        <w:rPr>
          <w:sz w:val="36"/>
          <w:szCs w:val="36"/>
        </w:rPr>
      </w:pPr>
    </w:p>
    <w:p w14:paraId="02D7BAAD" w14:textId="77777777" w:rsidR="00723034" w:rsidRPr="00394D03" w:rsidRDefault="00723034" w:rsidP="00394D03">
      <w:pPr>
        <w:spacing w:line="240" w:lineRule="auto"/>
        <w:jc w:val="center"/>
        <w:rPr>
          <w:rFonts w:ascii="Cambria" w:eastAsia="Calibri" w:hAnsi="Cambria" w:cs="Times New Roman"/>
          <w:b/>
          <w:bCs/>
          <w:color w:val="365F91"/>
          <w:sz w:val="36"/>
          <w:szCs w:val="36"/>
        </w:rPr>
      </w:pPr>
      <w:bookmarkStart w:id="1" w:name="_Toc370375769"/>
      <w:bookmarkStart w:id="2" w:name="_Toc370376045"/>
      <w:r w:rsidRPr="00394D03">
        <w:rPr>
          <w:rFonts w:ascii="Cambria" w:eastAsia="Calibri" w:hAnsi="Cambria" w:cs="Times New Roman"/>
          <w:b/>
          <w:bCs/>
          <w:color w:val="365F91"/>
          <w:sz w:val="36"/>
          <w:szCs w:val="36"/>
        </w:rPr>
        <w:t>Publish What You Fund</w:t>
      </w:r>
      <w:bookmarkEnd w:id="1"/>
      <w:bookmarkEnd w:id="2"/>
    </w:p>
    <w:p w14:paraId="2921273C" w14:textId="366F32D5" w:rsidR="00723034" w:rsidRPr="00394D03" w:rsidRDefault="004D26DF" w:rsidP="00394D03">
      <w:pPr>
        <w:spacing w:line="240" w:lineRule="auto"/>
        <w:jc w:val="center"/>
        <w:rPr>
          <w:rFonts w:ascii="Cambria" w:eastAsia="Calibri" w:hAnsi="Cambria" w:cs="Times New Roman"/>
          <w:b/>
          <w:bCs/>
          <w:color w:val="365F91"/>
          <w:sz w:val="36"/>
          <w:szCs w:val="36"/>
        </w:rPr>
      </w:pPr>
      <w:r>
        <w:rPr>
          <w:rFonts w:ascii="Cambria" w:eastAsia="Calibri" w:hAnsi="Cambria" w:cs="Times New Roman"/>
          <w:b/>
          <w:bCs/>
          <w:color w:val="365F91"/>
          <w:sz w:val="36"/>
          <w:szCs w:val="36"/>
        </w:rPr>
        <w:t>2016</w:t>
      </w:r>
      <w:r w:rsidR="000772F0">
        <w:rPr>
          <w:rFonts w:ascii="Cambria" w:eastAsia="Calibri" w:hAnsi="Cambria" w:cs="Times New Roman"/>
          <w:b/>
          <w:bCs/>
          <w:color w:val="365F91"/>
          <w:sz w:val="36"/>
          <w:szCs w:val="36"/>
        </w:rPr>
        <w:t xml:space="preserve"> Aid Transparency Index</w:t>
      </w:r>
    </w:p>
    <w:p w14:paraId="77EAFEF7" w14:textId="77777777" w:rsidR="00214020" w:rsidRPr="00394D03" w:rsidRDefault="00214020" w:rsidP="00935A49">
      <w:pPr>
        <w:pStyle w:val="Heading1"/>
        <w:spacing w:before="0" w:after="200" w:line="240" w:lineRule="auto"/>
        <w:jc w:val="center"/>
        <w:rPr>
          <w:rFonts w:ascii="Cambria" w:eastAsia="Calibri" w:hAnsi="Cambria" w:cs="Times New Roman"/>
          <w:color w:val="365F91"/>
          <w:sz w:val="36"/>
          <w:szCs w:val="36"/>
        </w:rPr>
      </w:pPr>
    </w:p>
    <w:p w14:paraId="0D44363B" w14:textId="77777777" w:rsidR="00214020" w:rsidRPr="00394D03" w:rsidRDefault="00214020" w:rsidP="00935A49">
      <w:pPr>
        <w:spacing w:line="240" w:lineRule="auto"/>
        <w:jc w:val="center"/>
        <w:rPr>
          <w:rFonts w:ascii="Cambria" w:eastAsia="Calibri" w:hAnsi="Cambria" w:cs="Times New Roman"/>
          <w:b/>
          <w:bCs/>
          <w:color w:val="365F91"/>
          <w:sz w:val="36"/>
          <w:szCs w:val="36"/>
        </w:rPr>
      </w:pPr>
      <w:r w:rsidRPr="00394D03">
        <w:rPr>
          <w:rFonts w:ascii="Cambria" w:eastAsia="Calibri" w:hAnsi="Cambria" w:cs="Times New Roman"/>
          <w:b/>
          <w:bCs/>
          <w:color w:val="365F91"/>
          <w:sz w:val="36"/>
          <w:szCs w:val="36"/>
        </w:rPr>
        <w:t>Technical Paper</w:t>
      </w:r>
    </w:p>
    <w:p w14:paraId="0CE12983" w14:textId="77777777" w:rsidR="00214020" w:rsidRPr="00214020" w:rsidRDefault="00214020" w:rsidP="00935A49">
      <w:pPr>
        <w:spacing w:line="240" w:lineRule="auto"/>
        <w:sectPr w:rsidR="00214020" w:rsidRPr="00214020" w:rsidSect="002B2AC5">
          <w:pgSz w:w="16838" w:h="11906" w:orient="landscape"/>
          <w:pgMar w:top="1021" w:right="1021" w:bottom="1021" w:left="1021" w:header="709" w:footer="709" w:gutter="0"/>
          <w:cols w:space="708"/>
          <w:docGrid w:linePitch="360"/>
        </w:sectPr>
      </w:pPr>
    </w:p>
    <w:p w14:paraId="35024348" w14:textId="77777777" w:rsidR="00FF07EE" w:rsidRPr="00394D03" w:rsidRDefault="00FF07EE" w:rsidP="00394D03">
      <w:pPr>
        <w:pStyle w:val="Heading1"/>
        <w:pBdr>
          <w:bottom w:val="single" w:sz="4" w:space="1" w:color="auto"/>
        </w:pBdr>
        <w:spacing w:before="0" w:after="200" w:line="240" w:lineRule="auto"/>
        <w:rPr>
          <w:sz w:val="36"/>
        </w:rPr>
      </w:pPr>
      <w:bookmarkStart w:id="3" w:name="_Toc370375771"/>
      <w:bookmarkStart w:id="4" w:name="_Toc370376047"/>
      <w:bookmarkStart w:id="5" w:name="_Toc416100907"/>
      <w:r w:rsidRPr="00394D03">
        <w:rPr>
          <w:sz w:val="36"/>
        </w:rPr>
        <w:lastRenderedPageBreak/>
        <w:t>Table of Contents</w:t>
      </w:r>
      <w:bookmarkEnd w:id="3"/>
      <w:bookmarkEnd w:id="4"/>
      <w:bookmarkEnd w:id="5"/>
    </w:p>
    <w:p w14:paraId="32DBFFF1" w14:textId="77777777" w:rsidR="00FF07EE" w:rsidRDefault="00FF07EE" w:rsidP="00FF07EE">
      <w:pPr>
        <w:spacing w:after="0" w:line="240" w:lineRule="auto"/>
      </w:pPr>
    </w:p>
    <w:p w14:paraId="3CF691C6" w14:textId="77777777" w:rsidR="00FF07EE" w:rsidRDefault="00FF07EE" w:rsidP="00FF07EE">
      <w:pPr>
        <w:spacing w:after="0" w:line="240" w:lineRule="auto"/>
      </w:pPr>
    </w:p>
    <w:p w14:paraId="5A432EDF" w14:textId="77777777" w:rsidR="00FF07EE" w:rsidRDefault="00FF07EE" w:rsidP="00FF07EE">
      <w:pPr>
        <w:spacing w:after="0" w:line="240" w:lineRule="auto"/>
      </w:pPr>
    </w:p>
    <w:sdt>
      <w:sdtPr>
        <w:rPr>
          <w:rFonts w:asciiTheme="minorHAnsi" w:eastAsiaTheme="minorEastAsia" w:hAnsiTheme="minorHAnsi"/>
          <w:bCs w:val="0"/>
          <w:noProof w:val="0"/>
        </w:rPr>
        <w:id w:val="1995061855"/>
        <w:docPartObj>
          <w:docPartGallery w:val="Table of Contents"/>
          <w:docPartUnique/>
        </w:docPartObj>
      </w:sdtPr>
      <w:sdtEndPr>
        <w:rPr>
          <w:b/>
        </w:rPr>
      </w:sdtEndPr>
      <w:sdtContent>
        <w:p w14:paraId="5E6A07F6" w14:textId="77777777" w:rsidR="005C4E94" w:rsidRDefault="00291FEB">
          <w:pPr>
            <w:pStyle w:val="TOC1"/>
            <w:rPr>
              <w:rFonts w:asciiTheme="minorHAnsi" w:eastAsiaTheme="minorEastAsia" w:hAnsiTheme="minorHAnsi"/>
              <w:bCs w:val="0"/>
              <w:lang w:val="en-SG" w:eastAsia="en-SG" w:bidi="ar-SA"/>
            </w:rPr>
          </w:pPr>
          <w:r>
            <w:fldChar w:fldCharType="begin"/>
          </w:r>
          <w:r w:rsidR="004960F3">
            <w:instrText xml:space="preserve"> TOC \o "1-3" \h \z \u </w:instrText>
          </w:r>
          <w:r>
            <w:fldChar w:fldCharType="separate"/>
          </w:r>
          <w:hyperlink w:anchor="_Toc416100907" w:history="1">
            <w:r w:rsidR="005C4E94" w:rsidRPr="00E93FA3">
              <w:rPr>
                <w:rStyle w:val="Hyperlink"/>
                <w:rFonts w:eastAsiaTheme="majorEastAsia"/>
              </w:rPr>
              <w:t>Table of Contents</w:t>
            </w:r>
            <w:r w:rsidR="005C4E94">
              <w:rPr>
                <w:webHidden/>
              </w:rPr>
              <w:tab/>
            </w:r>
            <w:r w:rsidR="005C4E94">
              <w:rPr>
                <w:webHidden/>
              </w:rPr>
              <w:fldChar w:fldCharType="begin"/>
            </w:r>
            <w:r w:rsidR="005C4E94">
              <w:rPr>
                <w:webHidden/>
              </w:rPr>
              <w:instrText xml:space="preserve"> PAGEREF _Toc416100907 \h </w:instrText>
            </w:r>
            <w:r w:rsidR="005C4E94">
              <w:rPr>
                <w:webHidden/>
              </w:rPr>
            </w:r>
            <w:r w:rsidR="005C4E94">
              <w:rPr>
                <w:webHidden/>
              </w:rPr>
              <w:fldChar w:fldCharType="separate"/>
            </w:r>
            <w:r w:rsidR="005C4E94">
              <w:rPr>
                <w:webHidden/>
              </w:rPr>
              <w:t>i</w:t>
            </w:r>
            <w:r w:rsidR="005C4E94">
              <w:rPr>
                <w:webHidden/>
              </w:rPr>
              <w:fldChar w:fldCharType="end"/>
            </w:r>
          </w:hyperlink>
        </w:p>
        <w:p w14:paraId="24C0583D" w14:textId="77777777" w:rsidR="005C4E94" w:rsidRDefault="00531E73">
          <w:pPr>
            <w:pStyle w:val="TOC1"/>
            <w:rPr>
              <w:rFonts w:asciiTheme="minorHAnsi" w:eastAsiaTheme="minorEastAsia" w:hAnsiTheme="minorHAnsi"/>
              <w:bCs w:val="0"/>
              <w:lang w:val="en-SG" w:eastAsia="en-SG" w:bidi="ar-SA"/>
            </w:rPr>
          </w:pPr>
          <w:hyperlink w:anchor="_Toc416100908" w:history="1">
            <w:r w:rsidR="005C4E94" w:rsidRPr="00E93FA3">
              <w:rPr>
                <w:rStyle w:val="Hyperlink"/>
                <w:rFonts w:eastAsiaTheme="majorEastAsia"/>
              </w:rPr>
              <w:t>Acronyms and Abbreviations</w:t>
            </w:r>
            <w:r w:rsidR="005C4E94">
              <w:rPr>
                <w:webHidden/>
              </w:rPr>
              <w:tab/>
            </w:r>
            <w:r w:rsidR="005C4E94">
              <w:rPr>
                <w:webHidden/>
              </w:rPr>
              <w:fldChar w:fldCharType="begin"/>
            </w:r>
            <w:r w:rsidR="005C4E94">
              <w:rPr>
                <w:webHidden/>
              </w:rPr>
              <w:instrText xml:space="preserve"> PAGEREF _Toc416100908 \h </w:instrText>
            </w:r>
            <w:r w:rsidR="005C4E94">
              <w:rPr>
                <w:webHidden/>
              </w:rPr>
            </w:r>
            <w:r w:rsidR="005C4E94">
              <w:rPr>
                <w:webHidden/>
              </w:rPr>
              <w:fldChar w:fldCharType="separate"/>
            </w:r>
            <w:r w:rsidR="005C4E94">
              <w:rPr>
                <w:webHidden/>
              </w:rPr>
              <w:t>ii</w:t>
            </w:r>
            <w:r w:rsidR="005C4E94">
              <w:rPr>
                <w:webHidden/>
              </w:rPr>
              <w:fldChar w:fldCharType="end"/>
            </w:r>
          </w:hyperlink>
        </w:p>
        <w:p w14:paraId="0205D6E8" w14:textId="77777777" w:rsidR="005C4E94" w:rsidRDefault="00531E73">
          <w:pPr>
            <w:pStyle w:val="TOC1"/>
            <w:rPr>
              <w:rFonts w:asciiTheme="minorHAnsi" w:eastAsiaTheme="minorEastAsia" w:hAnsiTheme="minorHAnsi"/>
              <w:bCs w:val="0"/>
              <w:lang w:val="en-SG" w:eastAsia="en-SG" w:bidi="ar-SA"/>
            </w:rPr>
          </w:pPr>
          <w:hyperlink w:anchor="_Toc416100909" w:history="1">
            <w:r w:rsidR="005C4E94" w:rsidRPr="00E93FA3">
              <w:rPr>
                <w:rStyle w:val="Hyperlink"/>
                <w:rFonts w:eastAsiaTheme="majorEastAsia"/>
              </w:rPr>
              <w:t>Introduction</w:t>
            </w:r>
            <w:r w:rsidR="005C4E94">
              <w:rPr>
                <w:webHidden/>
              </w:rPr>
              <w:tab/>
            </w:r>
            <w:r w:rsidR="005C4E94">
              <w:rPr>
                <w:webHidden/>
              </w:rPr>
              <w:fldChar w:fldCharType="begin"/>
            </w:r>
            <w:r w:rsidR="005C4E94">
              <w:rPr>
                <w:webHidden/>
              </w:rPr>
              <w:instrText xml:space="preserve"> PAGEREF _Toc416100909 \h </w:instrText>
            </w:r>
            <w:r w:rsidR="005C4E94">
              <w:rPr>
                <w:webHidden/>
              </w:rPr>
            </w:r>
            <w:r w:rsidR="005C4E94">
              <w:rPr>
                <w:webHidden/>
              </w:rPr>
              <w:fldChar w:fldCharType="separate"/>
            </w:r>
            <w:r w:rsidR="005C4E94">
              <w:rPr>
                <w:webHidden/>
              </w:rPr>
              <w:t>1</w:t>
            </w:r>
            <w:r w:rsidR="005C4E94">
              <w:rPr>
                <w:webHidden/>
              </w:rPr>
              <w:fldChar w:fldCharType="end"/>
            </w:r>
          </w:hyperlink>
        </w:p>
        <w:p w14:paraId="35124558" w14:textId="77777777" w:rsidR="005C4E94" w:rsidRDefault="00531E73">
          <w:pPr>
            <w:pStyle w:val="TOC1"/>
            <w:rPr>
              <w:rFonts w:asciiTheme="minorHAnsi" w:eastAsiaTheme="minorEastAsia" w:hAnsiTheme="minorHAnsi"/>
              <w:bCs w:val="0"/>
              <w:lang w:val="en-SG" w:eastAsia="en-SG" w:bidi="ar-SA"/>
            </w:rPr>
          </w:pPr>
          <w:hyperlink w:anchor="_Toc416100910" w:history="1">
            <w:r w:rsidR="005C4E94" w:rsidRPr="00E93FA3">
              <w:rPr>
                <w:rStyle w:val="Hyperlink"/>
                <w:rFonts w:eastAsiaTheme="majorEastAsia"/>
              </w:rPr>
              <w:t>Section 1. Donor selection</w:t>
            </w:r>
            <w:r w:rsidR="005C4E94">
              <w:rPr>
                <w:webHidden/>
              </w:rPr>
              <w:tab/>
            </w:r>
            <w:r w:rsidR="005C4E94">
              <w:rPr>
                <w:webHidden/>
              </w:rPr>
              <w:fldChar w:fldCharType="begin"/>
            </w:r>
            <w:r w:rsidR="005C4E94">
              <w:rPr>
                <w:webHidden/>
              </w:rPr>
              <w:instrText xml:space="preserve"> PAGEREF _Toc416100910 \h </w:instrText>
            </w:r>
            <w:r w:rsidR="005C4E94">
              <w:rPr>
                <w:webHidden/>
              </w:rPr>
            </w:r>
            <w:r w:rsidR="005C4E94">
              <w:rPr>
                <w:webHidden/>
              </w:rPr>
              <w:fldChar w:fldCharType="separate"/>
            </w:r>
            <w:r w:rsidR="005C4E94">
              <w:rPr>
                <w:webHidden/>
              </w:rPr>
              <w:t>2</w:t>
            </w:r>
            <w:r w:rsidR="005C4E94">
              <w:rPr>
                <w:webHidden/>
              </w:rPr>
              <w:fldChar w:fldCharType="end"/>
            </w:r>
          </w:hyperlink>
        </w:p>
        <w:p w14:paraId="18FB0A41" w14:textId="77777777" w:rsidR="005C4E94" w:rsidRDefault="00531E73">
          <w:pPr>
            <w:pStyle w:val="TOC1"/>
            <w:rPr>
              <w:rFonts w:asciiTheme="minorHAnsi" w:eastAsiaTheme="minorEastAsia" w:hAnsiTheme="minorHAnsi"/>
              <w:bCs w:val="0"/>
              <w:lang w:val="en-SG" w:eastAsia="en-SG" w:bidi="ar-SA"/>
            </w:rPr>
          </w:pPr>
          <w:hyperlink w:anchor="_Toc416100911" w:history="1">
            <w:r w:rsidR="005C4E94" w:rsidRPr="00E93FA3">
              <w:rPr>
                <w:rStyle w:val="Hyperlink"/>
                <w:rFonts w:eastAsiaTheme="majorEastAsia"/>
              </w:rPr>
              <w:t>Section 2. Indicators, grouping and scoring</w:t>
            </w:r>
            <w:r w:rsidR="005C4E94">
              <w:rPr>
                <w:webHidden/>
              </w:rPr>
              <w:tab/>
            </w:r>
            <w:r w:rsidR="005C4E94">
              <w:rPr>
                <w:webHidden/>
              </w:rPr>
              <w:fldChar w:fldCharType="begin"/>
            </w:r>
            <w:r w:rsidR="005C4E94">
              <w:rPr>
                <w:webHidden/>
              </w:rPr>
              <w:instrText xml:space="preserve"> PAGEREF _Toc416100911 \h </w:instrText>
            </w:r>
            <w:r w:rsidR="005C4E94">
              <w:rPr>
                <w:webHidden/>
              </w:rPr>
            </w:r>
            <w:r w:rsidR="005C4E94">
              <w:rPr>
                <w:webHidden/>
              </w:rPr>
              <w:fldChar w:fldCharType="separate"/>
            </w:r>
            <w:r w:rsidR="005C4E94">
              <w:rPr>
                <w:webHidden/>
              </w:rPr>
              <w:t>4</w:t>
            </w:r>
            <w:r w:rsidR="005C4E94">
              <w:rPr>
                <w:webHidden/>
              </w:rPr>
              <w:fldChar w:fldCharType="end"/>
            </w:r>
          </w:hyperlink>
        </w:p>
        <w:p w14:paraId="71C51C74" w14:textId="77777777" w:rsidR="005C4E94" w:rsidRDefault="00531E73">
          <w:pPr>
            <w:pStyle w:val="TOC1"/>
            <w:rPr>
              <w:rFonts w:asciiTheme="minorHAnsi" w:eastAsiaTheme="minorEastAsia" w:hAnsiTheme="minorHAnsi"/>
              <w:bCs w:val="0"/>
              <w:lang w:val="en-SG" w:eastAsia="en-SG" w:bidi="ar-SA"/>
            </w:rPr>
          </w:pPr>
          <w:hyperlink w:anchor="_Toc416100912" w:history="1">
            <w:r w:rsidR="005C4E94" w:rsidRPr="00E93FA3">
              <w:rPr>
                <w:rStyle w:val="Hyperlink"/>
                <w:rFonts w:eastAsiaTheme="majorEastAsia"/>
              </w:rPr>
              <w:t>Section 3. Weighting</w:t>
            </w:r>
            <w:r w:rsidR="005C4E94">
              <w:rPr>
                <w:webHidden/>
              </w:rPr>
              <w:tab/>
            </w:r>
            <w:r w:rsidR="005C4E94">
              <w:rPr>
                <w:webHidden/>
              </w:rPr>
              <w:fldChar w:fldCharType="begin"/>
            </w:r>
            <w:r w:rsidR="005C4E94">
              <w:rPr>
                <w:webHidden/>
              </w:rPr>
              <w:instrText xml:space="preserve"> PAGEREF _Toc416100912 \h </w:instrText>
            </w:r>
            <w:r w:rsidR="005C4E94">
              <w:rPr>
                <w:webHidden/>
              </w:rPr>
            </w:r>
            <w:r w:rsidR="005C4E94">
              <w:rPr>
                <w:webHidden/>
              </w:rPr>
              <w:fldChar w:fldCharType="separate"/>
            </w:r>
            <w:r w:rsidR="005C4E94">
              <w:rPr>
                <w:webHidden/>
              </w:rPr>
              <w:t>11</w:t>
            </w:r>
            <w:r w:rsidR="005C4E94">
              <w:rPr>
                <w:webHidden/>
              </w:rPr>
              <w:fldChar w:fldCharType="end"/>
            </w:r>
          </w:hyperlink>
        </w:p>
        <w:p w14:paraId="31E17ADD" w14:textId="77777777" w:rsidR="005C4E94" w:rsidRDefault="00531E73">
          <w:pPr>
            <w:pStyle w:val="TOC1"/>
            <w:rPr>
              <w:rFonts w:asciiTheme="minorHAnsi" w:eastAsiaTheme="minorEastAsia" w:hAnsiTheme="minorHAnsi"/>
              <w:bCs w:val="0"/>
              <w:lang w:val="en-SG" w:eastAsia="en-SG" w:bidi="ar-SA"/>
            </w:rPr>
          </w:pPr>
          <w:hyperlink w:anchor="_Toc416100913" w:history="1">
            <w:r w:rsidR="005C4E94" w:rsidRPr="00E93FA3">
              <w:rPr>
                <w:rStyle w:val="Hyperlink"/>
                <w:rFonts w:eastAsiaTheme="majorEastAsia"/>
              </w:rPr>
              <w:t>Section 4. Data collection</w:t>
            </w:r>
            <w:r w:rsidR="005C4E94">
              <w:rPr>
                <w:webHidden/>
              </w:rPr>
              <w:tab/>
            </w:r>
            <w:r w:rsidR="005C4E94">
              <w:rPr>
                <w:webHidden/>
              </w:rPr>
              <w:fldChar w:fldCharType="begin"/>
            </w:r>
            <w:r w:rsidR="005C4E94">
              <w:rPr>
                <w:webHidden/>
              </w:rPr>
              <w:instrText xml:space="preserve"> PAGEREF _Toc416100913 \h </w:instrText>
            </w:r>
            <w:r w:rsidR="005C4E94">
              <w:rPr>
                <w:webHidden/>
              </w:rPr>
            </w:r>
            <w:r w:rsidR="005C4E94">
              <w:rPr>
                <w:webHidden/>
              </w:rPr>
              <w:fldChar w:fldCharType="separate"/>
            </w:r>
            <w:r w:rsidR="005C4E94">
              <w:rPr>
                <w:webHidden/>
              </w:rPr>
              <w:t>14</w:t>
            </w:r>
            <w:r w:rsidR="005C4E94">
              <w:rPr>
                <w:webHidden/>
              </w:rPr>
              <w:fldChar w:fldCharType="end"/>
            </w:r>
          </w:hyperlink>
        </w:p>
        <w:p w14:paraId="32333957" w14:textId="77777777" w:rsidR="005C4E94" w:rsidRDefault="00531E73">
          <w:pPr>
            <w:pStyle w:val="TOC1"/>
            <w:rPr>
              <w:rFonts w:asciiTheme="minorHAnsi" w:eastAsiaTheme="minorEastAsia" w:hAnsiTheme="minorHAnsi"/>
              <w:bCs w:val="0"/>
              <w:lang w:val="en-SG" w:eastAsia="en-SG" w:bidi="ar-SA"/>
            </w:rPr>
          </w:pPr>
          <w:hyperlink w:anchor="_Toc416100914" w:history="1">
            <w:r w:rsidR="005C4E94" w:rsidRPr="00E93FA3">
              <w:rPr>
                <w:rStyle w:val="Hyperlink"/>
                <w:rFonts w:eastAsiaTheme="majorEastAsia"/>
              </w:rPr>
              <w:t>Section 5. Comparing results with previous years</w:t>
            </w:r>
            <w:r w:rsidR="005C4E94">
              <w:rPr>
                <w:webHidden/>
              </w:rPr>
              <w:tab/>
            </w:r>
            <w:r w:rsidR="005C4E94">
              <w:rPr>
                <w:webHidden/>
              </w:rPr>
              <w:fldChar w:fldCharType="begin"/>
            </w:r>
            <w:r w:rsidR="005C4E94">
              <w:rPr>
                <w:webHidden/>
              </w:rPr>
              <w:instrText xml:space="preserve"> PAGEREF _Toc416100914 \h </w:instrText>
            </w:r>
            <w:r w:rsidR="005C4E94">
              <w:rPr>
                <w:webHidden/>
              </w:rPr>
            </w:r>
            <w:r w:rsidR="005C4E94">
              <w:rPr>
                <w:webHidden/>
              </w:rPr>
              <w:fldChar w:fldCharType="separate"/>
            </w:r>
            <w:r w:rsidR="005C4E94">
              <w:rPr>
                <w:webHidden/>
              </w:rPr>
              <w:t>17</w:t>
            </w:r>
            <w:r w:rsidR="005C4E94">
              <w:rPr>
                <w:webHidden/>
              </w:rPr>
              <w:fldChar w:fldCharType="end"/>
            </w:r>
          </w:hyperlink>
        </w:p>
        <w:p w14:paraId="722B9C43" w14:textId="77777777" w:rsidR="005C4E94" w:rsidRDefault="00531E73">
          <w:pPr>
            <w:pStyle w:val="TOC1"/>
            <w:rPr>
              <w:rFonts w:asciiTheme="minorHAnsi" w:eastAsiaTheme="minorEastAsia" w:hAnsiTheme="minorHAnsi"/>
              <w:bCs w:val="0"/>
              <w:lang w:val="en-SG" w:eastAsia="en-SG" w:bidi="ar-SA"/>
            </w:rPr>
          </w:pPr>
          <w:hyperlink w:anchor="_Toc416100915" w:history="1">
            <w:r w:rsidR="005C4E94" w:rsidRPr="00E93FA3">
              <w:rPr>
                <w:rStyle w:val="Hyperlink"/>
                <w:rFonts w:eastAsiaTheme="majorEastAsia"/>
              </w:rPr>
              <w:t>Section 6. Challenges, limitations and lessons learnt</w:t>
            </w:r>
            <w:r w:rsidR="005C4E94">
              <w:rPr>
                <w:webHidden/>
              </w:rPr>
              <w:tab/>
            </w:r>
            <w:r w:rsidR="005C4E94">
              <w:rPr>
                <w:webHidden/>
              </w:rPr>
              <w:fldChar w:fldCharType="begin"/>
            </w:r>
            <w:r w:rsidR="005C4E94">
              <w:rPr>
                <w:webHidden/>
              </w:rPr>
              <w:instrText xml:space="preserve"> PAGEREF _Toc416100915 \h </w:instrText>
            </w:r>
            <w:r w:rsidR="005C4E94">
              <w:rPr>
                <w:webHidden/>
              </w:rPr>
            </w:r>
            <w:r w:rsidR="005C4E94">
              <w:rPr>
                <w:webHidden/>
              </w:rPr>
              <w:fldChar w:fldCharType="separate"/>
            </w:r>
            <w:r w:rsidR="005C4E94">
              <w:rPr>
                <w:webHidden/>
              </w:rPr>
              <w:t>18</w:t>
            </w:r>
            <w:r w:rsidR="005C4E94">
              <w:rPr>
                <w:webHidden/>
              </w:rPr>
              <w:fldChar w:fldCharType="end"/>
            </w:r>
          </w:hyperlink>
        </w:p>
        <w:p w14:paraId="0E16B87E" w14:textId="77777777" w:rsidR="005C4E94" w:rsidRDefault="00531E73">
          <w:pPr>
            <w:pStyle w:val="TOC1"/>
            <w:rPr>
              <w:rFonts w:asciiTheme="minorHAnsi" w:eastAsiaTheme="minorEastAsia" w:hAnsiTheme="minorHAnsi"/>
              <w:bCs w:val="0"/>
              <w:lang w:val="en-SG" w:eastAsia="en-SG" w:bidi="ar-SA"/>
            </w:rPr>
          </w:pPr>
          <w:hyperlink w:anchor="_Toc416100916" w:history="1">
            <w:r w:rsidR="005C4E94" w:rsidRPr="00E93FA3">
              <w:rPr>
                <w:rStyle w:val="Hyperlink"/>
                <w:rFonts w:eastAsiaTheme="majorEastAsia"/>
              </w:rPr>
              <w:t>Annex 1: Indicator definitions</w:t>
            </w:r>
            <w:r w:rsidR="005C4E94">
              <w:rPr>
                <w:webHidden/>
              </w:rPr>
              <w:tab/>
            </w:r>
            <w:r w:rsidR="005C4E94">
              <w:rPr>
                <w:webHidden/>
              </w:rPr>
              <w:fldChar w:fldCharType="begin"/>
            </w:r>
            <w:r w:rsidR="005C4E94">
              <w:rPr>
                <w:webHidden/>
              </w:rPr>
              <w:instrText xml:space="preserve"> PAGEREF _Toc416100916 \h </w:instrText>
            </w:r>
            <w:r w:rsidR="005C4E94">
              <w:rPr>
                <w:webHidden/>
              </w:rPr>
            </w:r>
            <w:r w:rsidR="005C4E94">
              <w:rPr>
                <w:webHidden/>
              </w:rPr>
              <w:fldChar w:fldCharType="separate"/>
            </w:r>
            <w:r w:rsidR="005C4E94">
              <w:rPr>
                <w:webHidden/>
              </w:rPr>
              <w:t>27</w:t>
            </w:r>
            <w:r w:rsidR="005C4E94">
              <w:rPr>
                <w:webHidden/>
              </w:rPr>
              <w:fldChar w:fldCharType="end"/>
            </w:r>
          </w:hyperlink>
        </w:p>
        <w:p w14:paraId="18B080E2" w14:textId="77777777" w:rsidR="005C4E94" w:rsidRDefault="00531E73">
          <w:pPr>
            <w:pStyle w:val="TOC1"/>
            <w:rPr>
              <w:rFonts w:asciiTheme="minorHAnsi" w:eastAsiaTheme="minorEastAsia" w:hAnsiTheme="minorHAnsi"/>
              <w:bCs w:val="0"/>
              <w:lang w:val="en-SG" w:eastAsia="en-SG" w:bidi="ar-SA"/>
            </w:rPr>
          </w:pPr>
          <w:hyperlink w:anchor="_Toc416100917" w:history="1">
            <w:r w:rsidR="005C4E94" w:rsidRPr="00E93FA3">
              <w:rPr>
                <w:rStyle w:val="Hyperlink"/>
                <w:rFonts w:eastAsiaTheme="majorEastAsia"/>
              </w:rPr>
              <w:t>Annex 2: Data quality tests</w:t>
            </w:r>
            <w:r w:rsidR="005C4E94">
              <w:rPr>
                <w:webHidden/>
              </w:rPr>
              <w:tab/>
            </w:r>
            <w:r w:rsidR="005C4E94">
              <w:rPr>
                <w:webHidden/>
              </w:rPr>
              <w:fldChar w:fldCharType="begin"/>
            </w:r>
            <w:r w:rsidR="005C4E94">
              <w:rPr>
                <w:webHidden/>
              </w:rPr>
              <w:instrText xml:space="preserve"> PAGEREF _Toc416100917 \h </w:instrText>
            </w:r>
            <w:r w:rsidR="005C4E94">
              <w:rPr>
                <w:webHidden/>
              </w:rPr>
            </w:r>
            <w:r w:rsidR="005C4E94">
              <w:rPr>
                <w:webHidden/>
              </w:rPr>
              <w:fldChar w:fldCharType="separate"/>
            </w:r>
            <w:r w:rsidR="005C4E94">
              <w:rPr>
                <w:webHidden/>
              </w:rPr>
              <w:t>39</w:t>
            </w:r>
            <w:r w:rsidR="005C4E94">
              <w:rPr>
                <w:webHidden/>
              </w:rPr>
              <w:fldChar w:fldCharType="end"/>
            </w:r>
          </w:hyperlink>
        </w:p>
        <w:p w14:paraId="464D200A" w14:textId="77777777" w:rsidR="004960F3" w:rsidRDefault="00291FEB">
          <w:r>
            <w:rPr>
              <w:b/>
              <w:bCs/>
              <w:noProof/>
            </w:rPr>
            <w:fldChar w:fldCharType="end"/>
          </w:r>
        </w:p>
      </w:sdtContent>
    </w:sdt>
    <w:p w14:paraId="17D2F37B" w14:textId="77777777" w:rsidR="00FF07EE" w:rsidRPr="00FF07EE" w:rsidRDefault="00FF07EE" w:rsidP="00FF07EE">
      <w:pPr>
        <w:sectPr w:rsidR="00FF07EE" w:rsidRPr="00FF07EE" w:rsidSect="002B2AC5">
          <w:footerReference w:type="default" r:id="rId8"/>
          <w:pgSz w:w="16838" w:h="11906" w:orient="landscape"/>
          <w:pgMar w:top="1021" w:right="1021" w:bottom="1021" w:left="1021" w:header="709" w:footer="709" w:gutter="0"/>
          <w:pgNumType w:fmt="lowerRoman" w:start="1"/>
          <w:cols w:space="708"/>
          <w:docGrid w:linePitch="360"/>
        </w:sectPr>
      </w:pPr>
    </w:p>
    <w:p w14:paraId="12D372FA" w14:textId="77777777" w:rsidR="0027047F" w:rsidRPr="0027047F" w:rsidRDefault="0027047F" w:rsidP="0027047F">
      <w:pPr>
        <w:pStyle w:val="Heading1"/>
        <w:pBdr>
          <w:bottom w:val="single" w:sz="4" w:space="1" w:color="auto"/>
        </w:pBdr>
        <w:spacing w:before="0" w:after="200" w:line="240" w:lineRule="auto"/>
        <w:rPr>
          <w:sz w:val="36"/>
        </w:rPr>
      </w:pPr>
      <w:bookmarkStart w:id="6" w:name="_Toc273694250"/>
      <w:bookmarkStart w:id="7" w:name="_Toc273732784"/>
      <w:bookmarkStart w:id="8" w:name="_Toc369018202"/>
      <w:bookmarkStart w:id="9" w:name="_Toc416100908"/>
      <w:r w:rsidRPr="00040928">
        <w:rPr>
          <w:sz w:val="36"/>
        </w:rPr>
        <w:lastRenderedPageBreak/>
        <w:t xml:space="preserve">Acronyms </w:t>
      </w:r>
      <w:r w:rsidRPr="00394D03">
        <w:rPr>
          <w:color w:val="365F91"/>
          <w:sz w:val="36"/>
        </w:rPr>
        <w:t>and</w:t>
      </w:r>
      <w:r w:rsidRPr="00040928">
        <w:rPr>
          <w:sz w:val="36"/>
        </w:rPr>
        <w:t xml:space="preserve"> Abbreviations</w:t>
      </w:r>
      <w:bookmarkEnd w:id="6"/>
      <w:bookmarkEnd w:id="7"/>
      <w:bookmarkEnd w:id="8"/>
      <w:bookmarkEnd w:id="9"/>
    </w:p>
    <w:p w14:paraId="54EEAAA0" w14:textId="77777777" w:rsidR="0027047F" w:rsidRPr="00375E5D" w:rsidRDefault="0027047F" w:rsidP="000B005C">
      <w:pPr>
        <w:spacing w:after="0" w:line="240" w:lineRule="auto"/>
      </w:pPr>
    </w:p>
    <w:tbl>
      <w:tblPr>
        <w:tblStyle w:val="TableGrid"/>
        <w:tblW w:w="0" w:type="auto"/>
        <w:tblInd w:w="108" w:type="dxa"/>
        <w:tblLook w:val="04A0" w:firstRow="1" w:lastRow="0" w:firstColumn="1" w:lastColumn="0" w:noHBand="0" w:noVBand="1"/>
      </w:tblPr>
      <w:tblGrid>
        <w:gridCol w:w="728"/>
        <w:gridCol w:w="12748"/>
      </w:tblGrid>
      <w:tr w:rsidR="00FC0BC5" w:rsidRPr="00643E95" w14:paraId="042ADD83" w14:textId="77777777" w:rsidTr="00FC0BC5">
        <w:trPr>
          <w:trHeight w:val="284"/>
        </w:trPr>
        <w:tc>
          <w:tcPr>
            <w:tcW w:w="728" w:type="dxa"/>
            <w:vAlign w:val="center"/>
          </w:tcPr>
          <w:p w14:paraId="631492BE" w14:textId="77777777" w:rsidR="00FC0BC5" w:rsidRPr="00643E95" w:rsidRDefault="00FC0BC5" w:rsidP="00553C6C">
            <w:pPr>
              <w:rPr>
                <w:rFonts w:cstheme="minorHAnsi"/>
                <w:sz w:val="20"/>
                <w:szCs w:val="20"/>
              </w:rPr>
            </w:pPr>
            <w:r>
              <w:rPr>
                <w:rFonts w:cstheme="minorHAnsi"/>
                <w:sz w:val="20"/>
                <w:szCs w:val="20"/>
              </w:rPr>
              <w:t>AIMS</w:t>
            </w:r>
          </w:p>
        </w:tc>
        <w:tc>
          <w:tcPr>
            <w:tcW w:w="12748" w:type="dxa"/>
            <w:vAlign w:val="center"/>
          </w:tcPr>
          <w:p w14:paraId="274E5BF7" w14:textId="77777777" w:rsidR="00FC0BC5" w:rsidRPr="00643E95" w:rsidRDefault="00FC0BC5" w:rsidP="00553C6C">
            <w:pPr>
              <w:rPr>
                <w:rFonts w:cstheme="minorHAnsi"/>
                <w:sz w:val="20"/>
                <w:szCs w:val="20"/>
              </w:rPr>
            </w:pPr>
            <w:r>
              <w:rPr>
                <w:rFonts w:cstheme="minorHAnsi"/>
                <w:sz w:val="20"/>
                <w:szCs w:val="20"/>
              </w:rPr>
              <w:t>Aid Information Management System</w:t>
            </w:r>
          </w:p>
        </w:tc>
      </w:tr>
      <w:tr w:rsidR="0087570D" w:rsidRPr="00643E95" w14:paraId="3140F1B2" w14:textId="77777777" w:rsidTr="00FC0BC5">
        <w:trPr>
          <w:trHeight w:val="284"/>
        </w:trPr>
        <w:tc>
          <w:tcPr>
            <w:tcW w:w="728" w:type="dxa"/>
            <w:vAlign w:val="center"/>
          </w:tcPr>
          <w:p w14:paraId="7B80A8B4" w14:textId="77777777" w:rsidR="0087570D" w:rsidRPr="00643E95" w:rsidRDefault="0087570D" w:rsidP="00553C6C">
            <w:pPr>
              <w:rPr>
                <w:rFonts w:cstheme="minorHAnsi"/>
                <w:sz w:val="20"/>
                <w:szCs w:val="20"/>
              </w:rPr>
            </w:pPr>
            <w:r w:rsidRPr="00643E95">
              <w:rPr>
                <w:rFonts w:cstheme="minorHAnsi"/>
                <w:sz w:val="20"/>
                <w:szCs w:val="20"/>
              </w:rPr>
              <w:t>CPA</w:t>
            </w:r>
          </w:p>
        </w:tc>
        <w:tc>
          <w:tcPr>
            <w:tcW w:w="12748" w:type="dxa"/>
            <w:vAlign w:val="center"/>
          </w:tcPr>
          <w:p w14:paraId="11D4F17D" w14:textId="77777777" w:rsidR="0087570D" w:rsidRPr="00643E95" w:rsidRDefault="0087570D" w:rsidP="00553C6C">
            <w:pPr>
              <w:rPr>
                <w:rFonts w:cstheme="minorHAnsi"/>
                <w:sz w:val="20"/>
                <w:szCs w:val="20"/>
              </w:rPr>
            </w:pPr>
            <w:r w:rsidRPr="00643E95">
              <w:rPr>
                <w:rFonts w:cstheme="minorHAnsi"/>
                <w:sz w:val="20"/>
                <w:szCs w:val="20"/>
              </w:rPr>
              <w:t>Country Programmable Aid</w:t>
            </w:r>
          </w:p>
        </w:tc>
      </w:tr>
      <w:tr w:rsidR="0027047F" w:rsidRPr="00643E95" w14:paraId="10C9E376" w14:textId="77777777" w:rsidTr="00FC0BC5">
        <w:trPr>
          <w:trHeight w:val="284"/>
        </w:trPr>
        <w:tc>
          <w:tcPr>
            <w:tcW w:w="728" w:type="dxa"/>
            <w:vAlign w:val="center"/>
          </w:tcPr>
          <w:p w14:paraId="238516BA" w14:textId="77777777" w:rsidR="0027047F" w:rsidRPr="00643E95" w:rsidRDefault="0027047F" w:rsidP="00553C6C">
            <w:pPr>
              <w:rPr>
                <w:rFonts w:cstheme="minorHAnsi"/>
                <w:sz w:val="20"/>
                <w:szCs w:val="20"/>
              </w:rPr>
            </w:pPr>
            <w:r w:rsidRPr="00643E95">
              <w:rPr>
                <w:rFonts w:cstheme="minorHAnsi"/>
                <w:sz w:val="20"/>
                <w:szCs w:val="20"/>
              </w:rPr>
              <w:t>CRS</w:t>
            </w:r>
          </w:p>
        </w:tc>
        <w:tc>
          <w:tcPr>
            <w:tcW w:w="12748" w:type="dxa"/>
            <w:vAlign w:val="center"/>
          </w:tcPr>
          <w:p w14:paraId="43C5A7F9" w14:textId="77777777" w:rsidR="0027047F" w:rsidRPr="00643E95" w:rsidRDefault="0027047F" w:rsidP="00553C6C">
            <w:pPr>
              <w:rPr>
                <w:rFonts w:cstheme="minorHAnsi"/>
                <w:sz w:val="20"/>
                <w:szCs w:val="20"/>
              </w:rPr>
            </w:pPr>
            <w:r w:rsidRPr="00643E95">
              <w:rPr>
                <w:rFonts w:cstheme="minorHAnsi"/>
                <w:sz w:val="20"/>
                <w:szCs w:val="20"/>
              </w:rPr>
              <w:t>Creditor Reporting System (of the OECD DAC)</w:t>
            </w:r>
          </w:p>
        </w:tc>
      </w:tr>
      <w:tr w:rsidR="0027047F" w:rsidRPr="00643E95" w14:paraId="25BCFC69" w14:textId="77777777" w:rsidTr="00FC0BC5">
        <w:trPr>
          <w:trHeight w:val="284"/>
        </w:trPr>
        <w:tc>
          <w:tcPr>
            <w:tcW w:w="728" w:type="dxa"/>
            <w:vAlign w:val="center"/>
          </w:tcPr>
          <w:p w14:paraId="2C27DDD7" w14:textId="77777777" w:rsidR="0027047F" w:rsidRPr="00643E95" w:rsidRDefault="0027047F" w:rsidP="00553C6C">
            <w:pPr>
              <w:rPr>
                <w:rFonts w:cstheme="minorHAnsi"/>
                <w:sz w:val="20"/>
                <w:szCs w:val="20"/>
              </w:rPr>
            </w:pPr>
            <w:r w:rsidRPr="00643E95">
              <w:rPr>
                <w:rFonts w:cstheme="minorHAnsi"/>
                <w:sz w:val="20"/>
                <w:szCs w:val="20"/>
              </w:rPr>
              <w:t>CSO</w:t>
            </w:r>
          </w:p>
        </w:tc>
        <w:tc>
          <w:tcPr>
            <w:tcW w:w="12748" w:type="dxa"/>
            <w:vAlign w:val="center"/>
          </w:tcPr>
          <w:p w14:paraId="10764EE2" w14:textId="77777777" w:rsidR="0027047F" w:rsidRPr="00643E95" w:rsidRDefault="0027047F" w:rsidP="00553C6C">
            <w:pPr>
              <w:rPr>
                <w:rFonts w:cstheme="minorHAnsi"/>
                <w:sz w:val="20"/>
                <w:szCs w:val="20"/>
              </w:rPr>
            </w:pPr>
            <w:r w:rsidRPr="00643E95">
              <w:rPr>
                <w:rFonts w:cstheme="minorHAnsi"/>
                <w:sz w:val="20"/>
                <w:szCs w:val="20"/>
              </w:rPr>
              <w:t>Civil society organisation</w:t>
            </w:r>
          </w:p>
        </w:tc>
      </w:tr>
      <w:tr w:rsidR="0027047F" w:rsidRPr="00643E95" w14:paraId="0BA479DD" w14:textId="77777777" w:rsidTr="00FC0BC5">
        <w:trPr>
          <w:trHeight w:val="284"/>
        </w:trPr>
        <w:tc>
          <w:tcPr>
            <w:tcW w:w="728" w:type="dxa"/>
            <w:vAlign w:val="center"/>
          </w:tcPr>
          <w:p w14:paraId="5E2C067C" w14:textId="77777777" w:rsidR="0027047F" w:rsidRPr="00643E95" w:rsidRDefault="0027047F" w:rsidP="00553C6C">
            <w:pPr>
              <w:rPr>
                <w:rFonts w:cstheme="minorHAnsi"/>
                <w:sz w:val="20"/>
                <w:szCs w:val="20"/>
              </w:rPr>
            </w:pPr>
            <w:r w:rsidRPr="00643E95">
              <w:rPr>
                <w:rFonts w:cstheme="minorHAnsi"/>
                <w:sz w:val="20"/>
                <w:szCs w:val="20"/>
              </w:rPr>
              <w:t>CSV</w:t>
            </w:r>
          </w:p>
        </w:tc>
        <w:tc>
          <w:tcPr>
            <w:tcW w:w="12748" w:type="dxa"/>
            <w:vAlign w:val="center"/>
          </w:tcPr>
          <w:p w14:paraId="5A01A1AE" w14:textId="77777777" w:rsidR="0027047F" w:rsidRPr="00643E95" w:rsidRDefault="0027047F" w:rsidP="00553C6C">
            <w:pPr>
              <w:rPr>
                <w:rFonts w:cstheme="minorHAnsi"/>
                <w:sz w:val="20"/>
                <w:szCs w:val="20"/>
              </w:rPr>
            </w:pPr>
            <w:r w:rsidRPr="00643E95">
              <w:rPr>
                <w:rFonts w:cstheme="minorHAnsi"/>
                <w:sz w:val="20"/>
                <w:szCs w:val="20"/>
              </w:rPr>
              <w:t>Comma separated values</w:t>
            </w:r>
          </w:p>
        </w:tc>
      </w:tr>
      <w:tr w:rsidR="0027047F" w:rsidRPr="00643E95" w14:paraId="3FDA90A3" w14:textId="77777777" w:rsidTr="00FC0BC5">
        <w:trPr>
          <w:trHeight w:val="284"/>
        </w:trPr>
        <w:tc>
          <w:tcPr>
            <w:tcW w:w="728" w:type="dxa"/>
            <w:vAlign w:val="center"/>
          </w:tcPr>
          <w:p w14:paraId="3FE3CB1B" w14:textId="77777777" w:rsidR="0027047F" w:rsidRPr="00643E95" w:rsidRDefault="0027047F" w:rsidP="00553C6C">
            <w:pPr>
              <w:rPr>
                <w:rFonts w:cstheme="minorHAnsi"/>
                <w:sz w:val="20"/>
                <w:szCs w:val="20"/>
              </w:rPr>
            </w:pPr>
            <w:r w:rsidRPr="00643E95">
              <w:rPr>
                <w:rFonts w:cstheme="minorHAnsi"/>
                <w:sz w:val="20"/>
                <w:szCs w:val="20"/>
              </w:rPr>
              <w:t>DAC</w:t>
            </w:r>
          </w:p>
        </w:tc>
        <w:tc>
          <w:tcPr>
            <w:tcW w:w="12748" w:type="dxa"/>
            <w:vAlign w:val="center"/>
          </w:tcPr>
          <w:p w14:paraId="20F3B103" w14:textId="77777777" w:rsidR="0027047F" w:rsidRPr="00643E95" w:rsidRDefault="0027047F" w:rsidP="00553C6C">
            <w:pPr>
              <w:rPr>
                <w:rFonts w:cstheme="minorHAnsi"/>
                <w:sz w:val="20"/>
                <w:szCs w:val="20"/>
              </w:rPr>
            </w:pPr>
            <w:r w:rsidRPr="00643E95">
              <w:rPr>
                <w:rFonts w:cstheme="minorHAnsi"/>
                <w:sz w:val="20"/>
                <w:szCs w:val="20"/>
              </w:rPr>
              <w:t>Development Assistance Committee (of the OECD)</w:t>
            </w:r>
          </w:p>
        </w:tc>
      </w:tr>
      <w:tr w:rsidR="0027047F" w:rsidRPr="00643E95" w14:paraId="4BE7541B" w14:textId="77777777" w:rsidTr="00FC0BC5">
        <w:trPr>
          <w:trHeight w:val="284"/>
        </w:trPr>
        <w:tc>
          <w:tcPr>
            <w:tcW w:w="728" w:type="dxa"/>
            <w:vAlign w:val="center"/>
          </w:tcPr>
          <w:p w14:paraId="3EEBA12B" w14:textId="77777777" w:rsidR="0027047F" w:rsidRPr="00643E95" w:rsidRDefault="0027047F" w:rsidP="00553C6C">
            <w:pPr>
              <w:rPr>
                <w:rFonts w:cstheme="minorHAnsi"/>
                <w:sz w:val="20"/>
                <w:szCs w:val="20"/>
              </w:rPr>
            </w:pPr>
            <w:r w:rsidRPr="00643E95">
              <w:rPr>
                <w:rFonts w:cstheme="minorHAnsi"/>
                <w:sz w:val="20"/>
                <w:szCs w:val="20"/>
              </w:rPr>
              <w:t>DFI</w:t>
            </w:r>
          </w:p>
        </w:tc>
        <w:tc>
          <w:tcPr>
            <w:tcW w:w="12748" w:type="dxa"/>
            <w:vAlign w:val="center"/>
          </w:tcPr>
          <w:p w14:paraId="7092D44C" w14:textId="77777777" w:rsidR="0027047F" w:rsidRPr="00643E95" w:rsidRDefault="0027047F" w:rsidP="00553C6C">
            <w:pPr>
              <w:rPr>
                <w:rFonts w:cstheme="minorHAnsi"/>
                <w:sz w:val="20"/>
                <w:szCs w:val="20"/>
              </w:rPr>
            </w:pPr>
            <w:r w:rsidRPr="00643E95">
              <w:rPr>
                <w:rFonts w:cstheme="minorHAnsi"/>
                <w:sz w:val="20"/>
                <w:szCs w:val="20"/>
              </w:rPr>
              <w:t>Development Finance Institution</w:t>
            </w:r>
          </w:p>
        </w:tc>
      </w:tr>
      <w:tr w:rsidR="00880ABE" w:rsidRPr="00643E95" w14:paraId="07D65D57" w14:textId="77777777" w:rsidTr="00FC0BC5">
        <w:trPr>
          <w:trHeight w:val="284"/>
        </w:trPr>
        <w:tc>
          <w:tcPr>
            <w:tcW w:w="728" w:type="dxa"/>
            <w:vAlign w:val="center"/>
          </w:tcPr>
          <w:p w14:paraId="04926A40" w14:textId="77777777" w:rsidR="00880ABE" w:rsidRPr="00643E95" w:rsidRDefault="00880ABE" w:rsidP="00553C6C">
            <w:pPr>
              <w:rPr>
                <w:rFonts w:cstheme="minorHAnsi"/>
                <w:sz w:val="20"/>
                <w:szCs w:val="20"/>
              </w:rPr>
            </w:pPr>
            <w:r w:rsidRPr="00643E95">
              <w:rPr>
                <w:rFonts w:cstheme="minorHAnsi"/>
                <w:sz w:val="20"/>
                <w:szCs w:val="20"/>
              </w:rPr>
              <w:t>DFID</w:t>
            </w:r>
          </w:p>
        </w:tc>
        <w:tc>
          <w:tcPr>
            <w:tcW w:w="12748" w:type="dxa"/>
            <w:vAlign w:val="center"/>
          </w:tcPr>
          <w:p w14:paraId="0002D5F2" w14:textId="77777777" w:rsidR="00880ABE" w:rsidRPr="00643E95" w:rsidRDefault="00880ABE" w:rsidP="00553C6C">
            <w:pPr>
              <w:rPr>
                <w:rFonts w:cstheme="minorHAnsi"/>
                <w:sz w:val="20"/>
                <w:szCs w:val="20"/>
              </w:rPr>
            </w:pPr>
            <w:r w:rsidRPr="00643E95">
              <w:rPr>
                <w:rFonts w:cstheme="minorHAnsi"/>
                <w:sz w:val="20"/>
                <w:szCs w:val="20"/>
              </w:rPr>
              <w:t>Department for International Development</w:t>
            </w:r>
          </w:p>
        </w:tc>
      </w:tr>
      <w:tr w:rsidR="0027047F" w:rsidRPr="00643E95" w14:paraId="5896770C" w14:textId="77777777" w:rsidTr="00FC0BC5">
        <w:trPr>
          <w:trHeight w:val="284"/>
        </w:trPr>
        <w:tc>
          <w:tcPr>
            <w:tcW w:w="728" w:type="dxa"/>
            <w:vAlign w:val="center"/>
          </w:tcPr>
          <w:p w14:paraId="45C77D77" w14:textId="77777777" w:rsidR="0027047F" w:rsidRPr="00643E95" w:rsidRDefault="0027047F" w:rsidP="00553C6C">
            <w:pPr>
              <w:rPr>
                <w:rFonts w:cstheme="minorHAnsi"/>
                <w:sz w:val="20"/>
                <w:szCs w:val="20"/>
              </w:rPr>
            </w:pPr>
            <w:r w:rsidRPr="00643E95">
              <w:rPr>
                <w:rFonts w:cstheme="minorHAnsi"/>
                <w:sz w:val="20"/>
                <w:szCs w:val="20"/>
              </w:rPr>
              <w:t>EC</w:t>
            </w:r>
          </w:p>
        </w:tc>
        <w:tc>
          <w:tcPr>
            <w:tcW w:w="12748" w:type="dxa"/>
            <w:vAlign w:val="center"/>
          </w:tcPr>
          <w:p w14:paraId="11252203" w14:textId="77777777" w:rsidR="0027047F" w:rsidRPr="00643E95" w:rsidRDefault="0027047F" w:rsidP="00553C6C">
            <w:pPr>
              <w:rPr>
                <w:rFonts w:cstheme="minorHAnsi"/>
                <w:sz w:val="20"/>
                <w:szCs w:val="20"/>
              </w:rPr>
            </w:pPr>
            <w:r w:rsidRPr="00643E95">
              <w:rPr>
                <w:rFonts w:cstheme="minorHAnsi"/>
                <w:sz w:val="20"/>
                <w:szCs w:val="20"/>
              </w:rPr>
              <w:t>European Commission</w:t>
            </w:r>
          </w:p>
        </w:tc>
      </w:tr>
      <w:tr w:rsidR="00EB2722" w:rsidRPr="00643E95" w14:paraId="46363CAE" w14:textId="77777777" w:rsidTr="00FC0BC5">
        <w:trPr>
          <w:trHeight w:val="284"/>
        </w:trPr>
        <w:tc>
          <w:tcPr>
            <w:tcW w:w="728" w:type="dxa"/>
            <w:vAlign w:val="center"/>
          </w:tcPr>
          <w:p w14:paraId="1F61FCC6" w14:textId="77777777" w:rsidR="00EB2722" w:rsidRPr="00643E95" w:rsidRDefault="00EB2722" w:rsidP="00676A8E">
            <w:pPr>
              <w:rPr>
                <w:rFonts w:cstheme="minorHAnsi"/>
                <w:sz w:val="20"/>
                <w:szCs w:val="20"/>
              </w:rPr>
            </w:pPr>
            <w:r w:rsidRPr="00643E95">
              <w:rPr>
                <w:rFonts w:cstheme="minorHAnsi"/>
                <w:sz w:val="20"/>
                <w:szCs w:val="20"/>
              </w:rPr>
              <w:t>ECHO</w:t>
            </w:r>
          </w:p>
        </w:tc>
        <w:tc>
          <w:tcPr>
            <w:tcW w:w="12748" w:type="dxa"/>
            <w:vAlign w:val="center"/>
          </w:tcPr>
          <w:p w14:paraId="0D2B039C" w14:textId="77777777" w:rsidR="00EB2722" w:rsidRPr="00643E95" w:rsidRDefault="00EB2722" w:rsidP="00676A8E">
            <w:pPr>
              <w:rPr>
                <w:rFonts w:cstheme="minorHAnsi"/>
                <w:sz w:val="20"/>
                <w:szCs w:val="20"/>
              </w:rPr>
            </w:pPr>
            <w:r w:rsidRPr="00643E95">
              <w:rPr>
                <w:rFonts w:cstheme="minorHAnsi"/>
                <w:sz w:val="20"/>
                <w:szCs w:val="20"/>
                <w:shd w:val="clear" w:color="auto" w:fill="FFFFFF"/>
              </w:rPr>
              <w:t xml:space="preserve">Humanitarian Aid and Civil Protection </w:t>
            </w:r>
            <w:r w:rsidRPr="00643E95">
              <w:rPr>
                <w:rFonts w:cstheme="minorHAnsi"/>
                <w:sz w:val="20"/>
                <w:szCs w:val="20"/>
              </w:rPr>
              <w:t>Department (European Commission)</w:t>
            </w:r>
          </w:p>
        </w:tc>
      </w:tr>
      <w:tr w:rsidR="00553C6C" w:rsidRPr="00643E95" w14:paraId="630512CA" w14:textId="77777777" w:rsidTr="00FC0BC5">
        <w:trPr>
          <w:trHeight w:val="284"/>
        </w:trPr>
        <w:tc>
          <w:tcPr>
            <w:tcW w:w="728" w:type="dxa"/>
            <w:vAlign w:val="center"/>
          </w:tcPr>
          <w:p w14:paraId="29C2C437" w14:textId="77777777" w:rsidR="00553C6C" w:rsidRPr="00643E95" w:rsidRDefault="00553C6C" w:rsidP="00553C6C">
            <w:pPr>
              <w:rPr>
                <w:rFonts w:cstheme="minorHAnsi"/>
                <w:sz w:val="20"/>
                <w:szCs w:val="20"/>
              </w:rPr>
            </w:pPr>
            <w:r w:rsidRPr="00643E95">
              <w:rPr>
                <w:rFonts w:cstheme="minorHAnsi"/>
                <w:sz w:val="20"/>
                <w:szCs w:val="20"/>
              </w:rPr>
              <w:t>FOI(A)</w:t>
            </w:r>
          </w:p>
        </w:tc>
        <w:tc>
          <w:tcPr>
            <w:tcW w:w="12748" w:type="dxa"/>
            <w:vAlign w:val="center"/>
          </w:tcPr>
          <w:p w14:paraId="2FEE4620" w14:textId="77777777" w:rsidR="00553C6C" w:rsidRPr="00643E95" w:rsidRDefault="00553C6C" w:rsidP="00553C6C">
            <w:pPr>
              <w:rPr>
                <w:rFonts w:cstheme="minorHAnsi"/>
                <w:sz w:val="20"/>
                <w:szCs w:val="20"/>
              </w:rPr>
            </w:pPr>
            <w:r w:rsidRPr="00643E95">
              <w:rPr>
                <w:rFonts w:cstheme="minorHAnsi"/>
                <w:sz w:val="20"/>
                <w:szCs w:val="20"/>
              </w:rPr>
              <w:t>Freedom of Information (Act)</w:t>
            </w:r>
          </w:p>
        </w:tc>
      </w:tr>
      <w:tr w:rsidR="0027047F" w:rsidRPr="00643E95" w14:paraId="3DE1C31A" w14:textId="77777777" w:rsidTr="00FC0BC5">
        <w:trPr>
          <w:trHeight w:val="284"/>
        </w:trPr>
        <w:tc>
          <w:tcPr>
            <w:tcW w:w="728" w:type="dxa"/>
            <w:vAlign w:val="center"/>
          </w:tcPr>
          <w:p w14:paraId="54AEAF11" w14:textId="77777777" w:rsidR="0027047F" w:rsidRPr="00643E95" w:rsidRDefault="0027047F" w:rsidP="00553C6C">
            <w:pPr>
              <w:rPr>
                <w:rFonts w:cstheme="minorHAnsi"/>
                <w:sz w:val="20"/>
                <w:szCs w:val="20"/>
              </w:rPr>
            </w:pPr>
            <w:r w:rsidRPr="00643E95">
              <w:rPr>
                <w:rFonts w:cstheme="minorHAnsi"/>
                <w:sz w:val="20"/>
                <w:szCs w:val="20"/>
              </w:rPr>
              <w:t>HTML</w:t>
            </w:r>
          </w:p>
        </w:tc>
        <w:tc>
          <w:tcPr>
            <w:tcW w:w="12748" w:type="dxa"/>
            <w:vAlign w:val="center"/>
          </w:tcPr>
          <w:p w14:paraId="4C7EF74B" w14:textId="77777777" w:rsidR="0027047F" w:rsidRPr="00643E95" w:rsidRDefault="0027047F" w:rsidP="00553C6C">
            <w:pPr>
              <w:rPr>
                <w:rFonts w:cstheme="minorHAnsi"/>
                <w:sz w:val="20"/>
                <w:szCs w:val="20"/>
              </w:rPr>
            </w:pPr>
            <w:r w:rsidRPr="00643E95">
              <w:rPr>
                <w:rFonts w:cstheme="minorHAnsi"/>
                <w:sz w:val="20"/>
                <w:szCs w:val="20"/>
              </w:rPr>
              <w:t>HyperText Markup Language</w:t>
            </w:r>
          </w:p>
        </w:tc>
      </w:tr>
      <w:tr w:rsidR="0027047F" w:rsidRPr="00643E95" w14:paraId="143ADD7B" w14:textId="77777777" w:rsidTr="00FC0BC5">
        <w:trPr>
          <w:trHeight w:val="284"/>
        </w:trPr>
        <w:tc>
          <w:tcPr>
            <w:tcW w:w="728" w:type="dxa"/>
            <w:vAlign w:val="center"/>
          </w:tcPr>
          <w:p w14:paraId="19068188" w14:textId="77777777" w:rsidR="0027047F" w:rsidRPr="00643E95" w:rsidRDefault="0027047F" w:rsidP="00553C6C">
            <w:pPr>
              <w:rPr>
                <w:rFonts w:cstheme="minorHAnsi"/>
                <w:sz w:val="20"/>
                <w:szCs w:val="20"/>
              </w:rPr>
            </w:pPr>
            <w:r w:rsidRPr="00643E95">
              <w:rPr>
                <w:rFonts w:cstheme="minorHAnsi"/>
                <w:sz w:val="20"/>
                <w:szCs w:val="20"/>
              </w:rPr>
              <w:t>IATI</w:t>
            </w:r>
          </w:p>
        </w:tc>
        <w:tc>
          <w:tcPr>
            <w:tcW w:w="12748" w:type="dxa"/>
            <w:vAlign w:val="center"/>
          </w:tcPr>
          <w:p w14:paraId="29A40404" w14:textId="77777777" w:rsidR="0027047F" w:rsidRPr="00643E95" w:rsidRDefault="0027047F" w:rsidP="00553C6C">
            <w:pPr>
              <w:rPr>
                <w:rFonts w:cstheme="minorHAnsi"/>
                <w:sz w:val="20"/>
                <w:szCs w:val="20"/>
              </w:rPr>
            </w:pPr>
            <w:r w:rsidRPr="00643E95">
              <w:rPr>
                <w:rFonts w:cstheme="minorHAnsi"/>
                <w:sz w:val="20"/>
                <w:szCs w:val="20"/>
              </w:rPr>
              <w:t>International Aid Transparency Initiative</w:t>
            </w:r>
          </w:p>
        </w:tc>
      </w:tr>
      <w:tr w:rsidR="0027047F" w:rsidRPr="00643E95" w14:paraId="36CA4D81" w14:textId="77777777" w:rsidTr="00FC0BC5">
        <w:trPr>
          <w:trHeight w:val="284"/>
        </w:trPr>
        <w:tc>
          <w:tcPr>
            <w:tcW w:w="728" w:type="dxa"/>
            <w:vAlign w:val="center"/>
          </w:tcPr>
          <w:p w14:paraId="314F6ADC" w14:textId="77777777" w:rsidR="0027047F" w:rsidRPr="00643E95" w:rsidRDefault="0027047F" w:rsidP="00553C6C">
            <w:pPr>
              <w:rPr>
                <w:rFonts w:cstheme="minorHAnsi"/>
                <w:sz w:val="20"/>
                <w:szCs w:val="20"/>
              </w:rPr>
            </w:pPr>
            <w:r w:rsidRPr="00643E95">
              <w:rPr>
                <w:rFonts w:cstheme="minorHAnsi"/>
                <w:sz w:val="20"/>
                <w:szCs w:val="20"/>
              </w:rPr>
              <w:t>IFI</w:t>
            </w:r>
          </w:p>
        </w:tc>
        <w:tc>
          <w:tcPr>
            <w:tcW w:w="12748" w:type="dxa"/>
            <w:vAlign w:val="center"/>
          </w:tcPr>
          <w:p w14:paraId="4EC35615" w14:textId="77777777" w:rsidR="0027047F" w:rsidRPr="00643E95" w:rsidRDefault="0027047F" w:rsidP="00553C6C">
            <w:pPr>
              <w:rPr>
                <w:rFonts w:cstheme="minorHAnsi"/>
                <w:sz w:val="20"/>
                <w:szCs w:val="20"/>
              </w:rPr>
            </w:pPr>
            <w:r w:rsidRPr="00643E95">
              <w:rPr>
                <w:rFonts w:cstheme="minorHAnsi"/>
                <w:sz w:val="20"/>
                <w:szCs w:val="20"/>
              </w:rPr>
              <w:t>International Financial Institution</w:t>
            </w:r>
          </w:p>
        </w:tc>
      </w:tr>
      <w:tr w:rsidR="00EB2722" w:rsidRPr="00643E95" w14:paraId="73D93A55" w14:textId="77777777" w:rsidTr="00FC0BC5">
        <w:trPr>
          <w:trHeight w:val="284"/>
        </w:trPr>
        <w:tc>
          <w:tcPr>
            <w:tcW w:w="728" w:type="dxa"/>
            <w:vAlign w:val="center"/>
          </w:tcPr>
          <w:p w14:paraId="0A0C1A98" w14:textId="77777777" w:rsidR="00EB2722" w:rsidRPr="00643E95" w:rsidRDefault="00EB2722" w:rsidP="00553C6C">
            <w:pPr>
              <w:rPr>
                <w:rFonts w:cstheme="minorHAnsi"/>
                <w:sz w:val="20"/>
                <w:szCs w:val="20"/>
              </w:rPr>
            </w:pPr>
            <w:r w:rsidRPr="00643E95">
              <w:rPr>
                <w:rFonts w:cstheme="minorHAnsi"/>
                <w:sz w:val="20"/>
                <w:szCs w:val="20"/>
              </w:rPr>
              <w:t>MFA</w:t>
            </w:r>
          </w:p>
        </w:tc>
        <w:tc>
          <w:tcPr>
            <w:tcW w:w="12748" w:type="dxa"/>
            <w:vAlign w:val="center"/>
          </w:tcPr>
          <w:p w14:paraId="0D64ECB3" w14:textId="77777777" w:rsidR="00EB2722" w:rsidRPr="00643E95" w:rsidRDefault="00EB2722" w:rsidP="00553C6C">
            <w:pPr>
              <w:rPr>
                <w:rFonts w:cstheme="minorHAnsi"/>
                <w:sz w:val="20"/>
                <w:szCs w:val="20"/>
              </w:rPr>
            </w:pPr>
            <w:r w:rsidRPr="00643E95">
              <w:rPr>
                <w:rFonts w:cstheme="minorHAnsi"/>
                <w:sz w:val="20"/>
                <w:szCs w:val="20"/>
              </w:rPr>
              <w:t>Ministry of Foreign Affairs</w:t>
            </w:r>
          </w:p>
        </w:tc>
      </w:tr>
      <w:tr w:rsidR="0027047F" w:rsidRPr="00643E95" w14:paraId="4A3809F7" w14:textId="77777777" w:rsidTr="00FC0BC5">
        <w:trPr>
          <w:trHeight w:val="284"/>
        </w:trPr>
        <w:tc>
          <w:tcPr>
            <w:tcW w:w="728" w:type="dxa"/>
            <w:vAlign w:val="center"/>
          </w:tcPr>
          <w:p w14:paraId="6F9FCEA1" w14:textId="77777777" w:rsidR="0027047F" w:rsidRPr="00643E95" w:rsidRDefault="0027047F" w:rsidP="00553C6C">
            <w:pPr>
              <w:rPr>
                <w:rFonts w:cstheme="minorHAnsi"/>
                <w:sz w:val="20"/>
                <w:szCs w:val="20"/>
              </w:rPr>
            </w:pPr>
            <w:r w:rsidRPr="00643E95">
              <w:rPr>
                <w:rFonts w:cstheme="minorHAnsi"/>
                <w:sz w:val="20"/>
                <w:szCs w:val="20"/>
              </w:rPr>
              <w:t>MoU</w:t>
            </w:r>
          </w:p>
        </w:tc>
        <w:tc>
          <w:tcPr>
            <w:tcW w:w="12748" w:type="dxa"/>
            <w:vAlign w:val="center"/>
          </w:tcPr>
          <w:p w14:paraId="60C6EB26" w14:textId="77777777" w:rsidR="0027047F" w:rsidRPr="00643E95" w:rsidRDefault="0027047F" w:rsidP="00553C6C">
            <w:pPr>
              <w:rPr>
                <w:rFonts w:cstheme="minorHAnsi"/>
                <w:sz w:val="20"/>
                <w:szCs w:val="20"/>
              </w:rPr>
            </w:pPr>
            <w:r w:rsidRPr="00643E95">
              <w:rPr>
                <w:rFonts w:cstheme="minorHAnsi"/>
                <w:sz w:val="20"/>
                <w:szCs w:val="20"/>
              </w:rPr>
              <w:t>Memorandum of Understanding</w:t>
            </w:r>
          </w:p>
        </w:tc>
      </w:tr>
      <w:tr w:rsidR="0027047F" w:rsidRPr="00643E95" w14:paraId="7D2FAD93" w14:textId="77777777" w:rsidTr="00FC0BC5">
        <w:trPr>
          <w:trHeight w:val="284"/>
        </w:trPr>
        <w:tc>
          <w:tcPr>
            <w:tcW w:w="728" w:type="dxa"/>
            <w:vAlign w:val="center"/>
          </w:tcPr>
          <w:p w14:paraId="62E3178E" w14:textId="77777777" w:rsidR="0027047F" w:rsidRPr="00643E95" w:rsidRDefault="0027047F" w:rsidP="00553C6C">
            <w:pPr>
              <w:rPr>
                <w:rFonts w:cstheme="minorHAnsi"/>
                <w:sz w:val="20"/>
                <w:szCs w:val="20"/>
              </w:rPr>
            </w:pPr>
            <w:r w:rsidRPr="00643E95">
              <w:rPr>
                <w:rFonts w:cstheme="minorHAnsi"/>
                <w:sz w:val="20"/>
                <w:szCs w:val="20"/>
              </w:rPr>
              <w:t>NGO</w:t>
            </w:r>
          </w:p>
        </w:tc>
        <w:tc>
          <w:tcPr>
            <w:tcW w:w="12748" w:type="dxa"/>
            <w:vAlign w:val="center"/>
          </w:tcPr>
          <w:p w14:paraId="3D0B7FB9" w14:textId="77777777" w:rsidR="0027047F" w:rsidRPr="00643E95" w:rsidRDefault="0027047F" w:rsidP="00553C6C">
            <w:pPr>
              <w:rPr>
                <w:rFonts w:cstheme="minorHAnsi"/>
                <w:sz w:val="20"/>
                <w:szCs w:val="20"/>
              </w:rPr>
            </w:pPr>
            <w:r w:rsidRPr="00643E95">
              <w:rPr>
                <w:rFonts w:cstheme="minorHAnsi"/>
                <w:sz w:val="20"/>
                <w:szCs w:val="20"/>
              </w:rPr>
              <w:t>Non</w:t>
            </w:r>
            <w:r w:rsidR="000B005C" w:rsidRPr="00643E95">
              <w:rPr>
                <w:rFonts w:cstheme="minorHAnsi"/>
                <w:sz w:val="20"/>
                <w:szCs w:val="20"/>
              </w:rPr>
              <w:t>-</w:t>
            </w:r>
            <w:r w:rsidRPr="00643E95">
              <w:rPr>
                <w:rFonts w:cstheme="minorHAnsi"/>
                <w:sz w:val="20"/>
                <w:szCs w:val="20"/>
              </w:rPr>
              <w:t>governmental organisation</w:t>
            </w:r>
          </w:p>
        </w:tc>
      </w:tr>
      <w:tr w:rsidR="0027047F" w:rsidRPr="00643E95" w14:paraId="358CA2CB" w14:textId="77777777" w:rsidTr="00FC0BC5">
        <w:trPr>
          <w:trHeight w:val="284"/>
        </w:trPr>
        <w:tc>
          <w:tcPr>
            <w:tcW w:w="728" w:type="dxa"/>
            <w:vAlign w:val="center"/>
          </w:tcPr>
          <w:p w14:paraId="2922EAA6" w14:textId="77777777" w:rsidR="0027047F" w:rsidRPr="00643E95" w:rsidRDefault="0027047F" w:rsidP="00553C6C">
            <w:pPr>
              <w:rPr>
                <w:rFonts w:cstheme="minorHAnsi"/>
                <w:sz w:val="20"/>
                <w:szCs w:val="20"/>
              </w:rPr>
            </w:pPr>
            <w:r w:rsidRPr="00643E95">
              <w:rPr>
                <w:rFonts w:cstheme="minorHAnsi"/>
                <w:sz w:val="20"/>
                <w:szCs w:val="20"/>
              </w:rPr>
              <w:t>ODA</w:t>
            </w:r>
          </w:p>
        </w:tc>
        <w:tc>
          <w:tcPr>
            <w:tcW w:w="12748" w:type="dxa"/>
            <w:vAlign w:val="center"/>
          </w:tcPr>
          <w:p w14:paraId="3B909ABA" w14:textId="77777777" w:rsidR="0027047F" w:rsidRPr="00643E95" w:rsidRDefault="0027047F" w:rsidP="00553C6C">
            <w:pPr>
              <w:rPr>
                <w:rFonts w:cstheme="minorHAnsi"/>
                <w:sz w:val="20"/>
                <w:szCs w:val="20"/>
              </w:rPr>
            </w:pPr>
            <w:r w:rsidRPr="00643E95">
              <w:rPr>
                <w:rFonts w:cstheme="minorHAnsi"/>
                <w:sz w:val="20"/>
                <w:szCs w:val="20"/>
              </w:rPr>
              <w:t>Official Development Assistance (definition of OECD DAC)</w:t>
            </w:r>
          </w:p>
        </w:tc>
      </w:tr>
      <w:tr w:rsidR="0027047F" w:rsidRPr="00643E95" w14:paraId="0019957D" w14:textId="77777777" w:rsidTr="00FC0BC5">
        <w:trPr>
          <w:trHeight w:val="284"/>
        </w:trPr>
        <w:tc>
          <w:tcPr>
            <w:tcW w:w="728" w:type="dxa"/>
            <w:vAlign w:val="center"/>
          </w:tcPr>
          <w:p w14:paraId="6F4E1BB0" w14:textId="77777777" w:rsidR="0027047F" w:rsidRPr="00643E95" w:rsidRDefault="0027047F" w:rsidP="00553C6C">
            <w:pPr>
              <w:rPr>
                <w:rFonts w:cstheme="minorHAnsi"/>
                <w:sz w:val="20"/>
                <w:szCs w:val="20"/>
              </w:rPr>
            </w:pPr>
            <w:r w:rsidRPr="00643E95">
              <w:rPr>
                <w:rFonts w:cstheme="minorHAnsi"/>
                <w:sz w:val="20"/>
                <w:szCs w:val="20"/>
              </w:rPr>
              <w:t>ODF</w:t>
            </w:r>
          </w:p>
        </w:tc>
        <w:tc>
          <w:tcPr>
            <w:tcW w:w="12748" w:type="dxa"/>
            <w:vAlign w:val="center"/>
          </w:tcPr>
          <w:p w14:paraId="228915E4" w14:textId="77777777" w:rsidR="0027047F" w:rsidRPr="00643E95" w:rsidRDefault="0027047F" w:rsidP="00553C6C">
            <w:pPr>
              <w:rPr>
                <w:rFonts w:cstheme="minorHAnsi"/>
                <w:sz w:val="20"/>
                <w:szCs w:val="20"/>
              </w:rPr>
            </w:pPr>
            <w:r w:rsidRPr="00643E95">
              <w:rPr>
                <w:rFonts w:cstheme="minorHAnsi"/>
                <w:sz w:val="20"/>
                <w:szCs w:val="20"/>
              </w:rPr>
              <w:t>Official Development Finance (definition of OECD DAC)</w:t>
            </w:r>
          </w:p>
        </w:tc>
      </w:tr>
      <w:tr w:rsidR="0027047F" w:rsidRPr="00643E95" w14:paraId="27A871DB" w14:textId="77777777" w:rsidTr="00FC0BC5">
        <w:trPr>
          <w:trHeight w:val="284"/>
        </w:trPr>
        <w:tc>
          <w:tcPr>
            <w:tcW w:w="728" w:type="dxa"/>
            <w:vAlign w:val="center"/>
          </w:tcPr>
          <w:p w14:paraId="70887EBA" w14:textId="77777777" w:rsidR="0027047F" w:rsidRPr="00643E95" w:rsidRDefault="0027047F" w:rsidP="00553C6C">
            <w:pPr>
              <w:rPr>
                <w:rFonts w:cstheme="minorHAnsi"/>
                <w:sz w:val="20"/>
                <w:szCs w:val="20"/>
              </w:rPr>
            </w:pPr>
            <w:r w:rsidRPr="00643E95">
              <w:rPr>
                <w:rFonts w:cstheme="minorHAnsi"/>
                <w:sz w:val="20"/>
                <w:szCs w:val="20"/>
              </w:rPr>
              <w:t>OECD</w:t>
            </w:r>
          </w:p>
        </w:tc>
        <w:tc>
          <w:tcPr>
            <w:tcW w:w="12748" w:type="dxa"/>
            <w:vAlign w:val="center"/>
          </w:tcPr>
          <w:p w14:paraId="3F7286C1" w14:textId="77777777" w:rsidR="0027047F" w:rsidRPr="00643E95" w:rsidRDefault="0027047F" w:rsidP="00553C6C">
            <w:pPr>
              <w:rPr>
                <w:rFonts w:cstheme="minorHAnsi"/>
                <w:sz w:val="20"/>
                <w:szCs w:val="20"/>
              </w:rPr>
            </w:pPr>
            <w:r w:rsidRPr="00643E95">
              <w:rPr>
                <w:rFonts w:cstheme="minorHAnsi"/>
                <w:sz w:val="20"/>
                <w:szCs w:val="20"/>
              </w:rPr>
              <w:t>Organisation for Economic Co-operation and Development</w:t>
            </w:r>
          </w:p>
        </w:tc>
      </w:tr>
      <w:tr w:rsidR="0027047F" w:rsidRPr="00643E95" w14:paraId="5CD159B0" w14:textId="77777777" w:rsidTr="00FC0BC5">
        <w:trPr>
          <w:trHeight w:val="284"/>
        </w:trPr>
        <w:tc>
          <w:tcPr>
            <w:tcW w:w="728" w:type="dxa"/>
            <w:vAlign w:val="center"/>
          </w:tcPr>
          <w:p w14:paraId="0424ACF0" w14:textId="77777777" w:rsidR="0027047F" w:rsidRPr="00643E95" w:rsidRDefault="0027047F" w:rsidP="00553C6C">
            <w:pPr>
              <w:rPr>
                <w:rFonts w:cstheme="minorHAnsi"/>
                <w:sz w:val="20"/>
                <w:szCs w:val="20"/>
              </w:rPr>
            </w:pPr>
            <w:r w:rsidRPr="00643E95">
              <w:rPr>
                <w:rFonts w:cstheme="minorHAnsi"/>
                <w:sz w:val="20"/>
                <w:szCs w:val="20"/>
              </w:rPr>
              <w:t>PDF</w:t>
            </w:r>
          </w:p>
        </w:tc>
        <w:tc>
          <w:tcPr>
            <w:tcW w:w="12748" w:type="dxa"/>
            <w:vAlign w:val="center"/>
          </w:tcPr>
          <w:p w14:paraId="0E0B2684" w14:textId="77777777" w:rsidR="0027047F" w:rsidRPr="00643E95" w:rsidRDefault="0027047F" w:rsidP="00553C6C">
            <w:pPr>
              <w:rPr>
                <w:rFonts w:cstheme="minorHAnsi"/>
                <w:sz w:val="20"/>
                <w:szCs w:val="20"/>
              </w:rPr>
            </w:pPr>
            <w:r w:rsidRPr="00643E95">
              <w:rPr>
                <w:rFonts w:cstheme="minorHAnsi"/>
                <w:sz w:val="20"/>
                <w:szCs w:val="20"/>
              </w:rPr>
              <w:t>Portable Document Format</w:t>
            </w:r>
          </w:p>
        </w:tc>
      </w:tr>
      <w:tr w:rsidR="0027047F" w:rsidRPr="00643E95" w14:paraId="20FB96C0" w14:textId="77777777" w:rsidTr="00FC0BC5">
        <w:trPr>
          <w:trHeight w:val="284"/>
        </w:trPr>
        <w:tc>
          <w:tcPr>
            <w:tcW w:w="728" w:type="dxa"/>
            <w:vAlign w:val="center"/>
          </w:tcPr>
          <w:p w14:paraId="666A9691" w14:textId="77777777" w:rsidR="0027047F" w:rsidRPr="00643E95" w:rsidRDefault="0027047F" w:rsidP="00553C6C">
            <w:pPr>
              <w:rPr>
                <w:rFonts w:cstheme="minorHAnsi"/>
                <w:sz w:val="20"/>
                <w:szCs w:val="20"/>
              </w:rPr>
            </w:pPr>
            <w:r w:rsidRPr="00643E95">
              <w:rPr>
                <w:rFonts w:cstheme="minorHAnsi"/>
                <w:sz w:val="20"/>
                <w:szCs w:val="20"/>
              </w:rPr>
              <w:t>RTI</w:t>
            </w:r>
          </w:p>
        </w:tc>
        <w:tc>
          <w:tcPr>
            <w:tcW w:w="12748" w:type="dxa"/>
            <w:vAlign w:val="center"/>
          </w:tcPr>
          <w:p w14:paraId="221F2C84" w14:textId="77777777" w:rsidR="0027047F" w:rsidRPr="00643E95" w:rsidRDefault="0027047F" w:rsidP="00553C6C">
            <w:pPr>
              <w:rPr>
                <w:rFonts w:cstheme="minorHAnsi"/>
                <w:sz w:val="20"/>
                <w:szCs w:val="20"/>
              </w:rPr>
            </w:pPr>
            <w:r w:rsidRPr="00643E95">
              <w:rPr>
                <w:rFonts w:cstheme="minorHAnsi"/>
                <w:sz w:val="20"/>
                <w:szCs w:val="20"/>
              </w:rPr>
              <w:t>Right to Information</w:t>
            </w:r>
          </w:p>
        </w:tc>
      </w:tr>
      <w:tr w:rsidR="009055CC" w:rsidRPr="00643E95" w14:paraId="7856F7DD" w14:textId="77777777" w:rsidTr="00FC0BC5">
        <w:trPr>
          <w:trHeight w:val="284"/>
        </w:trPr>
        <w:tc>
          <w:tcPr>
            <w:tcW w:w="728" w:type="dxa"/>
            <w:vAlign w:val="center"/>
          </w:tcPr>
          <w:p w14:paraId="7905949E" w14:textId="3B6FC508" w:rsidR="009055CC" w:rsidRPr="00643E95" w:rsidRDefault="009055CC" w:rsidP="00553C6C">
            <w:pPr>
              <w:rPr>
                <w:rFonts w:cstheme="minorHAnsi"/>
                <w:sz w:val="20"/>
                <w:szCs w:val="20"/>
              </w:rPr>
            </w:pPr>
            <w:r>
              <w:rPr>
                <w:rFonts w:cstheme="minorHAnsi"/>
                <w:sz w:val="20"/>
                <w:szCs w:val="20"/>
              </w:rPr>
              <w:t>UAE</w:t>
            </w:r>
          </w:p>
        </w:tc>
        <w:tc>
          <w:tcPr>
            <w:tcW w:w="12748" w:type="dxa"/>
            <w:vAlign w:val="center"/>
          </w:tcPr>
          <w:p w14:paraId="66236E9A" w14:textId="49E6A58A" w:rsidR="009055CC" w:rsidRPr="00643E95" w:rsidRDefault="009055CC" w:rsidP="00553C6C">
            <w:pPr>
              <w:rPr>
                <w:rFonts w:cstheme="minorHAnsi"/>
                <w:sz w:val="20"/>
                <w:szCs w:val="20"/>
              </w:rPr>
            </w:pPr>
            <w:r>
              <w:rPr>
                <w:rFonts w:cstheme="minorHAnsi"/>
                <w:sz w:val="20"/>
                <w:szCs w:val="20"/>
              </w:rPr>
              <w:t>United Arab Emirates</w:t>
            </w:r>
          </w:p>
        </w:tc>
      </w:tr>
      <w:tr w:rsidR="00D53219" w:rsidRPr="00643E95" w14:paraId="64BF22C1" w14:textId="77777777" w:rsidTr="00FC0BC5">
        <w:trPr>
          <w:trHeight w:val="284"/>
        </w:trPr>
        <w:tc>
          <w:tcPr>
            <w:tcW w:w="728" w:type="dxa"/>
            <w:vAlign w:val="center"/>
          </w:tcPr>
          <w:p w14:paraId="0210999E" w14:textId="77777777" w:rsidR="00D53219" w:rsidRPr="00643E95" w:rsidRDefault="00D53219" w:rsidP="00553C6C">
            <w:pPr>
              <w:rPr>
                <w:rFonts w:cstheme="minorHAnsi"/>
                <w:sz w:val="20"/>
                <w:szCs w:val="20"/>
              </w:rPr>
            </w:pPr>
            <w:r w:rsidRPr="00643E95">
              <w:rPr>
                <w:rFonts w:cstheme="minorHAnsi"/>
                <w:sz w:val="20"/>
                <w:szCs w:val="20"/>
              </w:rPr>
              <w:t>UN</w:t>
            </w:r>
          </w:p>
        </w:tc>
        <w:tc>
          <w:tcPr>
            <w:tcW w:w="12748" w:type="dxa"/>
            <w:vAlign w:val="center"/>
          </w:tcPr>
          <w:p w14:paraId="51E1F69F" w14:textId="77777777" w:rsidR="00D53219" w:rsidRPr="00643E95" w:rsidRDefault="00D53219" w:rsidP="00553C6C">
            <w:pPr>
              <w:rPr>
                <w:rFonts w:cstheme="minorHAnsi"/>
                <w:sz w:val="20"/>
                <w:szCs w:val="20"/>
              </w:rPr>
            </w:pPr>
            <w:r w:rsidRPr="00643E95">
              <w:rPr>
                <w:rFonts w:cstheme="minorHAnsi"/>
                <w:sz w:val="20"/>
                <w:szCs w:val="20"/>
              </w:rPr>
              <w:t>United Nations</w:t>
            </w:r>
          </w:p>
        </w:tc>
      </w:tr>
      <w:tr w:rsidR="0027047F" w:rsidRPr="00643E95" w14:paraId="107490B3" w14:textId="77777777" w:rsidTr="00FC0BC5">
        <w:trPr>
          <w:trHeight w:val="284"/>
        </w:trPr>
        <w:tc>
          <w:tcPr>
            <w:tcW w:w="728" w:type="dxa"/>
            <w:vAlign w:val="center"/>
          </w:tcPr>
          <w:p w14:paraId="13A533A9" w14:textId="77777777" w:rsidR="0027047F" w:rsidRPr="00643E95" w:rsidRDefault="0027047F" w:rsidP="00553C6C">
            <w:pPr>
              <w:rPr>
                <w:rFonts w:cstheme="minorHAnsi"/>
                <w:sz w:val="20"/>
                <w:szCs w:val="20"/>
              </w:rPr>
            </w:pPr>
            <w:r w:rsidRPr="00643E95">
              <w:rPr>
                <w:rFonts w:cstheme="minorHAnsi"/>
                <w:sz w:val="20"/>
                <w:szCs w:val="20"/>
              </w:rPr>
              <w:t>URL</w:t>
            </w:r>
          </w:p>
        </w:tc>
        <w:tc>
          <w:tcPr>
            <w:tcW w:w="12748" w:type="dxa"/>
            <w:vAlign w:val="center"/>
          </w:tcPr>
          <w:p w14:paraId="43BBA34D" w14:textId="77777777" w:rsidR="0027047F" w:rsidRPr="00643E95" w:rsidRDefault="0027047F" w:rsidP="00553C6C">
            <w:pPr>
              <w:rPr>
                <w:rFonts w:cstheme="minorHAnsi"/>
                <w:sz w:val="20"/>
                <w:szCs w:val="20"/>
              </w:rPr>
            </w:pPr>
            <w:r w:rsidRPr="00643E95">
              <w:rPr>
                <w:rFonts w:cstheme="minorHAnsi"/>
                <w:sz w:val="20"/>
                <w:szCs w:val="20"/>
              </w:rPr>
              <w:t>Uniform Resource Locator</w:t>
            </w:r>
          </w:p>
        </w:tc>
      </w:tr>
      <w:tr w:rsidR="00D53219" w:rsidRPr="00643E95" w14:paraId="5D98764A" w14:textId="77777777" w:rsidTr="00FC0BC5">
        <w:trPr>
          <w:trHeight w:val="284"/>
        </w:trPr>
        <w:tc>
          <w:tcPr>
            <w:tcW w:w="728" w:type="dxa"/>
            <w:vAlign w:val="center"/>
          </w:tcPr>
          <w:p w14:paraId="62DFE0B1" w14:textId="77777777" w:rsidR="00D53219" w:rsidRPr="00643E95" w:rsidRDefault="00D53219" w:rsidP="00553C6C">
            <w:pPr>
              <w:rPr>
                <w:rFonts w:cstheme="minorHAnsi"/>
                <w:sz w:val="20"/>
                <w:szCs w:val="20"/>
              </w:rPr>
            </w:pPr>
            <w:r w:rsidRPr="00643E95">
              <w:rPr>
                <w:rFonts w:cstheme="minorHAnsi"/>
                <w:sz w:val="20"/>
                <w:szCs w:val="20"/>
              </w:rPr>
              <w:t>U.S.</w:t>
            </w:r>
          </w:p>
        </w:tc>
        <w:tc>
          <w:tcPr>
            <w:tcW w:w="12748" w:type="dxa"/>
            <w:vAlign w:val="center"/>
          </w:tcPr>
          <w:p w14:paraId="41BBD2F2" w14:textId="77777777" w:rsidR="00D53219" w:rsidRPr="00643E95" w:rsidRDefault="00D53219" w:rsidP="00553C6C">
            <w:pPr>
              <w:rPr>
                <w:rFonts w:cstheme="minorHAnsi"/>
                <w:sz w:val="20"/>
                <w:szCs w:val="20"/>
              </w:rPr>
            </w:pPr>
            <w:r w:rsidRPr="00643E95">
              <w:rPr>
                <w:rFonts w:cstheme="minorHAnsi"/>
                <w:sz w:val="20"/>
                <w:szCs w:val="20"/>
              </w:rPr>
              <w:t>United States (of America)</w:t>
            </w:r>
          </w:p>
        </w:tc>
      </w:tr>
      <w:tr w:rsidR="0027047F" w:rsidRPr="00643E95" w14:paraId="4B1DD1B5" w14:textId="77777777" w:rsidTr="00FC0BC5">
        <w:trPr>
          <w:trHeight w:val="284"/>
        </w:trPr>
        <w:tc>
          <w:tcPr>
            <w:tcW w:w="728" w:type="dxa"/>
            <w:vAlign w:val="center"/>
          </w:tcPr>
          <w:p w14:paraId="3CFECFB2" w14:textId="77777777" w:rsidR="0027047F" w:rsidRPr="00643E95" w:rsidRDefault="0027047F" w:rsidP="00553C6C">
            <w:pPr>
              <w:rPr>
                <w:rFonts w:cstheme="minorHAnsi"/>
                <w:sz w:val="20"/>
                <w:szCs w:val="20"/>
              </w:rPr>
            </w:pPr>
            <w:r w:rsidRPr="00643E95">
              <w:rPr>
                <w:rFonts w:cstheme="minorHAnsi"/>
                <w:sz w:val="20"/>
                <w:szCs w:val="20"/>
              </w:rPr>
              <w:t>USD</w:t>
            </w:r>
          </w:p>
        </w:tc>
        <w:tc>
          <w:tcPr>
            <w:tcW w:w="12748" w:type="dxa"/>
            <w:vAlign w:val="center"/>
          </w:tcPr>
          <w:p w14:paraId="1672BF33" w14:textId="77777777" w:rsidR="0027047F" w:rsidRPr="00643E95" w:rsidRDefault="0027047F" w:rsidP="00553C6C">
            <w:pPr>
              <w:rPr>
                <w:rFonts w:cstheme="minorHAnsi"/>
                <w:sz w:val="20"/>
                <w:szCs w:val="20"/>
              </w:rPr>
            </w:pPr>
            <w:r w:rsidRPr="00643E95">
              <w:rPr>
                <w:rFonts w:cstheme="minorHAnsi"/>
                <w:sz w:val="20"/>
                <w:szCs w:val="20"/>
              </w:rPr>
              <w:t>United States Dollar</w:t>
            </w:r>
          </w:p>
        </w:tc>
      </w:tr>
      <w:tr w:rsidR="0027047F" w:rsidRPr="00643E95" w14:paraId="1D00980F" w14:textId="77777777" w:rsidTr="00FC0BC5">
        <w:trPr>
          <w:trHeight w:val="284"/>
        </w:trPr>
        <w:tc>
          <w:tcPr>
            <w:tcW w:w="728" w:type="dxa"/>
            <w:vAlign w:val="center"/>
          </w:tcPr>
          <w:p w14:paraId="5202DFD9" w14:textId="77777777" w:rsidR="0027047F" w:rsidRPr="00643E95" w:rsidRDefault="0027047F" w:rsidP="00553C6C">
            <w:pPr>
              <w:rPr>
                <w:rFonts w:cstheme="minorHAnsi"/>
                <w:sz w:val="20"/>
                <w:szCs w:val="20"/>
              </w:rPr>
            </w:pPr>
            <w:r w:rsidRPr="00643E95">
              <w:rPr>
                <w:rFonts w:cstheme="minorHAnsi"/>
                <w:sz w:val="20"/>
                <w:szCs w:val="20"/>
              </w:rPr>
              <w:t>XML</w:t>
            </w:r>
          </w:p>
        </w:tc>
        <w:tc>
          <w:tcPr>
            <w:tcW w:w="12748" w:type="dxa"/>
            <w:vAlign w:val="center"/>
          </w:tcPr>
          <w:p w14:paraId="53527287" w14:textId="77777777" w:rsidR="0027047F" w:rsidRPr="00643E95" w:rsidRDefault="0027047F" w:rsidP="00553C6C">
            <w:pPr>
              <w:rPr>
                <w:rFonts w:cstheme="minorHAnsi"/>
                <w:sz w:val="20"/>
                <w:szCs w:val="20"/>
              </w:rPr>
            </w:pPr>
            <w:r w:rsidRPr="00643E95">
              <w:rPr>
                <w:rFonts w:cs="Arial"/>
                <w:sz w:val="20"/>
                <w:szCs w:val="20"/>
                <w:shd w:val="clear" w:color="auto" w:fill="FFFFFF"/>
              </w:rPr>
              <w:t>Extensible Markup Language</w:t>
            </w:r>
          </w:p>
        </w:tc>
      </w:tr>
    </w:tbl>
    <w:p w14:paraId="3AD64A52" w14:textId="77777777" w:rsidR="0027047F" w:rsidRDefault="0027047F" w:rsidP="0027047F">
      <w:pPr>
        <w:sectPr w:rsidR="0027047F" w:rsidSect="002B2AC5">
          <w:footerReference w:type="default" r:id="rId9"/>
          <w:pgSz w:w="16838" w:h="11906" w:orient="landscape" w:code="9"/>
          <w:pgMar w:top="1021" w:right="1021" w:bottom="1021" w:left="1021" w:header="567" w:footer="567" w:gutter="0"/>
          <w:pgNumType w:fmt="lowerRoman"/>
          <w:cols w:space="708"/>
          <w:docGrid w:linePitch="360"/>
        </w:sectPr>
      </w:pPr>
    </w:p>
    <w:p w14:paraId="49EE0195" w14:textId="77777777" w:rsidR="00251C40" w:rsidRPr="000445AB" w:rsidRDefault="00251C40" w:rsidP="00935A49">
      <w:pPr>
        <w:pStyle w:val="Heading1"/>
        <w:pBdr>
          <w:bottom w:val="single" w:sz="4" w:space="1" w:color="auto"/>
        </w:pBdr>
        <w:spacing w:before="0" w:after="200" w:line="240" w:lineRule="auto"/>
        <w:rPr>
          <w:sz w:val="36"/>
        </w:rPr>
      </w:pPr>
      <w:bookmarkStart w:id="10" w:name="_Toc416100909"/>
      <w:r w:rsidRPr="000445AB">
        <w:rPr>
          <w:sz w:val="36"/>
        </w:rPr>
        <w:lastRenderedPageBreak/>
        <w:t>Introduction</w:t>
      </w:r>
      <w:bookmarkEnd w:id="10"/>
    </w:p>
    <w:p w14:paraId="4ABF8A25" w14:textId="41B8358F" w:rsidR="00EE0E03" w:rsidRDefault="00EE0E03" w:rsidP="00935A49">
      <w:pPr>
        <w:spacing w:after="0" w:line="240" w:lineRule="auto"/>
      </w:pPr>
      <w:r w:rsidRPr="00423FCC">
        <w:t xml:space="preserve">This technical paper sets out the approach </w:t>
      </w:r>
      <w:r w:rsidR="00744257">
        <w:t>used to compile</w:t>
      </w:r>
      <w:r w:rsidRPr="00423FCC">
        <w:t xml:space="preserve"> the </w:t>
      </w:r>
      <w:r w:rsidR="004D26DF">
        <w:t>2016</w:t>
      </w:r>
      <w:r w:rsidR="00171C1B">
        <w:t xml:space="preserve"> </w:t>
      </w:r>
      <w:r w:rsidR="000772F0">
        <w:t>Aid Transparency Index</w:t>
      </w:r>
      <w:r w:rsidRPr="00423FCC">
        <w:t>, including the methodology, donor selection criteria,</w:t>
      </w:r>
      <w:r w:rsidR="003E61FC" w:rsidRPr="00423FCC">
        <w:t xml:space="preserve"> indicator scoring and weighting,</w:t>
      </w:r>
      <w:r w:rsidRPr="00423FCC">
        <w:t xml:space="preserve"> </w:t>
      </w:r>
      <w:r w:rsidR="00FF07EE">
        <w:t xml:space="preserve">the </w:t>
      </w:r>
      <w:r w:rsidRPr="00423FCC">
        <w:t xml:space="preserve">data collection process, interpreting and comparing results and limitations. </w:t>
      </w:r>
    </w:p>
    <w:p w14:paraId="31237F30" w14:textId="77777777" w:rsidR="006523EE" w:rsidRDefault="006523EE" w:rsidP="00394D03">
      <w:pPr>
        <w:pStyle w:val="Heading4"/>
        <w:spacing w:before="0" w:line="240" w:lineRule="auto"/>
        <w:rPr>
          <w:rFonts w:asciiTheme="minorHAnsi" w:eastAsiaTheme="minorEastAsia" w:hAnsiTheme="minorHAnsi" w:cstheme="minorBidi"/>
          <w:b w:val="0"/>
          <w:bCs w:val="0"/>
          <w:i w:val="0"/>
          <w:iCs w:val="0"/>
          <w:color w:val="auto"/>
        </w:rPr>
      </w:pPr>
    </w:p>
    <w:p w14:paraId="39D334CC" w14:textId="77777777" w:rsidR="000C5CB2" w:rsidRPr="00962BE2" w:rsidRDefault="000C5CB2" w:rsidP="000C5CB2">
      <w:pPr>
        <w:pStyle w:val="Heading4"/>
        <w:spacing w:before="0" w:line="240" w:lineRule="auto"/>
        <w:rPr>
          <w:rFonts w:ascii="Cambria" w:eastAsia="Calibri" w:hAnsi="Cambria" w:cs="Times New Roman"/>
          <w:i w:val="0"/>
          <w:iCs w:val="0"/>
          <w:color w:val="4F81BD"/>
          <w:sz w:val="28"/>
          <w:szCs w:val="26"/>
        </w:rPr>
      </w:pPr>
      <w:r w:rsidRPr="00962BE2">
        <w:rPr>
          <w:rFonts w:ascii="Cambria" w:eastAsia="Calibri" w:hAnsi="Cambria" w:cs="Times New Roman"/>
          <w:i w:val="0"/>
          <w:iCs w:val="0"/>
          <w:color w:val="4F81BD"/>
          <w:sz w:val="28"/>
          <w:szCs w:val="26"/>
        </w:rPr>
        <w:t>Rationale</w:t>
      </w:r>
    </w:p>
    <w:p w14:paraId="769D4036" w14:textId="77777777" w:rsidR="000C5CB2" w:rsidRPr="00962BE2" w:rsidRDefault="000C5CB2" w:rsidP="000C5CB2">
      <w:pPr>
        <w:pStyle w:val="Heading4"/>
        <w:spacing w:before="0" w:line="240" w:lineRule="auto"/>
      </w:pPr>
    </w:p>
    <w:p w14:paraId="09B54A1C" w14:textId="15908ECE" w:rsidR="000C5CB2" w:rsidRPr="00962BE2" w:rsidRDefault="000C5CB2" w:rsidP="000C5CB2">
      <w:pPr>
        <w:spacing w:after="0" w:line="240" w:lineRule="auto"/>
      </w:pPr>
      <w:r w:rsidRPr="00962BE2">
        <w:t xml:space="preserve">In light of the December 2015 deadline for implementing the </w:t>
      </w:r>
      <w:r w:rsidR="001161D0" w:rsidRPr="00962BE2">
        <w:t>International Aid Transparency Initiative (</w:t>
      </w:r>
      <w:r w:rsidRPr="00962BE2">
        <w:t>IATI</w:t>
      </w:r>
      <w:r w:rsidR="001161D0" w:rsidRPr="00962BE2">
        <w:t>)</w:t>
      </w:r>
      <w:r w:rsidRPr="00962BE2">
        <w:t xml:space="preserve"> Standard, the release of the next Aid Transparency Index has been moved to early 2016. This is to allow for a stock take of progress on implementing the Busan commitment on aid transparency</w:t>
      </w:r>
      <w:r w:rsidR="00CB18A5" w:rsidRPr="00962BE2">
        <w:t xml:space="preserve"> </w:t>
      </w:r>
      <w:r w:rsidR="000772F0">
        <w:t>up to</w:t>
      </w:r>
      <w:r w:rsidR="000772F0" w:rsidRPr="00962BE2">
        <w:t xml:space="preserve"> </w:t>
      </w:r>
      <w:r w:rsidR="00CB18A5" w:rsidRPr="00962BE2">
        <w:t>the deadline</w:t>
      </w:r>
      <w:r w:rsidRPr="00962BE2">
        <w:t xml:space="preserve">. </w:t>
      </w:r>
    </w:p>
    <w:p w14:paraId="0AE8DCA2" w14:textId="77777777" w:rsidR="006523EE" w:rsidRPr="00962BE2" w:rsidRDefault="006523EE" w:rsidP="00394D03">
      <w:pPr>
        <w:pStyle w:val="Heading4"/>
        <w:spacing w:before="0" w:line="240" w:lineRule="auto"/>
        <w:rPr>
          <w:rFonts w:asciiTheme="minorHAnsi" w:eastAsiaTheme="minorEastAsia" w:hAnsiTheme="minorHAnsi" w:cstheme="minorBidi"/>
          <w:bCs w:val="0"/>
          <w:i w:val="0"/>
          <w:iCs w:val="0"/>
          <w:color w:val="auto"/>
        </w:rPr>
      </w:pPr>
    </w:p>
    <w:p w14:paraId="2264D8C4" w14:textId="0E00AB82" w:rsidR="000C5CB2" w:rsidRPr="00962BE2" w:rsidRDefault="00962BE2" w:rsidP="000C5CB2">
      <w:pPr>
        <w:spacing w:after="0" w:line="240" w:lineRule="auto"/>
      </w:pPr>
      <w:r w:rsidRPr="00962BE2">
        <w:t xml:space="preserve">The purpose to </w:t>
      </w:r>
      <w:r w:rsidR="000772F0">
        <w:t>this Aid Transparency Index</w:t>
      </w:r>
      <w:r w:rsidR="000C5CB2" w:rsidRPr="00962BE2">
        <w:t xml:space="preserve"> is to:</w:t>
      </w:r>
    </w:p>
    <w:p w14:paraId="11DCAD99" w14:textId="138019EC" w:rsidR="000C5CB2" w:rsidRPr="00962BE2" w:rsidRDefault="00DD741D" w:rsidP="000C5CB2">
      <w:pPr>
        <w:pStyle w:val="ListBullet"/>
        <w:spacing w:after="0" w:line="240" w:lineRule="auto"/>
      </w:pPr>
      <w:r>
        <w:t>Assess how far donors have gone</w:t>
      </w:r>
      <w:r w:rsidR="000C5CB2" w:rsidRPr="00962BE2">
        <w:t xml:space="preserve"> with meeting the December 2015 deadline</w:t>
      </w:r>
      <w:r w:rsidR="009055CC">
        <w:t>.</w:t>
      </w:r>
      <w:r w:rsidR="000C5CB2" w:rsidRPr="00962BE2">
        <w:t xml:space="preserve"> </w:t>
      </w:r>
    </w:p>
    <w:p w14:paraId="59FC8A9E" w14:textId="77777777" w:rsidR="000C5CB2" w:rsidRPr="00962BE2" w:rsidRDefault="000C5CB2" w:rsidP="000C5CB2">
      <w:pPr>
        <w:pStyle w:val="ListBullet"/>
        <w:tabs>
          <w:tab w:val="clear" w:pos="360"/>
          <w:tab w:val="num" w:pos="1080"/>
        </w:tabs>
        <w:spacing w:after="0" w:line="240" w:lineRule="auto"/>
      </w:pPr>
      <w:r w:rsidRPr="00962BE2">
        <w:t xml:space="preserve">Facilitate peer learning. </w:t>
      </w:r>
    </w:p>
    <w:p w14:paraId="485EA68A" w14:textId="77777777" w:rsidR="000C5CB2" w:rsidRPr="00962BE2" w:rsidRDefault="000C5CB2" w:rsidP="000C5CB2">
      <w:pPr>
        <w:pStyle w:val="ListBullet"/>
        <w:tabs>
          <w:tab w:val="clear" w:pos="360"/>
          <w:tab w:val="num" w:pos="1080"/>
        </w:tabs>
        <w:spacing w:after="0" w:line="240" w:lineRule="auto"/>
      </w:pPr>
      <w:r w:rsidRPr="00962BE2">
        <w:t>Raise awareness of transparency and open data standards in this</w:t>
      </w:r>
      <w:r w:rsidR="00C946F3" w:rsidRPr="00962BE2">
        <w:t xml:space="preserve"> critical year for development and to </w:t>
      </w:r>
      <w:r w:rsidRPr="00962BE2">
        <w:t>ensure that all development finance is transparent, building on existing open data standards like the International Aid Transparency Initiative.</w:t>
      </w:r>
    </w:p>
    <w:p w14:paraId="7227DF7C" w14:textId="77777777" w:rsidR="006523EE" w:rsidRDefault="006523EE" w:rsidP="00394D03">
      <w:pPr>
        <w:pStyle w:val="Heading4"/>
        <w:spacing w:before="0" w:line="240" w:lineRule="auto"/>
        <w:rPr>
          <w:rFonts w:asciiTheme="minorHAnsi" w:eastAsiaTheme="minorEastAsia" w:hAnsiTheme="minorHAnsi" w:cstheme="minorBidi"/>
          <w:b w:val="0"/>
          <w:bCs w:val="0"/>
          <w:i w:val="0"/>
          <w:iCs w:val="0"/>
          <w:color w:val="auto"/>
        </w:rPr>
      </w:pPr>
    </w:p>
    <w:p w14:paraId="7EB592B3" w14:textId="77777777" w:rsidR="00C341B3" w:rsidRPr="00394D03" w:rsidRDefault="00744257" w:rsidP="00394D03">
      <w:pPr>
        <w:pStyle w:val="Heading4"/>
        <w:spacing w:before="0" w:line="240" w:lineRule="auto"/>
        <w:rPr>
          <w:rFonts w:ascii="Cambria" w:eastAsia="Calibri" w:hAnsi="Cambria" w:cs="Times New Roman"/>
          <w:i w:val="0"/>
          <w:iCs w:val="0"/>
          <w:color w:val="4F81BD"/>
          <w:sz w:val="28"/>
          <w:szCs w:val="26"/>
        </w:rPr>
      </w:pPr>
      <w:r w:rsidRPr="00394D03">
        <w:rPr>
          <w:rFonts w:ascii="Cambria" w:eastAsia="Calibri" w:hAnsi="Cambria" w:cs="Times New Roman"/>
          <w:i w:val="0"/>
          <w:iCs w:val="0"/>
          <w:color w:val="4F81BD"/>
          <w:sz w:val="28"/>
          <w:szCs w:val="26"/>
        </w:rPr>
        <w:t xml:space="preserve">Maintaining the </w:t>
      </w:r>
      <w:r w:rsidR="00C341B3" w:rsidRPr="00394D03">
        <w:rPr>
          <w:rFonts w:ascii="Cambria" w:eastAsia="Calibri" w:hAnsi="Cambria" w:cs="Times New Roman"/>
          <w:i w:val="0"/>
          <w:iCs w:val="0"/>
          <w:color w:val="4F81BD"/>
          <w:sz w:val="28"/>
          <w:szCs w:val="26"/>
        </w:rPr>
        <w:t xml:space="preserve">methodology </w:t>
      </w:r>
      <w:r w:rsidR="00171C1B">
        <w:rPr>
          <w:rFonts w:ascii="Cambria" w:eastAsia="Calibri" w:hAnsi="Cambria" w:cs="Times New Roman"/>
          <w:i w:val="0"/>
          <w:iCs w:val="0"/>
          <w:color w:val="4F81BD"/>
          <w:sz w:val="28"/>
          <w:szCs w:val="26"/>
        </w:rPr>
        <w:t>from the 2014 Index</w:t>
      </w:r>
      <w:r w:rsidR="00C341B3" w:rsidRPr="00394D03">
        <w:rPr>
          <w:rFonts w:ascii="Cambria" w:eastAsia="Calibri" w:hAnsi="Cambria" w:cs="Times New Roman"/>
          <w:i w:val="0"/>
          <w:iCs w:val="0"/>
          <w:color w:val="4F81BD"/>
          <w:sz w:val="28"/>
          <w:szCs w:val="26"/>
        </w:rPr>
        <w:t xml:space="preserve"> </w:t>
      </w:r>
    </w:p>
    <w:p w14:paraId="16C9EA92" w14:textId="77777777" w:rsidR="00394D03" w:rsidRDefault="00394D03" w:rsidP="00935A49">
      <w:pPr>
        <w:spacing w:after="0" w:line="240" w:lineRule="auto"/>
      </w:pPr>
    </w:p>
    <w:p w14:paraId="5B389B29" w14:textId="33444407" w:rsidR="00C341B3" w:rsidRDefault="00171C1B" w:rsidP="00935A49">
      <w:pPr>
        <w:spacing w:after="0" w:line="240" w:lineRule="auto"/>
      </w:pPr>
      <w:r w:rsidRPr="00962BE2">
        <w:t>The methodology used in 2014 Index has be</w:t>
      </w:r>
      <w:r w:rsidR="00962BE2" w:rsidRPr="00962BE2">
        <w:t xml:space="preserve">en maintained for the </w:t>
      </w:r>
      <w:r w:rsidR="004D26DF">
        <w:t>2016</w:t>
      </w:r>
      <w:r w:rsidR="00DD741D">
        <w:t xml:space="preserve"> Index</w:t>
      </w:r>
      <w:r w:rsidR="00744257" w:rsidRPr="00962BE2">
        <w:t xml:space="preserve">, meaning that </w:t>
      </w:r>
      <w:r w:rsidRPr="00962BE2">
        <w:t>it</w:t>
      </w:r>
      <w:r w:rsidR="00744257" w:rsidRPr="00962BE2">
        <w:t xml:space="preserve"> </w:t>
      </w:r>
      <w:r w:rsidR="00075085" w:rsidRPr="00962BE2">
        <w:t>continues</w:t>
      </w:r>
      <w:r w:rsidR="00744257" w:rsidRPr="00962BE2">
        <w:t xml:space="preserve"> to </w:t>
      </w:r>
      <w:r w:rsidR="006E320C" w:rsidRPr="00962BE2">
        <w:t xml:space="preserve">use 39 indicators to </w:t>
      </w:r>
      <w:r w:rsidR="00744257" w:rsidRPr="00962BE2">
        <w:t>monitor both the</w:t>
      </w:r>
      <w:r w:rsidR="00C341B3" w:rsidRPr="00962BE2">
        <w:t xml:space="preserve"> availability of aid information</w:t>
      </w:r>
      <w:r w:rsidR="00744257" w:rsidRPr="00962BE2">
        <w:t xml:space="preserve"> and </w:t>
      </w:r>
      <w:r w:rsidR="00C341B3" w:rsidRPr="00962BE2">
        <w:t xml:space="preserve">the format </w:t>
      </w:r>
      <w:r w:rsidR="00744257" w:rsidRPr="00962BE2">
        <w:t>it is published in</w:t>
      </w:r>
      <w:r w:rsidR="00C341B3" w:rsidRPr="00962BE2">
        <w:t>.</w:t>
      </w:r>
      <w:r w:rsidR="00C341B3" w:rsidRPr="00423FCC">
        <w:t xml:space="preserve"> </w:t>
      </w:r>
    </w:p>
    <w:p w14:paraId="35D8AB2A" w14:textId="77777777" w:rsidR="00D233EF" w:rsidRPr="00423FCC" w:rsidRDefault="00D233EF" w:rsidP="00935A49">
      <w:pPr>
        <w:spacing w:after="0" w:line="240" w:lineRule="auto"/>
      </w:pPr>
    </w:p>
    <w:p w14:paraId="51EBD3BC" w14:textId="5DED2FE6" w:rsidR="006B4B38" w:rsidRDefault="00962BE2" w:rsidP="00935A49">
      <w:pPr>
        <w:spacing w:after="0" w:line="240" w:lineRule="auto"/>
      </w:pPr>
      <w:r>
        <w:t xml:space="preserve">The </w:t>
      </w:r>
      <w:r w:rsidR="00D233EF">
        <w:t>Index</w:t>
      </w:r>
      <w:r w:rsidR="00171C1B">
        <w:t xml:space="preserve"> is</w:t>
      </w:r>
      <w:r w:rsidR="0027047F">
        <w:t xml:space="preserve"> </w:t>
      </w:r>
      <w:r w:rsidR="006E320C">
        <w:t>compiled using a combination of automatically and manually collected data</w:t>
      </w:r>
      <w:r w:rsidR="006B4B38">
        <w:t>:</w:t>
      </w:r>
    </w:p>
    <w:p w14:paraId="5F26B8C0" w14:textId="77777777" w:rsidR="006B4B38" w:rsidRDefault="006B4B38" w:rsidP="006B4B38">
      <w:pPr>
        <w:pStyle w:val="ListParagraph"/>
        <w:numPr>
          <w:ilvl w:val="0"/>
          <w:numId w:val="23"/>
        </w:numPr>
        <w:spacing w:after="0" w:line="240" w:lineRule="auto"/>
      </w:pPr>
      <w:r>
        <w:t>V</w:t>
      </w:r>
      <w:r w:rsidR="00287CDE">
        <w:t>ia a survey</w:t>
      </w:r>
    </w:p>
    <w:p w14:paraId="6B8A7557" w14:textId="77777777" w:rsidR="006B4B38" w:rsidRDefault="006B4B38" w:rsidP="006B4B38">
      <w:pPr>
        <w:pStyle w:val="ListParagraph"/>
        <w:numPr>
          <w:ilvl w:val="0"/>
          <w:numId w:val="23"/>
        </w:numPr>
        <w:spacing w:after="0" w:line="240" w:lineRule="auto"/>
      </w:pPr>
      <w:r>
        <w:t>A</w:t>
      </w:r>
      <w:r w:rsidR="00962BE2">
        <w:t xml:space="preserve"> review of donor</w:t>
      </w:r>
      <w:r w:rsidR="00287CDE">
        <w:t>s</w:t>
      </w:r>
      <w:r w:rsidR="00962BE2">
        <w:t>’</w:t>
      </w:r>
      <w:r w:rsidR="00287CDE">
        <w:t xml:space="preserve"> implementation schedules</w:t>
      </w:r>
    </w:p>
    <w:p w14:paraId="39C47168" w14:textId="77777777" w:rsidR="006B4B38" w:rsidRDefault="006B4B38" w:rsidP="006B4B38">
      <w:pPr>
        <w:pStyle w:val="ListParagraph"/>
        <w:numPr>
          <w:ilvl w:val="0"/>
          <w:numId w:val="23"/>
        </w:numPr>
        <w:spacing w:after="0" w:line="240" w:lineRule="auto"/>
      </w:pPr>
      <w:r>
        <w:t>A</w:t>
      </w:r>
      <w:r w:rsidR="00287CDE">
        <w:t>n automa</w:t>
      </w:r>
      <w:r>
        <w:t xml:space="preserve">ted assessment of </w:t>
      </w:r>
      <w:r w:rsidR="00075085">
        <w:t>data published to the IATI Registry</w:t>
      </w:r>
    </w:p>
    <w:p w14:paraId="403F84B6" w14:textId="77777777" w:rsidR="006B4B38" w:rsidRDefault="006B4B38" w:rsidP="00935A49">
      <w:pPr>
        <w:spacing w:after="0" w:line="240" w:lineRule="auto"/>
      </w:pPr>
    </w:p>
    <w:p w14:paraId="5FD32377" w14:textId="44D9E3A3" w:rsidR="00AC401E" w:rsidRDefault="00AC401E" w:rsidP="00111CE8">
      <w:pPr>
        <w:spacing w:after="0" w:line="240" w:lineRule="auto"/>
      </w:pPr>
      <w:r>
        <w:t>A</w:t>
      </w:r>
      <w:r w:rsidR="00E51E41">
        <w:t xml:space="preserve"> </w:t>
      </w:r>
      <w:r w:rsidR="00E51E41" w:rsidRPr="00423FCC">
        <w:t xml:space="preserve">data collection </w:t>
      </w:r>
      <w:r w:rsidR="00E51E41">
        <w:t>platform</w:t>
      </w:r>
      <w:r w:rsidR="00E51E41" w:rsidRPr="00423FCC">
        <w:t xml:space="preserve">, the </w:t>
      </w:r>
      <w:hyperlink r:id="rId10" w:history="1">
        <w:r w:rsidR="00E51E41" w:rsidRPr="00423FCC">
          <w:rPr>
            <w:rStyle w:val="Hyperlink"/>
            <w:rFonts w:cstheme="minorBidi"/>
          </w:rPr>
          <w:t>Aid Transparency Tracker</w:t>
        </w:r>
      </w:hyperlink>
      <w:r w:rsidR="00E51E41" w:rsidRPr="00423FCC">
        <w:t xml:space="preserve">, </w:t>
      </w:r>
      <w:r>
        <w:t xml:space="preserve">is used </w:t>
      </w:r>
      <w:r w:rsidR="00E51E41" w:rsidRPr="00423FCC">
        <w:t xml:space="preserve">to collect and share the data included in the </w:t>
      </w:r>
      <w:r w:rsidR="00DD741D">
        <w:t>Aid Transparency Index</w:t>
      </w:r>
      <w:r w:rsidR="00E51E41" w:rsidRPr="00423FCC">
        <w:t xml:space="preserve">. </w:t>
      </w:r>
      <w:r w:rsidR="00287CDE" w:rsidRPr="00D37D0B">
        <w:t>Section 4</w:t>
      </w:r>
      <w:r w:rsidR="00287CDE">
        <w:t xml:space="preserve"> </w:t>
      </w:r>
      <w:r>
        <w:t>provides more detail on the Tracker and</w:t>
      </w:r>
      <w:r w:rsidR="00287CDE">
        <w:t xml:space="preserve"> </w:t>
      </w:r>
      <w:r w:rsidR="000D5DBB">
        <w:t>t</w:t>
      </w:r>
      <w:r w:rsidR="00287CDE">
        <w:t>he data collection process.</w:t>
      </w:r>
      <w:r w:rsidR="006B4B38">
        <w:t xml:space="preserve"> As in previous years, </w:t>
      </w:r>
      <w:r w:rsidR="006B4B38" w:rsidRPr="0027047F">
        <w:rPr>
          <w:b/>
        </w:rPr>
        <w:t xml:space="preserve">timeliness is a core criterion – the </w:t>
      </w:r>
      <w:r w:rsidR="009055CC">
        <w:rPr>
          <w:b/>
        </w:rPr>
        <w:t>Index</w:t>
      </w:r>
      <w:r w:rsidR="006B4B38" w:rsidRPr="0027047F">
        <w:rPr>
          <w:b/>
        </w:rPr>
        <w:t xml:space="preserve"> only scores data published in the previous 12 months</w:t>
      </w:r>
      <w:r w:rsidR="0027047F">
        <w:rPr>
          <w:b/>
        </w:rPr>
        <w:t xml:space="preserve"> and that relates to that period</w:t>
      </w:r>
      <w:r w:rsidR="00C06E6E">
        <w:rPr>
          <w:b/>
        </w:rPr>
        <w:t xml:space="preserve"> or after</w:t>
      </w:r>
      <w:r w:rsidR="006B4B38">
        <w:t>.</w:t>
      </w:r>
      <w:r w:rsidR="003D0372">
        <w:t xml:space="preserve"> </w:t>
      </w:r>
      <w:r w:rsidR="00111CE8">
        <w:t>T</w:t>
      </w:r>
      <w:r w:rsidR="00111CE8" w:rsidRPr="002D687A">
        <w:t>he incentives in the</w:t>
      </w:r>
      <w:r w:rsidR="00DD741D">
        <w:t xml:space="preserve"> Index</w:t>
      </w:r>
      <w:r w:rsidR="00171C1B">
        <w:t xml:space="preserve"> </w:t>
      </w:r>
      <w:r w:rsidR="00111CE8" w:rsidRPr="002D687A">
        <w:t>are clearly structured: more points are awarded for publis</w:t>
      </w:r>
      <w:r w:rsidR="00111CE8">
        <w:t xml:space="preserve">hing in more useful formats. As a result, there are clear ways for organisations included in </w:t>
      </w:r>
      <w:r w:rsidR="00962BE2">
        <w:t xml:space="preserve">the </w:t>
      </w:r>
      <w:r w:rsidR="00D233EF">
        <w:t>Index</w:t>
      </w:r>
      <w:r w:rsidR="00111CE8" w:rsidRPr="00FB3647">
        <w:t xml:space="preserve"> to improve their aid transparency</w:t>
      </w:r>
      <w:r w:rsidR="00111CE8">
        <w:t xml:space="preserve"> and boost their scores. Put simply, organisations that are not publishing </w:t>
      </w:r>
      <w:r w:rsidR="006B4B38">
        <w:t xml:space="preserve">current information </w:t>
      </w:r>
      <w:r w:rsidR="00111CE8">
        <w:t xml:space="preserve">in open, comparable and machine-readable formats do not </w:t>
      </w:r>
      <w:r w:rsidR="006B4B38">
        <w:t>perform as</w:t>
      </w:r>
      <w:r w:rsidR="00111CE8">
        <w:t xml:space="preserve"> highly</w:t>
      </w:r>
      <w:r w:rsidR="006B4B38">
        <w:t xml:space="preserve"> as those that do</w:t>
      </w:r>
      <w:r w:rsidR="00111CE8">
        <w:t xml:space="preserve">. </w:t>
      </w:r>
    </w:p>
    <w:p w14:paraId="420474E8" w14:textId="77777777" w:rsidR="005C4B56" w:rsidRDefault="005C4B56" w:rsidP="00111CE8">
      <w:pPr>
        <w:spacing w:after="0" w:line="240" w:lineRule="auto"/>
        <w:sectPr w:rsidR="005C4B56" w:rsidSect="002B2AC5">
          <w:pgSz w:w="16838" w:h="11906" w:orient="landscape"/>
          <w:pgMar w:top="1021" w:right="1021" w:bottom="1021" w:left="1021" w:header="709" w:footer="459" w:gutter="0"/>
          <w:pgNumType w:start="1"/>
          <w:cols w:space="708"/>
          <w:docGrid w:linePitch="360"/>
        </w:sectPr>
      </w:pPr>
    </w:p>
    <w:p w14:paraId="4005B89B" w14:textId="77777777" w:rsidR="003F2F7D" w:rsidRPr="000445AB" w:rsidRDefault="00F95552" w:rsidP="00F95552">
      <w:pPr>
        <w:pStyle w:val="Heading1"/>
        <w:pBdr>
          <w:bottom w:val="single" w:sz="4" w:space="1" w:color="auto"/>
        </w:pBdr>
        <w:spacing w:before="0" w:line="240" w:lineRule="auto"/>
        <w:ind w:left="360" w:hanging="360"/>
        <w:rPr>
          <w:sz w:val="36"/>
        </w:rPr>
      </w:pPr>
      <w:bookmarkStart w:id="11" w:name="_Toc416100910"/>
      <w:r>
        <w:rPr>
          <w:sz w:val="36"/>
        </w:rPr>
        <w:lastRenderedPageBreak/>
        <w:t xml:space="preserve">Section 1. </w:t>
      </w:r>
      <w:r w:rsidR="00721FDE" w:rsidRPr="000445AB">
        <w:rPr>
          <w:sz w:val="36"/>
        </w:rPr>
        <w:t>Donor selection</w:t>
      </w:r>
      <w:bookmarkEnd w:id="11"/>
    </w:p>
    <w:p w14:paraId="3687E15C" w14:textId="77777777" w:rsidR="00913ED9" w:rsidRPr="00423FCC" w:rsidRDefault="00913ED9" w:rsidP="00935A49">
      <w:pPr>
        <w:spacing w:after="0" w:line="240" w:lineRule="auto"/>
      </w:pPr>
    </w:p>
    <w:p w14:paraId="15DD521A" w14:textId="77777777" w:rsidR="00721FDE" w:rsidRPr="007D68FE" w:rsidRDefault="00721FDE" w:rsidP="00935A49">
      <w:pPr>
        <w:pStyle w:val="Heading4"/>
        <w:spacing w:before="0" w:line="240" w:lineRule="auto"/>
        <w:rPr>
          <w:rFonts w:ascii="Cambria" w:eastAsia="Calibri" w:hAnsi="Cambria" w:cs="Times New Roman"/>
          <w:i w:val="0"/>
          <w:iCs w:val="0"/>
          <w:color w:val="4F81BD"/>
          <w:sz w:val="28"/>
          <w:szCs w:val="26"/>
        </w:rPr>
      </w:pPr>
      <w:r w:rsidRPr="007D68FE">
        <w:rPr>
          <w:rFonts w:ascii="Cambria" w:eastAsia="Calibri" w:hAnsi="Cambria" w:cs="Times New Roman"/>
          <w:i w:val="0"/>
          <w:iCs w:val="0"/>
          <w:color w:val="4F81BD"/>
          <w:sz w:val="28"/>
          <w:szCs w:val="26"/>
        </w:rPr>
        <w:t>Criteria for selection</w:t>
      </w:r>
    </w:p>
    <w:p w14:paraId="66A37474" w14:textId="77777777" w:rsidR="005C4B56" w:rsidRDefault="005C4B56" w:rsidP="0011454A">
      <w:pPr>
        <w:spacing w:after="0" w:line="240" w:lineRule="auto"/>
      </w:pPr>
    </w:p>
    <w:p w14:paraId="450DA44B" w14:textId="77777777" w:rsidR="00DD741D" w:rsidRDefault="00DD741D" w:rsidP="00DD741D">
      <w:pPr>
        <w:spacing w:after="0" w:line="240" w:lineRule="auto"/>
        <w:contextualSpacing/>
      </w:pPr>
      <w:r>
        <w:t>Organisations are selected using three criteria, of which they have to meet a minimum of two:</w:t>
      </w:r>
    </w:p>
    <w:p w14:paraId="3764AF6F" w14:textId="77777777" w:rsidR="00DD741D" w:rsidRPr="00423FCC" w:rsidRDefault="00DD741D" w:rsidP="00DD741D">
      <w:pPr>
        <w:pStyle w:val="ListParagraph"/>
        <w:numPr>
          <w:ilvl w:val="0"/>
          <w:numId w:val="1"/>
        </w:numPr>
        <w:spacing w:after="0" w:line="240" w:lineRule="auto"/>
        <w:ind w:left="714" w:hanging="357"/>
        <w:rPr>
          <w:rFonts w:cstheme="minorHAnsi"/>
          <w:color w:val="000000"/>
        </w:rPr>
      </w:pPr>
      <w:r w:rsidRPr="00423FCC">
        <w:rPr>
          <w:rFonts w:cstheme="minorHAnsi"/>
          <w:color w:val="000000"/>
        </w:rPr>
        <w:t xml:space="preserve">They are a large donor (annual spend is more than USD 1bn); </w:t>
      </w:r>
    </w:p>
    <w:p w14:paraId="2CAAF52A" w14:textId="77777777" w:rsidR="00DD741D" w:rsidRPr="00423FCC" w:rsidRDefault="00DD741D" w:rsidP="00DD741D">
      <w:pPr>
        <w:pStyle w:val="ListParagraph"/>
        <w:numPr>
          <w:ilvl w:val="0"/>
          <w:numId w:val="1"/>
        </w:numPr>
        <w:spacing w:after="0" w:line="240" w:lineRule="auto"/>
        <w:ind w:left="714" w:hanging="357"/>
        <w:rPr>
          <w:rFonts w:cstheme="minorHAnsi"/>
          <w:color w:val="000000"/>
        </w:rPr>
      </w:pPr>
      <w:r w:rsidRPr="00423FCC">
        <w:rPr>
          <w:rFonts w:cstheme="minorHAnsi"/>
          <w:color w:val="000000"/>
        </w:rPr>
        <w:t xml:space="preserve">They have a significant role and influence as a major aid agency and engagement with the Busan agenda; </w:t>
      </w:r>
    </w:p>
    <w:p w14:paraId="6D939132" w14:textId="0774A139" w:rsidR="00D0542A" w:rsidRDefault="00DD741D" w:rsidP="00D0542A">
      <w:pPr>
        <w:pStyle w:val="ListParagraph"/>
        <w:numPr>
          <w:ilvl w:val="0"/>
          <w:numId w:val="1"/>
        </w:numPr>
        <w:spacing w:after="0" w:line="240" w:lineRule="auto"/>
        <w:ind w:left="714" w:hanging="357"/>
        <w:rPr>
          <w:rFonts w:cstheme="minorHAnsi"/>
          <w:color w:val="000000"/>
        </w:rPr>
      </w:pPr>
      <w:r w:rsidRPr="00423FCC">
        <w:rPr>
          <w:rFonts w:cstheme="minorHAnsi"/>
          <w:color w:val="000000"/>
        </w:rPr>
        <w:t>They are an institution to which government or organisation-wide transparency commitments apply, for example members of the G</w:t>
      </w:r>
      <w:r>
        <w:rPr>
          <w:rFonts w:cstheme="minorHAnsi"/>
          <w:color w:val="000000"/>
        </w:rPr>
        <w:t>7</w:t>
      </w:r>
      <w:r w:rsidRPr="00423FCC">
        <w:rPr>
          <w:rFonts w:cstheme="minorHAnsi"/>
          <w:color w:val="000000"/>
        </w:rPr>
        <w:t xml:space="preserve"> or </w:t>
      </w:r>
      <w:r w:rsidR="002E7352">
        <w:rPr>
          <w:rFonts w:cstheme="minorHAnsi"/>
          <w:color w:val="000000"/>
        </w:rPr>
        <w:t>all U.S. agencies</w:t>
      </w:r>
      <w:r w:rsidRPr="00423FCC">
        <w:rPr>
          <w:rFonts w:cstheme="minorHAnsi"/>
          <w:color w:val="000000"/>
        </w:rPr>
        <w:t xml:space="preserve">. </w:t>
      </w:r>
    </w:p>
    <w:p w14:paraId="234AA801" w14:textId="77777777" w:rsidR="00D0542A" w:rsidRDefault="00D0542A" w:rsidP="00D0542A">
      <w:pPr>
        <w:pStyle w:val="ListParagraph"/>
        <w:spacing w:after="0" w:line="240" w:lineRule="auto"/>
        <w:ind w:left="714"/>
        <w:rPr>
          <w:rFonts w:cstheme="minorHAnsi"/>
          <w:color w:val="000000"/>
        </w:rPr>
      </w:pPr>
    </w:p>
    <w:p w14:paraId="79EEFE37" w14:textId="78A68F75" w:rsidR="00D0542A" w:rsidRPr="00D0542A" w:rsidRDefault="00D0542A" w:rsidP="00D0542A">
      <w:pPr>
        <w:spacing w:after="0" w:line="240" w:lineRule="auto"/>
        <w:contextualSpacing/>
      </w:pPr>
      <w:r w:rsidRPr="00D0542A">
        <w:t xml:space="preserve">The list of organisations included in the </w:t>
      </w:r>
      <w:r w:rsidR="004D26DF">
        <w:t>2016</w:t>
      </w:r>
      <w:r w:rsidRPr="00D0542A">
        <w:t xml:space="preserve"> Index has been revised. We have reviewed our criteria for donor selection and decided to concentrate on fewer, bigger donors, as well as those </w:t>
      </w:r>
      <w:r w:rsidR="009055CC">
        <w:t>that are</w:t>
      </w:r>
      <w:r w:rsidRPr="00D0542A">
        <w:t xml:space="preserve"> instrumental to advancing the course of aid transparency. For this reason, the </w:t>
      </w:r>
      <w:r w:rsidR="004D26DF">
        <w:t>2016</w:t>
      </w:r>
      <w:r w:rsidRPr="00D0542A">
        <w:t xml:space="preserve"> Index will include 46 donors, accounting for 98% of ODF between them. </w:t>
      </w:r>
    </w:p>
    <w:p w14:paraId="609B8D19" w14:textId="77777777" w:rsidR="00D0542A" w:rsidRPr="00D0542A" w:rsidRDefault="00D0542A" w:rsidP="00D0542A">
      <w:pPr>
        <w:spacing w:after="0" w:line="240" w:lineRule="auto"/>
        <w:contextualSpacing/>
      </w:pPr>
    </w:p>
    <w:p w14:paraId="5B39EECA" w14:textId="09964948" w:rsidR="00DD741D" w:rsidRDefault="00D0542A" w:rsidP="00D0542A">
      <w:pPr>
        <w:spacing w:after="0" w:line="240" w:lineRule="auto"/>
        <w:contextualSpacing/>
      </w:pPr>
      <w:r w:rsidRPr="00D0542A">
        <w:t xml:space="preserve">We </w:t>
      </w:r>
      <w:r w:rsidR="00973066">
        <w:t>are including</w:t>
      </w:r>
      <w:r w:rsidRPr="00D0542A">
        <w:t xml:space="preserve"> a new donor this year: the </w:t>
      </w:r>
      <w:hyperlink r:id="rId11" w:history="1">
        <w:r w:rsidRPr="00D0542A">
          <w:t>United Arab Emirates</w:t>
        </w:r>
      </w:hyperlink>
      <w:r w:rsidR="009055CC">
        <w:t xml:space="preserve"> (UAE)</w:t>
      </w:r>
      <w:r w:rsidRPr="00D0542A">
        <w:t xml:space="preserve">. The growing influential role the UAE has been playing in international development in recent years highlights the wider potential for the post-2015 </w:t>
      </w:r>
      <w:r w:rsidR="009055CC">
        <w:t>A</w:t>
      </w:r>
      <w:r w:rsidRPr="00D0542A">
        <w:t xml:space="preserve">genda and the importance of transparency in an ever evolving environment. </w:t>
      </w:r>
    </w:p>
    <w:p w14:paraId="23451F6C" w14:textId="77777777" w:rsidR="00D0542A" w:rsidRPr="00D0542A" w:rsidRDefault="00D0542A" w:rsidP="00D0542A">
      <w:pPr>
        <w:spacing w:after="0" w:line="240" w:lineRule="auto"/>
        <w:contextualSpacing/>
      </w:pPr>
    </w:p>
    <w:p w14:paraId="2B09E1B7" w14:textId="5D47C8D9" w:rsidR="003D0372" w:rsidRDefault="00DD741D" w:rsidP="00935A49">
      <w:pPr>
        <w:spacing w:after="0" w:line="240" w:lineRule="auto"/>
        <w:rPr>
          <w:rFonts w:cstheme="minorHAnsi"/>
          <w:color w:val="000000"/>
        </w:rPr>
      </w:pPr>
      <w:r w:rsidRPr="00E17893">
        <w:t xml:space="preserve">The </w:t>
      </w:r>
      <w:r w:rsidR="004D26DF">
        <w:t>2016</w:t>
      </w:r>
      <w:r w:rsidRPr="00E17893">
        <w:t xml:space="preserve"> </w:t>
      </w:r>
      <w:r w:rsidR="009055CC">
        <w:t>Index</w:t>
      </w:r>
      <w:r w:rsidRPr="00E17893">
        <w:t xml:space="preserve"> assesses </w:t>
      </w:r>
      <w:r w:rsidR="00D0542A" w:rsidRPr="00E17893">
        <w:t>46</w:t>
      </w:r>
      <w:r w:rsidRPr="00E17893">
        <w:t xml:space="preserve"> organisations, </w:t>
      </w:r>
      <w:r w:rsidR="00E17893" w:rsidRPr="00E17893">
        <w:t>including 29</w:t>
      </w:r>
      <w:r w:rsidR="00E17893" w:rsidRPr="00E17893">
        <w:rPr>
          <w:rFonts w:cstheme="minorHAnsi"/>
          <w:color w:val="000000"/>
        </w:rPr>
        <w:t xml:space="preserve"> bilateral agencies, 16</w:t>
      </w:r>
      <w:r w:rsidRPr="00E17893">
        <w:rPr>
          <w:rFonts w:cstheme="minorHAnsi"/>
          <w:color w:val="000000"/>
        </w:rPr>
        <w:t xml:space="preserve"> multilateral organisations and one philanthropic organisation. Recognising that not all the</w:t>
      </w:r>
      <w:r w:rsidRPr="00423FCC">
        <w:rPr>
          <w:rFonts w:cstheme="minorHAnsi"/>
          <w:color w:val="000000"/>
        </w:rPr>
        <w:t xml:space="preserve"> indicators used in the </w:t>
      </w:r>
      <w:r w:rsidR="00D0542A">
        <w:rPr>
          <w:rFonts w:cstheme="minorHAnsi"/>
          <w:color w:val="000000"/>
        </w:rPr>
        <w:t>Aid Transparency Index</w:t>
      </w:r>
      <w:r w:rsidRPr="00423FCC">
        <w:rPr>
          <w:rFonts w:cstheme="minorHAnsi"/>
          <w:color w:val="000000"/>
        </w:rPr>
        <w:t xml:space="preserve"> are a direct fit with every organisation’s particular modus operandi, the scoring guidelines for certain indicators have been amended to accept equivalent documents or information based on the type of organisation under assessment. More details on the scoring guidelines for </w:t>
      </w:r>
      <w:r>
        <w:rPr>
          <w:rFonts w:cstheme="minorHAnsi"/>
          <w:color w:val="000000"/>
        </w:rPr>
        <w:t>each indicator</w:t>
      </w:r>
      <w:r w:rsidRPr="00423FCC">
        <w:rPr>
          <w:rFonts w:cstheme="minorHAnsi"/>
          <w:color w:val="000000"/>
        </w:rPr>
        <w:t xml:space="preserve"> </w:t>
      </w:r>
      <w:r>
        <w:rPr>
          <w:rFonts w:cstheme="minorHAnsi"/>
          <w:color w:val="000000"/>
        </w:rPr>
        <w:t>can be found in a</w:t>
      </w:r>
      <w:r w:rsidRPr="00423FCC">
        <w:rPr>
          <w:rFonts w:cstheme="minorHAnsi"/>
          <w:color w:val="000000"/>
        </w:rPr>
        <w:t>nnex 1.</w:t>
      </w:r>
    </w:p>
    <w:p w14:paraId="35250199" w14:textId="77777777" w:rsidR="003C7512" w:rsidRPr="00423FCC" w:rsidRDefault="003C7512" w:rsidP="00935A49">
      <w:pPr>
        <w:spacing w:after="0" w:line="240" w:lineRule="auto"/>
        <w:rPr>
          <w:rFonts w:cstheme="minorHAnsi"/>
          <w:color w:val="000000"/>
        </w:rPr>
      </w:pPr>
    </w:p>
    <w:p w14:paraId="67BB156F" w14:textId="2E8AB8C4" w:rsidR="00721FDE" w:rsidRDefault="00D617F1" w:rsidP="00935A49">
      <w:pPr>
        <w:spacing w:after="0" w:line="240" w:lineRule="auto"/>
        <w:rPr>
          <w:rFonts w:ascii="Cambria" w:eastAsia="Calibri" w:hAnsi="Cambria" w:cs="Times New Roman"/>
          <w:b/>
          <w:bCs/>
          <w:color w:val="4F81BD"/>
          <w:sz w:val="24"/>
        </w:rPr>
      </w:pPr>
      <w:r w:rsidRPr="0072445E">
        <w:rPr>
          <w:rFonts w:ascii="Cambria" w:eastAsia="Calibri" w:hAnsi="Cambria" w:cs="Times New Roman"/>
          <w:b/>
          <w:bCs/>
          <w:color w:val="4F81BD"/>
          <w:sz w:val="24"/>
        </w:rPr>
        <w:t>Table 1</w:t>
      </w:r>
      <w:r w:rsidR="00721FDE" w:rsidRPr="0072445E">
        <w:rPr>
          <w:rFonts w:ascii="Cambria" w:eastAsia="Calibri" w:hAnsi="Cambria" w:cs="Times New Roman"/>
          <w:b/>
          <w:bCs/>
          <w:color w:val="4F81BD"/>
          <w:sz w:val="24"/>
        </w:rPr>
        <w:t xml:space="preserve">: </w:t>
      </w:r>
      <w:r w:rsidRPr="0072445E">
        <w:rPr>
          <w:rFonts w:ascii="Cambria" w:eastAsia="Calibri" w:hAnsi="Cambria" w:cs="Times New Roman"/>
          <w:b/>
          <w:bCs/>
          <w:color w:val="4F81BD"/>
          <w:sz w:val="24"/>
        </w:rPr>
        <w:t>The</w:t>
      </w:r>
      <w:r w:rsidR="00D0542A">
        <w:rPr>
          <w:rFonts w:ascii="Cambria" w:eastAsia="Calibri" w:hAnsi="Cambria" w:cs="Times New Roman"/>
          <w:b/>
          <w:bCs/>
          <w:color w:val="4F81BD"/>
          <w:sz w:val="24"/>
        </w:rPr>
        <w:t xml:space="preserve"> 46</w:t>
      </w:r>
      <w:r w:rsidR="00721FDE" w:rsidRPr="0072445E">
        <w:rPr>
          <w:rFonts w:ascii="Cambria" w:eastAsia="Calibri" w:hAnsi="Cambria" w:cs="Times New Roman"/>
          <w:b/>
          <w:bCs/>
          <w:color w:val="4F81BD"/>
          <w:sz w:val="24"/>
        </w:rPr>
        <w:t xml:space="preserve"> </w:t>
      </w:r>
      <w:r w:rsidRPr="0072445E">
        <w:rPr>
          <w:rFonts w:ascii="Cambria" w:eastAsia="Calibri" w:hAnsi="Cambria" w:cs="Times New Roman"/>
          <w:b/>
          <w:bCs/>
          <w:color w:val="4F81BD"/>
          <w:sz w:val="24"/>
        </w:rPr>
        <w:t>organisation</w:t>
      </w:r>
      <w:r w:rsidR="00913ED9" w:rsidRPr="0072445E">
        <w:rPr>
          <w:rFonts w:ascii="Cambria" w:eastAsia="Calibri" w:hAnsi="Cambria" w:cs="Times New Roman"/>
          <w:b/>
          <w:bCs/>
          <w:color w:val="4F81BD"/>
          <w:sz w:val="24"/>
        </w:rPr>
        <w:t>s</w:t>
      </w:r>
      <w:r w:rsidRPr="0072445E">
        <w:rPr>
          <w:rFonts w:ascii="Cambria" w:eastAsia="Calibri" w:hAnsi="Cambria" w:cs="Times New Roman"/>
          <w:b/>
          <w:bCs/>
          <w:color w:val="4F81BD"/>
          <w:sz w:val="24"/>
        </w:rPr>
        <w:t xml:space="preserve"> included </w:t>
      </w:r>
      <w:r w:rsidR="006523EE">
        <w:rPr>
          <w:rFonts w:ascii="Cambria" w:eastAsia="Calibri" w:hAnsi="Cambria" w:cs="Times New Roman"/>
          <w:b/>
          <w:bCs/>
          <w:color w:val="4F81BD"/>
          <w:sz w:val="24"/>
        </w:rPr>
        <w:t xml:space="preserve">in the </w:t>
      </w:r>
      <w:r w:rsidR="004D26DF">
        <w:rPr>
          <w:rFonts w:ascii="Cambria" w:eastAsia="Calibri" w:hAnsi="Cambria" w:cs="Times New Roman"/>
          <w:b/>
          <w:bCs/>
          <w:color w:val="4F81BD"/>
          <w:sz w:val="24"/>
        </w:rPr>
        <w:t>2016</w:t>
      </w:r>
      <w:r w:rsidR="00D0542A">
        <w:rPr>
          <w:rFonts w:ascii="Cambria" w:eastAsia="Calibri" w:hAnsi="Cambria" w:cs="Times New Roman"/>
          <w:b/>
          <w:bCs/>
          <w:color w:val="4F81BD"/>
          <w:sz w:val="24"/>
        </w:rPr>
        <w:t xml:space="preserve"> </w:t>
      </w:r>
      <w:r w:rsidR="00DD741D">
        <w:rPr>
          <w:rFonts w:ascii="Cambria" w:eastAsia="Calibri" w:hAnsi="Cambria" w:cs="Times New Roman"/>
          <w:b/>
          <w:bCs/>
          <w:color w:val="4F81BD"/>
          <w:sz w:val="24"/>
        </w:rPr>
        <w:t>Aid Transparency Index</w:t>
      </w:r>
      <w:r w:rsidRPr="0072445E">
        <w:rPr>
          <w:rFonts w:ascii="Cambria" w:eastAsia="Calibri" w:hAnsi="Cambria" w:cs="Times New Roman"/>
          <w:b/>
          <w:bCs/>
          <w:color w:val="4F81BD"/>
          <w:sz w:val="24"/>
        </w:rPr>
        <w:t>,</w:t>
      </w:r>
      <w:r w:rsidR="00913ED9" w:rsidRPr="0072445E">
        <w:rPr>
          <w:rFonts w:ascii="Cambria" w:eastAsia="Calibri" w:hAnsi="Cambria" w:cs="Times New Roman"/>
          <w:b/>
          <w:bCs/>
          <w:color w:val="4F81BD"/>
          <w:sz w:val="24"/>
        </w:rPr>
        <w:t xml:space="preserve"> with </w:t>
      </w:r>
      <w:r w:rsidRPr="0072445E">
        <w:rPr>
          <w:rFonts w:ascii="Cambria" w:eastAsia="Calibri" w:hAnsi="Cambria" w:cs="Times New Roman"/>
          <w:b/>
          <w:bCs/>
          <w:color w:val="4F81BD"/>
          <w:sz w:val="24"/>
        </w:rPr>
        <w:t>201</w:t>
      </w:r>
      <w:r w:rsidR="006523EE">
        <w:rPr>
          <w:rFonts w:ascii="Cambria" w:eastAsia="Calibri" w:hAnsi="Cambria" w:cs="Times New Roman"/>
          <w:b/>
          <w:bCs/>
          <w:color w:val="4F81BD"/>
          <w:sz w:val="24"/>
        </w:rPr>
        <w:t>3</w:t>
      </w:r>
      <w:r w:rsidRPr="0072445E">
        <w:rPr>
          <w:rFonts w:ascii="Cambria" w:eastAsia="Calibri" w:hAnsi="Cambria" w:cs="Times New Roman"/>
          <w:b/>
          <w:bCs/>
          <w:color w:val="4F81BD"/>
          <w:sz w:val="24"/>
        </w:rPr>
        <w:t xml:space="preserve"> </w:t>
      </w:r>
      <w:r w:rsidR="006523EE" w:rsidRPr="0072445E">
        <w:rPr>
          <w:rFonts w:ascii="Cambria" w:eastAsia="Calibri" w:hAnsi="Cambria" w:cs="Times New Roman"/>
          <w:b/>
          <w:bCs/>
          <w:color w:val="4F81BD"/>
          <w:sz w:val="24"/>
        </w:rPr>
        <w:t xml:space="preserve">spend </w:t>
      </w:r>
      <w:r w:rsidR="006523EE">
        <w:rPr>
          <w:rFonts w:ascii="Cambria" w:eastAsia="Calibri" w:hAnsi="Cambria" w:cs="Times New Roman"/>
          <w:b/>
          <w:bCs/>
          <w:color w:val="4F81BD"/>
          <w:sz w:val="24"/>
        </w:rPr>
        <w:t xml:space="preserve">figures </w:t>
      </w:r>
      <w:r w:rsidRPr="0072445E">
        <w:rPr>
          <w:rFonts w:ascii="Cambria" w:eastAsia="Calibri" w:hAnsi="Cambria" w:cs="Times New Roman"/>
          <w:b/>
          <w:bCs/>
          <w:color w:val="4F81BD"/>
          <w:sz w:val="24"/>
        </w:rPr>
        <w:t>and largest recipient</w:t>
      </w:r>
    </w:p>
    <w:p w14:paraId="0F322EC6" w14:textId="77777777" w:rsidR="00676A8E" w:rsidRDefault="00676A8E" w:rsidP="00935A49">
      <w:pPr>
        <w:spacing w:after="0" w:line="240" w:lineRule="auto"/>
        <w:rPr>
          <w:rFonts w:ascii="Cambria" w:eastAsia="Calibri" w:hAnsi="Cambria" w:cs="Times New Roman"/>
          <w:b/>
          <w:bCs/>
          <w:color w:val="4F81BD"/>
          <w:sz w:val="24"/>
        </w:rPr>
      </w:pPr>
    </w:p>
    <w:tbl>
      <w:tblPr>
        <w:tblStyle w:val="GridTable4-Accent11"/>
        <w:tblW w:w="13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2"/>
        <w:gridCol w:w="1984"/>
        <w:gridCol w:w="3544"/>
      </w:tblGrid>
      <w:tr w:rsidR="0072445E" w:rsidRPr="002C5759" w14:paraId="2E9737E7" w14:textId="77777777" w:rsidTr="00AB1C76">
        <w:trPr>
          <w:cnfStyle w:val="100000000000" w:firstRow="1" w:lastRow="0" w:firstColumn="0" w:lastColumn="0" w:oddVBand="0" w:evenVBand="0" w:oddHBand="0" w:evenHBand="0" w:firstRowFirstColumn="0" w:firstRowLastColumn="0" w:lastRowFirstColumn="0" w:lastRowLastColumn="0"/>
          <w:trHeight w:val="441"/>
          <w:tblHeader/>
        </w:trPr>
        <w:tc>
          <w:tcPr>
            <w:cnfStyle w:val="001000000000" w:firstRow="0" w:lastRow="0" w:firstColumn="1" w:lastColumn="0" w:oddVBand="0" w:evenVBand="0" w:oddHBand="0" w:evenHBand="0" w:firstRowFirstColumn="0" w:firstRowLastColumn="0" w:lastRowFirstColumn="0" w:lastRowLastColumn="0"/>
            <w:tcW w:w="7542" w:type="dxa"/>
            <w:tcBorders>
              <w:top w:val="none" w:sz="0" w:space="0" w:color="auto"/>
              <w:left w:val="none" w:sz="0" w:space="0" w:color="auto"/>
              <w:bottom w:val="none" w:sz="0" w:space="0" w:color="auto"/>
              <w:right w:val="none" w:sz="0" w:space="0" w:color="auto"/>
            </w:tcBorders>
            <w:shd w:val="clear" w:color="auto" w:fill="8DB3E2"/>
          </w:tcPr>
          <w:p w14:paraId="1339278B" w14:textId="77777777" w:rsidR="0072445E" w:rsidRPr="002C5759" w:rsidRDefault="00916010" w:rsidP="009611A7">
            <w:pPr>
              <w:rPr>
                <w:rFonts w:cstheme="minorHAnsi"/>
                <w:color w:val="000000"/>
              </w:rPr>
            </w:pPr>
            <w:r w:rsidRPr="002C5759">
              <w:rPr>
                <w:rFonts w:cstheme="minorHAnsi"/>
                <w:color w:val="000000"/>
              </w:rPr>
              <w:t>Donor n</w:t>
            </w:r>
            <w:r w:rsidR="0072445E" w:rsidRPr="002C5759">
              <w:rPr>
                <w:rFonts w:cstheme="minorHAnsi"/>
                <w:color w:val="000000"/>
              </w:rPr>
              <w:t>ame</w:t>
            </w:r>
          </w:p>
        </w:tc>
        <w:tc>
          <w:tcPr>
            <w:tcW w:w="1984" w:type="dxa"/>
            <w:tcBorders>
              <w:top w:val="none" w:sz="0" w:space="0" w:color="auto"/>
              <w:left w:val="none" w:sz="0" w:space="0" w:color="auto"/>
              <w:bottom w:val="none" w:sz="0" w:space="0" w:color="auto"/>
              <w:right w:val="none" w:sz="0" w:space="0" w:color="auto"/>
            </w:tcBorders>
            <w:shd w:val="clear" w:color="auto" w:fill="8DB3E2"/>
          </w:tcPr>
          <w:p w14:paraId="12AEA929" w14:textId="61569CB1" w:rsidR="0072445E" w:rsidRPr="002C5759" w:rsidRDefault="006523EE" w:rsidP="002C5759">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2C5759">
              <w:rPr>
                <w:rFonts w:cstheme="minorHAnsi"/>
                <w:color w:val="000000"/>
              </w:rPr>
              <w:t>Spend in 2013</w:t>
            </w:r>
          </w:p>
          <w:p w14:paraId="519C3D12" w14:textId="77777777" w:rsidR="0072445E" w:rsidRPr="002C5759" w:rsidRDefault="0072445E" w:rsidP="002C5759">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2C5759">
              <w:rPr>
                <w:rFonts w:cstheme="minorHAnsi"/>
                <w:color w:val="000000"/>
              </w:rPr>
              <w:t>(USD mn)</w:t>
            </w:r>
            <w:r w:rsidR="0065757F" w:rsidRPr="002C5759">
              <w:rPr>
                <w:rStyle w:val="FootnoteReference"/>
                <w:color w:val="000000"/>
              </w:rPr>
              <w:footnoteReference w:id="1"/>
            </w:r>
          </w:p>
        </w:tc>
        <w:tc>
          <w:tcPr>
            <w:tcW w:w="3544" w:type="dxa"/>
            <w:tcBorders>
              <w:top w:val="none" w:sz="0" w:space="0" w:color="auto"/>
              <w:left w:val="none" w:sz="0" w:space="0" w:color="auto"/>
              <w:bottom w:val="none" w:sz="0" w:space="0" w:color="auto"/>
              <w:right w:val="none" w:sz="0" w:space="0" w:color="auto"/>
            </w:tcBorders>
            <w:shd w:val="clear" w:color="auto" w:fill="8DB3E2"/>
          </w:tcPr>
          <w:p w14:paraId="71DFB7B3" w14:textId="52C60E29" w:rsidR="0072445E" w:rsidRPr="002C5759" w:rsidRDefault="0072445E" w:rsidP="002C5759">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2C5759">
              <w:rPr>
                <w:rFonts w:cstheme="minorHAnsi"/>
                <w:color w:val="000000"/>
              </w:rPr>
              <w:t>Largest recipient</w:t>
            </w:r>
            <w:r w:rsidRPr="002C5759">
              <w:rPr>
                <w:rStyle w:val="FootnoteReference"/>
                <w:color w:val="000000"/>
              </w:rPr>
              <w:footnoteReference w:id="2"/>
            </w:r>
          </w:p>
        </w:tc>
      </w:tr>
      <w:tr w:rsidR="00B935BE" w:rsidRPr="002C5759" w14:paraId="1B5A919E" w14:textId="77777777" w:rsidTr="00AB1C76">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55A80E67" w14:textId="5D036C6D" w:rsidR="00B935BE" w:rsidRPr="002C5759" w:rsidRDefault="00B935BE" w:rsidP="00B935BE">
            <w:pPr>
              <w:pStyle w:val="ListBullet"/>
              <w:numPr>
                <w:ilvl w:val="0"/>
                <w:numId w:val="0"/>
              </w:numPr>
              <w:ind w:firstLine="33"/>
              <w:rPr>
                <w:b w:val="0"/>
              </w:rPr>
            </w:pPr>
            <w:r w:rsidRPr="002C5759">
              <w:rPr>
                <w:b w:val="0"/>
              </w:rPr>
              <w:t>AfDB</w:t>
            </w:r>
          </w:p>
        </w:tc>
        <w:tc>
          <w:tcPr>
            <w:tcW w:w="1984" w:type="dxa"/>
            <w:shd w:val="clear" w:color="auto" w:fill="auto"/>
          </w:tcPr>
          <w:p w14:paraId="2B3D77FC" w14:textId="29738CCE" w:rsidR="00B935BE" w:rsidRPr="002C5759"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sidRPr="002C5759">
              <w:rPr>
                <w:rFonts w:eastAsia="Times New Roman"/>
                <w:lang w:bidi="ar-SA"/>
              </w:rPr>
              <w:t>4725</w:t>
            </w:r>
          </w:p>
        </w:tc>
        <w:tc>
          <w:tcPr>
            <w:tcW w:w="3544" w:type="dxa"/>
            <w:shd w:val="clear" w:color="auto" w:fill="auto"/>
          </w:tcPr>
          <w:p w14:paraId="7030CDF8" w14:textId="268EEB0B" w:rsidR="00B935BE" w:rsidRPr="002C5759"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C5759">
              <w:rPr>
                <w:rFonts w:cstheme="minorHAnsi"/>
                <w:color w:val="000000"/>
              </w:rPr>
              <w:t>Democratic Republic of the Congo</w:t>
            </w:r>
          </w:p>
        </w:tc>
      </w:tr>
      <w:tr w:rsidR="00B935BE" w:rsidRPr="0011454A" w14:paraId="33FBDCE3" w14:textId="77777777" w:rsidTr="00AB1C76">
        <w:trPr>
          <w:trHeight w:val="229"/>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518CF6A1" w14:textId="3962A01D" w:rsidR="00B935BE" w:rsidRPr="002C5759" w:rsidRDefault="00B935BE" w:rsidP="00B935BE">
            <w:pPr>
              <w:pStyle w:val="ListBullet"/>
              <w:numPr>
                <w:ilvl w:val="0"/>
                <w:numId w:val="0"/>
              </w:numPr>
              <w:ind w:firstLine="33"/>
              <w:rPr>
                <w:b w:val="0"/>
              </w:rPr>
            </w:pPr>
            <w:r w:rsidRPr="002C5759">
              <w:rPr>
                <w:b w:val="0"/>
              </w:rPr>
              <w:t>AsDB</w:t>
            </w:r>
          </w:p>
        </w:tc>
        <w:tc>
          <w:tcPr>
            <w:tcW w:w="1984" w:type="dxa"/>
            <w:shd w:val="clear" w:color="auto" w:fill="auto"/>
          </w:tcPr>
          <w:p w14:paraId="27DE5170" w14:textId="17A54EA1" w:rsidR="00B935BE" w:rsidRPr="002C5759"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C5759">
              <w:rPr>
                <w:rFonts w:eastAsia="Times New Roman"/>
                <w:lang w:bidi="ar-SA"/>
              </w:rPr>
              <w:t>6163</w:t>
            </w:r>
          </w:p>
        </w:tc>
        <w:tc>
          <w:tcPr>
            <w:tcW w:w="3544" w:type="dxa"/>
            <w:shd w:val="clear" w:color="auto" w:fill="auto"/>
          </w:tcPr>
          <w:p w14:paraId="16E6EC17" w14:textId="587AB002"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C5759">
              <w:rPr>
                <w:rFonts w:cstheme="minorHAnsi"/>
                <w:color w:val="000000"/>
              </w:rPr>
              <w:t>China</w:t>
            </w:r>
          </w:p>
        </w:tc>
      </w:tr>
      <w:tr w:rsidR="00B935BE" w:rsidRPr="0011454A" w14:paraId="2471B612" w14:textId="77777777" w:rsidTr="00AB1C76">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69827F32" w14:textId="3BC64504" w:rsidR="00B935BE" w:rsidRPr="0011454A" w:rsidRDefault="00B935BE" w:rsidP="00B935BE">
            <w:pPr>
              <w:pStyle w:val="ListBullet"/>
              <w:numPr>
                <w:ilvl w:val="0"/>
                <w:numId w:val="0"/>
              </w:numPr>
              <w:ind w:firstLine="33"/>
              <w:rPr>
                <w:b w:val="0"/>
              </w:rPr>
            </w:pPr>
            <w:r>
              <w:rPr>
                <w:b w:val="0"/>
              </w:rPr>
              <w:t>Australia, DFAT</w:t>
            </w:r>
          </w:p>
        </w:tc>
        <w:tc>
          <w:tcPr>
            <w:tcW w:w="1984" w:type="dxa"/>
            <w:shd w:val="clear" w:color="auto" w:fill="auto"/>
          </w:tcPr>
          <w:p w14:paraId="4E5682F2" w14:textId="40526BB7"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3500</w:t>
            </w:r>
          </w:p>
        </w:tc>
        <w:tc>
          <w:tcPr>
            <w:tcW w:w="3544" w:type="dxa"/>
            <w:shd w:val="clear" w:color="auto" w:fill="auto"/>
          </w:tcPr>
          <w:p w14:paraId="67EA5953" w14:textId="7F64C8DD"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Indonesia</w:t>
            </w:r>
          </w:p>
        </w:tc>
      </w:tr>
      <w:tr w:rsidR="00B935BE" w:rsidRPr="0011454A" w14:paraId="4346861C" w14:textId="77777777" w:rsidTr="00AB1C76">
        <w:trPr>
          <w:trHeight w:val="229"/>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7A4865B7" w14:textId="77777777" w:rsidR="00B935BE" w:rsidRPr="0011454A" w:rsidRDefault="00B935BE" w:rsidP="00B935BE">
            <w:pPr>
              <w:pStyle w:val="ListBullet"/>
              <w:numPr>
                <w:ilvl w:val="0"/>
                <w:numId w:val="0"/>
              </w:numPr>
              <w:ind w:firstLine="33"/>
              <w:rPr>
                <w:b w:val="0"/>
              </w:rPr>
            </w:pPr>
            <w:r w:rsidRPr="0011454A">
              <w:rPr>
                <w:b w:val="0"/>
              </w:rPr>
              <w:t xml:space="preserve">Belgium, Directorate General for Cooperation and Development </w:t>
            </w:r>
          </w:p>
        </w:tc>
        <w:tc>
          <w:tcPr>
            <w:tcW w:w="1984" w:type="dxa"/>
            <w:shd w:val="clear" w:color="auto" w:fill="auto"/>
          </w:tcPr>
          <w:p w14:paraId="467324A7" w14:textId="71CCF97B"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918</w:t>
            </w:r>
          </w:p>
        </w:tc>
        <w:tc>
          <w:tcPr>
            <w:tcW w:w="3544" w:type="dxa"/>
            <w:shd w:val="clear" w:color="auto" w:fill="auto"/>
          </w:tcPr>
          <w:p w14:paraId="4A51E838"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Democratic Republic of the Congo</w:t>
            </w:r>
          </w:p>
        </w:tc>
      </w:tr>
      <w:tr w:rsidR="00B935BE" w:rsidRPr="0011454A" w14:paraId="5A383722" w14:textId="77777777" w:rsidTr="00AB1C76">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326A0CD8" w14:textId="39A80A90" w:rsidR="00B935BE" w:rsidRPr="0011454A" w:rsidRDefault="00B935BE" w:rsidP="00B935BE">
            <w:pPr>
              <w:pStyle w:val="ListBullet"/>
              <w:numPr>
                <w:ilvl w:val="0"/>
                <w:numId w:val="0"/>
              </w:numPr>
              <w:ind w:firstLine="33"/>
              <w:rPr>
                <w:b w:val="0"/>
              </w:rPr>
            </w:pPr>
            <w:r>
              <w:rPr>
                <w:b w:val="0"/>
              </w:rPr>
              <w:lastRenderedPageBreak/>
              <w:t>Canada, DFATD</w:t>
            </w:r>
          </w:p>
        </w:tc>
        <w:tc>
          <w:tcPr>
            <w:tcW w:w="1984" w:type="dxa"/>
            <w:shd w:val="clear" w:color="auto" w:fill="auto"/>
          </w:tcPr>
          <w:p w14:paraId="297B94D5" w14:textId="7EAA0FC6"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2860</w:t>
            </w:r>
          </w:p>
        </w:tc>
        <w:tc>
          <w:tcPr>
            <w:tcW w:w="3544" w:type="dxa"/>
            <w:shd w:val="clear" w:color="auto" w:fill="auto"/>
          </w:tcPr>
          <w:p w14:paraId="05098B78" w14:textId="53DBD086"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Tanzania</w:t>
            </w:r>
          </w:p>
        </w:tc>
      </w:tr>
      <w:tr w:rsidR="00B935BE" w:rsidRPr="0011454A" w14:paraId="73F96797" w14:textId="77777777" w:rsidTr="00AB1C76">
        <w:trPr>
          <w:trHeight w:val="229"/>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59FBEBCA" w14:textId="5D2C1A7C" w:rsidR="00B935BE" w:rsidRPr="0011454A" w:rsidRDefault="00B935BE" w:rsidP="00B935BE">
            <w:pPr>
              <w:pStyle w:val="ListBullet"/>
              <w:numPr>
                <w:ilvl w:val="0"/>
                <w:numId w:val="0"/>
              </w:numPr>
              <w:ind w:firstLine="33"/>
              <w:rPr>
                <w:b w:val="0"/>
              </w:rPr>
            </w:pPr>
            <w:r>
              <w:rPr>
                <w:b w:val="0"/>
              </w:rPr>
              <w:t>China, MOFCOM</w:t>
            </w:r>
          </w:p>
        </w:tc>
        <w:tc>
          <w:tcPr>
            <w:tcW w:w="1984" w:type="dxa"/>
            <w:shd w:val="clear" w:color="auto" w:fill="auto"/>
          </w:tcPr>
          <w:p w14:paraId="309198F9" w14:textId="0000F51F"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5000</w:t>
            </w:r>
          </w:p>
        </w:tc>
        <w:tc>
          <w:tcPr>
            <w:tcW w:w="3544" w:type="dxa"/>
            <w:shd w:val="clear" w:color="auto" w:fill="auto"/>
          </w:tcPr>
          <w:p w14:paraId="5CA65435" w14:textId="32DB821E"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Ghana</w:t>
            </w:r>
          </w:p>
        </w:tc>
      </w:tr>
      <w:tr w:rsidR="00B935BE" w:rsidRPr="0011454A" w14:paraId="2BA3ECB4" w14:textId="77777777" w:rsidTr="00AB1C7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0393AAE1" w14:textId="77777777" w:rsidR="00B935BE" w:rsidRPr="0011454A" w:rsidRDefault="00B935BE" w:rsidP="00B935BE">
            <w:pPr>
              <w:pStyle w:val="ListBullet"/>
              <w:numPr>
                <w:ilvl w:val="0"/>
                <w:numId w:val="0"/>
              </w:numPr>
              <w:ind w:firstLine="33"/>
              <w:rPr>
                <w:b w:val="0"/>
              </w:rPr>
            </w:pPr>
            <w:r w:rsidRPr="0011454A">
              <w:rPr>
                <w:b w:val="0"/>
              </w:rPr>
              <w:t>Denmark, Ministry of Foreign Affairs</w:t>
            </w:r>
          </w:p>
        </w:tc>
        <w:tc>
          <w:tcPr>
            <w:tcW w:w="1984" w:type="dxa"/>
            <w:shd w:val="clear" w:color="auto" w:fill="auto"/>
          </w:tcPr>
          <w:p w14:paraId="530F30E2" w14:textId="3FC85338"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2272</w:t>
            </w:r>
          </w:p>
        </w:tc>
        <w:tc>
          <w:tcPr>
            <w:tcW w:w="3544" w:type="dxa"/>
            <w:shd w:val="clear" w:color="auto" w:fill="auto"/>
          </w:tcPr>
          <w:p w14:paraId="08D34252"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Mozambique</w:t>
            </w:r>
          </w:p>
        </w:tc>
      </w:tr>
      <w:tr w:rsidR="00B935BE" w:rsidRPr="0011454A" w14:paraId="7D96EA2E" w14:textId="77777777" w:rsidTr="00AB1C76">
        <w:trPr>
          <w:trHeight w:val="235"/>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4ABC6F9C" w14:textId="77777777" w:rsidR="00B935BE" w:rsidRPr="0011454A" w:rsidRDefault="00B935BE" w:rsidP="00B935BE">
            <w:pPr>
              <w:pStyle w:val="ListBullet"/>
              <w:numPr>
                <w:ilvl w:val="0"/>
                <w:numId w:val="0"/>
              </w:numPr>
              <w:ind w:firstLine="33"/>
              <w:rPr>
                <w:b w:val="0"/>
              </w:rPr>
            </w:pPr>
            <w:r w:rsidRPr="0011454A">
              <w:rPr>
                <w:b w:val="0"/>
              </w:rPr>
              <w:t xml:space="preserve">European Bank for Reconstruction and Development </w:t>
            </w:r>
          </w:p>
        </w:tc>
        <w:tc>
          <w:tcPr>
            <w:tcW w:w="1984" w:type="dxa"/>
            <w:shd w:val="clear" w:color="auto" w:fill="auto"/>
          </w:tcPr>
          <w:p w14:paraId="3A1292AE" w14:textId="032D649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3827</w:t>
            </w:r>
          </w:p>
        </w:tc>
        <w:tc>
          <w:tcPr>
            <w:tcW w:w="3544" w:type="dxa"/>
            <w:shd w:val="clear" w:color="auto" w:fill="auto"/>
          </w:tcPr>
          <w:p w14:paraId="75920356"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Turkey</w:t>
            </w:r>
          </w:p>
        </w:tc>
      </w:tr>
      <w:tr w:rsidR="00B935BE" w:rsidRPr="0011454A" w14:paraId="75231EFD" w14:textId="77777777" w:rsidTr="00AB1C7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21A2F54D" w14:textId="77777777" w:rsidR="00B935BE" w:rsidRPr="0011454A" w:rsidRDefault="00B935BE" w:rsidP="00B935BE">
            <w:pPr>
              <w:pStyle w:val="ListBullet"/>
              <w:numPr>
                <w:ilvl w:val="0"/>
                <w:numId w:val="0"/>
              </w:numPr>
              <w:ind w:firstLine="33"/>
              <w:rPr>
                <w:b w:val="0"/>
              </w:rPr>
            </w:pPr>
            <w:r w:rsidRPr="0011454A">
              <w:rPr>
                <w:b w:val="0"/>
              </w:rPr>
              <w:t xml:space="preserve">European Investment Bank </w:t>
            </w:r>
          </w:p>
        </w:tc>
        <w:tc>
          <w:tcPr>
            <w:tcW w:w="1984" w:type="dxa"/>
            <w:shd w:val="clear" w:color="auto" w:fill="auto"/>
          </w:tcPr>
          <w:p w14:paraId="03A957EE" w14:textId="7F789C90" w:rsidR="00B935BE" w:rsidRPr="00BB68C2"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6531</w:t>
            </w:r>
          </w:p>
        </w:tc>
        <w:tc>
          <w:tcPr>
            <w:tcW w:w="3544" w:type="dxa"/>
            <w:shd w:val="clear" w:color="auto" w:fill="auto"/>
          </w:tcPr>
          <w:p w14:paraId="129EE77B"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Turkey</w:t>
            </w:r>
          </w:p>
        </w:tc>
      </w:tr>
      <w:tr w:rsidR="00B935BE" w:rsidRPr="0011454A" w14:paraId="5CCF4717" w14:textId="77777777" w:rsidTr="00AB1C76">
        <w:trPr>
          <w:trHeight w:val="133"/>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366973B2" w14:textId="77777777" w:rsidR="00B935BE" w:rsidRPr="0011454A" w:rsidRDefault="00B935BE" w:rsidP="00B935BE">
            <w:pPr>
              <w:pStyle w:val="ListBullet"/>
              <w:numPr>
                <w:ilvl w:val="0"/>
                <w:numId w:val="0"/>
              </w:numPr>
              <w:ind w:firstLine="33"/>
              <w:rPr>
                <w:b w:val="0"/>
              </w:rPr>
            </w:pPr>
            <w:r w:rsidRPr="0011454A">
              <w:rPr>
                <w:b w:val="0"/>
              </w:rPr>
              <w:t xml:space="preserve">European </w:t>
            </w:r>
            <w:r w:rsidRPr="0011454A">
              <w:rPr>
                <w:b w:val="0"/>
                <w:lang w:val="en-GB"/>
              </w:rPr>
              <w:t xml:space="preserve">Commission, DG Development and Cooperation – EuropeAid </w:t>
            </w:r>
          </w:p>
        </w:tc>
        <w:tc>
          <w:tcPr>
            <w:tcW w:w="1984" w:type="dxa"/>
            <w:shd w:val="clear" w:color="auto" w:fill="auto"/>
          </w:tcPr>
          <w:p w14:paraId="06884604" w14:textId="511B4ADB" w:rsidR="00B935BE" w:rsidRPr="00BB68C2"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10160</w:t>
            </w:r>
          </w:p>
        </w:tc>
        <w:tc>
          <w:tcPr>
            <w:tcW w:w="3544" w:type="dxa"/>
            <w:shd w:val="clear" w:color="auto" w:fill="auto"/>
          </w:tcPr>
          <w:p w14:paraId="34F2AC78"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Turkey</w:t>
            </w:r>
          </w:p>
        </w:tc>
      </w:tr>
      <w:tr w:rsidR="00B935BE" w:rsidRPr="0011454A" w14:paraId="0A055A67" w14:textId="77777777" w:rsidTr="00AB1C7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6E732D9" w14:textId="77777777" w:rsidR="00B935BE" w:rsidRPr="0011454A" w:rsidRDefault="00B935BE" w:rsidP="00B935BE">
            <w:pPr>
              <w:pStyle w:val="ListBullet"/>
              <w:numPr>
                <w:ilvl w:val="0"/>
                <w:numId w:val="0"/>
              </w:numPr>
              <w:ind w:firstLine="33"/>
              <w:rPr>
                <w:b w:val="0"/>
              </w:rPr>
            </w:pPr>
            <w:r w:rsidRPr="0011454A">
              <w:rPr>
                <w:b w:val="0"/>
                <w:lang w:val="en-GB"/>
              </w:rPr>
              <w:t xml:space="preserve">European Commission, DG Humanitarian Aid and Civil Protection </w:t>
            </w:r>
          </w:p>
        </w:tc>
        <w:tc>
          <w:tcPr>
            <w:tcW w:w="1984" w:type="dxa"/>
            <w:shd w:val="clear" w:color="auto" w:fill="auto"/>
          </w:tcPr>
          <w:p w14:paraId="3E965B1D" w14:textId="1F139EC9" w:rsidR="00B935BE" w:rsidRPr="00BB68C2"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1310</w:t>
            </w:r>
          </w:p>
        </w:tc>
        <w:tc>
          <w:tcPr>
            <w:tcW w:w="3544" w:type="dxa"/>
            <w:shd w:val="clear" w:color="auto" w:fill="auto"/>
          </w:tcPr>
          <w:p w14:paraId="29324ECA"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Syria</w:t>
            </w:r>
          </w:p>
        </w:tc>
      </w:tr>
      <w:tr w:rsidR="00B935BE" w:rsidRPr="0011454A" w14:paraId="57A5C322"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0A69CBAE" w14:textId="77777777" w:rsidR="00B935BE" w:rsidRPr="002E6500" w:rsidRDefault="00B935BE" w:rsidP="00B935BE">
            <w:pPr>
              <w:pStyle w:val="ListBullet"/>
              <w:numPr>
                <w:ilvl w:val="0"/>
                <w:numId w:val="0"/>
              </w:numPr>
              <w:ind w:firstLine="33"/>
              <w:rPr>
                <w:b w:val="0"/>
                <w:lang w:val="en-GB"/>
              </w:rPr>
            </w:pPr>
            <w:r w:rsidRPr="002E6500">
              <w:rPr>
                <w:b w:val="0"/>
                <w:lang w:val="en-GB"/>
              </w:rPr>
              <w:t xml:space="preserve">European Commission, DG Neighbourhood Policy and Enlargement Negotiations </w:t>
            </w:r>
          </w:p>
        </w:tc>
        <w:tc>
          <w:tcPr>
            <w:tcW w:w="1984" w:type="dxa"/>
            <w:shd w:val="clear" w:color="auto" w:fill="auto"/>
          </w:tcPr>
          <w:p w14:paraId="17B796C6" w14:textId="4EBF35B9" w:rsidR="00B935BE" w:rsidRPr="00BB68C2"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3004</w:t>
            </w:r>
          </w:p>
        </w:tc>
        <w:tc>
          <w:tcPr>
            <w:tcW w:w="3544" w:type="dxa"/>
            <w:shd w:val="clear" w:color="auto" w:fill="auto"/>
          </w:tcPr>
          <w:p w14:paraId="791FE51F"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Serbia</w:t>
            </w:r>
          </w:p>
        </w:tc>
      </w:tr>
      <w:tr w:rsidR="00B935BE" w:rsidRPr="0011454A" w14:paraId="6F9589D9"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0D3BC659" w14:textId="77777777" w:rsidR="00B935BE" w:rsidRPr="0011454A" w:rsidRDefault="00B935BE" w:rsidP="00B935BE">
            <w:pPr>
              <w:pStyle w:val="ListBullet"/>
              <w:numPr>
                <w:ilvl w:val="0"/>
                <w:numId w:val="0"/>
              </w:numPr>
              <w:ind w:firstLine="33"/>
              <w:rPr>
                <w:b w:val="0"/>
              </w:rPr>
            </w:pPr>
            <w:r w:rsidRPr="0011454A">
              <w:rPr>
                <w:b w:val="0"/>
                <w:lang w:val="en-GB"/>
              </w:rPr>
              <w:t>Finland, Ministry</w:t>
            </w:r>
            <w:r w:rsidRPr="0011454A">
              <w:rPr>
                <w:b w:val="0"/>
              </w:rPr>
              <w:t xml:space="preserve"> of Foreign Affairs</w:t>
            </w:r>
          </w:p>
        </w:tc>
        <w:tc>
          <w:tcPr>
            <w:tcW w:w="1984" w:type="dxa"/>
            <w:shd w:val="clear" w:color="auto" w:fill="auto"/>
          </w:tcPr>
          <w:p w14:paraId="4934F363" w14:textId="187CD699"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771</w:t>
            </w:r>
          </w:p>
        </w:tc>
        <w:tc>
          <w:tcPr>
            <w:tcW w:w="3544" w:type="dxa"/>
            <w:shd w:val="clear" w:color="auto" w:fill="auto"/>
          </w:tcPr>
          <w:p w14:paraId="0F69F981" w14:textId="6C5A01FE"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Tanzania</w:t>
            </w:r>
          </w:p>
        </w:tc>
      </w:tr>
      <w:tr w:rsidR="00B935BE" w:rsidRPr="0011454A" w14:paraId="1E608C3E"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56D64EAE" w14:textId="77777777" w:rsidR="00B935BE" w:rsidRPr="0011454A" w:rsidRDefault="00B935BE" w:rsidP="00B935BE">
            <w:pPr>
              <w:pStyle w:val="ListBullet"/>
              <w:numPr>
                <w:ilvl w:val="0"/>
                <w:numId w:val="0"/>
              </w:numPr>
              <w:ind w:firstLine="33"/>
              <w:rPr>
                <w:b w:val="0"/>
              </w:rPr>
            </w:pPr>
            <w:r w:rsidRPr="0011454A">
              <w:rPr>
                <w:b w:val="0"/>
              </w:rPr>
              <w:t xml:space="preserve">French Development Agency </w:t>
            </w:r>
          </w:p>
        </w:tc>
        <w:tc>
          <w:tcPr>
            <w:tcW w:w="1984" w:type="dxa"/>
            <w:shd w:val="clear" w:color="auto" w:fill="auto"/>
          </w:tcPr>
          <w:p w14:paraId="769544FF" w14:textId="4F645F52"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5332</w:t>
            </w:r>
          </w:p>
        </w:tc>
        <w:tc>
          <w:tcPr>
            <w:tcW w:w="3544" w:type="dxa"/>
            <w:shd w:val="clear" w:color="auto" w:fill="auto"/>
          </w:tcPr>
          <w:p w14:paraId="5784D808" w14:textId="450E5A85"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Mozambique</w:t>
            </w:r>
          </w:p>
        </w:tc>
      </w:tr>
      <w:tr w:rsidR="00B935BE" w:rsidRPr="0011454A" w14:paraId="22AC8483"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467C13F" w14:textId="58A99C70" w:rsidR="00B935BE" w:rsidRPr="0011454A" w:rsidRDefault="00B935BE" w:rsidP="00B935BE">
            <w:pPr>
              <w:pStyle w:val="ListBullet"/>
              <w:numPr>
                <w:ilvl w:val="0"/>
                <w:numId w:val="0"/>
              </w:numPr>
              <w:ind w:firstLine="33"/>
              <w:rPr>
                <w:b w:val="0"/>
              </w:rPr>
            </w:pPr>
            <w:r>
              <w:rPr>
                <w:b w:val="0"/>
              </w:rPr>
              <w:t>France, MAEDI</w:t>
            </w:r>
          </w:p>
        </w:tc>
        <w:tc>
          <w:tcPr>
            <w:tcW w:w="1984" w:type="dxa"/>
            <w:shd w:val="clear" w:color="auto" w:fill="auto"/>
          </w:tcPr>
          <w:p w14:paraId="6B6D3765" w14:textId="14C3FD28"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949</w:t>
            </w:r>
          </w:p>
        </w:tc>
        <w:tc>
          <w:tcPr>
            <w:tcW w:w="3544" w:type="dxa"/>
            <w:shd w:val="clear" w:color="auto" w:fill="auto"/>
          </w:tcPr>
          <w:p w14:paraId="57F30FA8" w14:textId="52B36FAA"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Morocco</w:t>
            </w:r>
          </w:p>
        </w:tc>
      </w:tr>
      <w:tr w:rsidR="00B935BE" w:rsidRPr="0011454A" w14:paraId="4BB23DDA"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606ADB0A" w14:textId="7DE351BF" w:rsidR="00B935BE" w:rsidRPr="0011454A" w:rsidRDefault="00B935BE" w:rsidP="00B935BE">
            <w:pPr>
              <w:pStyle w:val="ListBullet"/>
              <w:numPr>
                <w:ilvl w:val="0"/>
                <w:numId w:val="0"/>
              </w:numPr>
              <w:ind w:firstLine="33"/>
              <w:rPr>
                <w:b w:val="0"/>
              </w:rPr>
            </w:pPr>
            <w:r>
              <w:rPr>
                <w:b w:val="0"/>
              </w:rPr>
              <w:t>France, MINEFI</w:t>
            </w:r>
          </w:p>
        </w:tc>
        <w:tc>
          <w:tcPr>
            <w:tcW w:w="1984" w:type="dxa"/>
            <w:shd w:val="clear" w:color="auto" w:fill="auto"/>
          </w:tcPr>
          <w:p w14:paraId="7E61F6EE" w14:textId="3DD3A93E"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1307</w:t>
            </w:r>
          </w:p>
        </w:tc>
        <w:tc>
          <w:tcPr>
            <w:tcW w:w="3544" w:type="dxa"/>
            <w:shd w:val="clear" w:color="auto" w:fill="auto"/>
          </w:tcPr>
          <w:p w14:paraId="0F4B02AC" w14:textId="540B59B2"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Myanmar</w:t>
            </w:r>
          </w:p>
        </w:tc>
      </w:tr>
      <w:tr w:rsidR="00B935BE" w:rsidRPr="0011454A" w14:paraId="38C08867"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78F0D81F" w14:textId="77777777" w:rsidR="00B935BE" w:rsidRPr="0011454A" w:rsidRDefault="00B935BE" w:rsidP="00B935BE">
            <w:pPr>
              <w:pStyle w:val="ListBullet"/>
              <w:numPr>
                <w:ilvl w:val="0"/>
                <w:numId w:val="0"/>
              </w:numPr>
              <w:ind w:firstLine="33"/>
              <w:rPr>
                <w:b w:val="0"/>
              </w:rPr>
            </w:pPr>
            <w:r w:rsidRPr="0011454A">
              <w:rPr>
                <w:b w:val="0"/>
              </w:rPr>
              <w:t xml:space="preserve">Germany, </w:t>
            </w:r>
            <w:r>
              <w:rPr>
                <w:b w:val="0"/>
              </w:rPr>
              <w:t>Ministry for Economic Cooperation and Development (BMZ)</w:t>
            </w:r>
            <w:r w:rsidRPr="0011454A">
              <w:rPr>
                <w:b w:val="0"/>
              </w:rPr>
              <w:t xml:space="preserve">-GIZ </w:t>
            </w:r>
          </w:p>
        </w:tc>
        <w:tc>
          <w:tcPr>
            <w:tcW w:w="1984" w:type="dxa"/>
            <w:shd w:val="clear" w:color="auto" w:fill="auto"/>
          </w:tcPr>
          <w:p w14:paraId="4AA026E8" w14:textId="2DBC0673"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5299</w:t>
            </w:r>
          </w:p>
        </w:tc>
        <w:tc>
          <w:tcPr>
            <w:tcW w:w="3544" w:type="dxa"/>
            <w:shd w:val="clear" w:color="auto" w:fill="auto"/>
          </w:tcPr>
          <w:p w14:paraId="7D015FAE"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Cote d’Ivoire</w:t>
            </w:r>
          </w:p>
        </w:tc>
      </w:tr>
      <w:tr w:rsidR="00B935BE" w:rsidRPr="0011454A" w14:paraId="562A3EE7"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021400B9" w14:textId="4CF2AAC1" w:rsidR="00B935BE" w:rsidRPr="0011454A" w:rsidRDefault="00B935BE" w:rsidP="00B935BE">
            <w:pPr>
              <w:pStyle w:val="ListBullet"/>
              <w:numPr>
                <w:ilvl w:val="0"/>
                <w:numId w:val="0"/>
              </w:numPr>
              <w:ind w:firstLine="33"/>
              <w:rPr>
                <w:b w:val="0"/>
              </w:rPr>
            </w:pPr>
            <w:r w:rsidRPr="0011454A">
              <w:rPr>
                <w:b w:val="0"/>
              </w:rPr>
              <w:t xml:space="preserve">Germany, </w:t>
            </w:r>
            <w:r>
              <w:rPr>
                <w:b w:val="0"/>
              </w:rPr>
              <w:t>Ministry for Economic Cooperation and Development (BMZ)-KfW</w:t>
            </w:r>
          </w:p>
        </w:tc>
        <w:tc>
          <w:tcPr>
            <w:tcW w:w="1984" w:type="dxa"/>
            <w:shd w:val="clear" w:color="auto" w:fill="auto"/>
          </w:tcPr>
          <w:p w14:paraId="546C6AE2" w14:textId="148D821C"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2312</w:t>
            </w:r>
          </w:p>
        </w:tc>
        <w:tc>
          <w:tcPr>
            <w:tcW w:w="3544" w:type="dxa"/>
            <w:shd w:val="clear" w:color="auto" w:fill="auto"/>
          </w:tcPr>
          <w:p w14:paraId="5E4D4A5A" w14:textId="527CD535" w:rsidR="00B935BE" w:rsidRDefault="00B935BE" w:rsidP="002C5759">
            <w:pPr>
              <w:ind w:firstLine="720"/>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India</w:t>
            </w:r>
          </w:p>
        </w:tc>
      </w:tr>
      <w:tr w:rsidR="00B935BE" w:rsidRPr="0011454A" w14:paraId="19E16FAF"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7C627409" w14:textId="78863FBF" w:rsidR="00B935BE" w:rsidRPr="0011454A" w:rsidRDefault="00B935BE" w:rsidP="00B935BE">
            <w:pPr>
              <w:pStyle w:val="ListBullet"/>
              <w:numPr>
                <w:ilvl w:val="0"/>
                <w:numId w:val="0"/>
              </w:numPr>
              <w:ind w:firstLine="33"/>
              <w:rPr>
                <w:b w:val="0"/>
              </w:rPr>
            </w:pPr>
            <w:r>
              <w:rPr>
                <w:b w:val="0"/>
              </w:rPr>
              <w:t>Gates Foundation</w:t>
            </w:r>
          </w:p>
        </w:tc>
        <w:tc>
          <w:tcPr>
            <w:tcW w:w="1984" w:type="dxa"/>
            <w:shd w:val="clear" w:color="auto" w:fill="auto"/>
          </w:tcPr>
          <w:p w14:paraId="680A712E" w14:textId="514884E9"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3635</w:t>
            </w:r>
          </w:p>
        </w:tc>
        <w:tc>
          <w:tcPr>
            <w:tcW w:w="3544" w:type="dxa"/>
            <w:shd w:val="clear" w:color="auto" w:fill="auto"/>
          </w:tcPr>
          <w:p w14:paraId="73A4F1E9" w14:textId="5B77834B" w:rsidR="00B935BE" w:rsidRDefault="002C5759"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India</w:t>
            </w:r>
          </w:p>
        </w:tc>
      </w:tr>
      <w:tr w:rsidR="00B935BE" w:rsidRPr="0011454A" w14:paraId="5994CDD2"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59EB3A98" w14:textId="661FC8AB" w:rsidR="00B935BE" w:rsidRPr="0011454A" w:rsidRDefault="00B935BE" w:rsidP="00B935BE">
            <w:pPr>
              <w:pStyle w:val="ListBullet"/>
              <w:numPr>
                <w:ilvl w:val="0"/>
                <w:numId w:val="0"/>
              </w:numPr>
              <w:ind w:firstLine="33"/>
              <w:rPr>
                <w:b w:val="0"/>
              </w:rPr>
            </w:pPr>
            <w:r>
              <w:rPr>
                <w:b w:val="0"/>
              </w:rPr>
              <w:t>GAVI</w:t>
            </w:r>
          </w:p>
        </w:tc>
        <w:tc>
          <w:tcPr>
            <w:tcW w:w="1984" w:type="dxa"/>
            <w:shd w:val="clear" w:color="auto" w:fill="auto"/>
          </w:tcPr>
          <w:p w14:paraId="3033D1C8" w14:textId="6C6222C8"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1544</w:t>
            </w:r>
          </w:p>
        </w:tc>
        <w:tc>
          <w:tcPr>
            <w:tcW w:w="3544" w:type="dxa"/>
            <w:shd w:val="clear" w:color="auto" w:fill="auto"/>
          </w:tcPr>
          <w:p w14:paraId="4F03A319" w14:textId="506DBF05"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Pakistan</w:t>
            </w:r>
          </w:p>
        </w:tc>
      </w:tr>
      <w:tr w:rsidR="00B935BE" w:rsidRPr="0011454A" w14:paraId="1DE2F6B0"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24CD118D" w14:textId="0BDD4A9F" w:rsidR="00B935BE" w:rsidRPr="0011454A" w:rsidRDefault="00B935BE" w:rsidP="00B935BE">
            <w:pPr>
              <w:pStyle w:val="ListBullet"/>
              <w:numPr>
                <w:ilvl w:val="0"/>
                <w:numId w:val="0"/>
              </w:numPr>
              <w:ind w:firstLine="33"/>
              <w:rPr>
                <w:b w:val="0"/>
              </w:rPr>
            </w:pPr>
            <w:r>
              <w:rPr>
                <w:b w:val="0"/>
              </w:rPr>
              <w:t>Global Fund</w:t>
            </w:r>
          </w:p>
        </w:tc>
        <w:tc>
          <w:tcPr>
            <w:tcW w:w="1984" w:type="dxa"/>
            <w:shd w:val="clear" w:color="auto" w:fill="auto"/>
          </w:tcPr>
          <w:p w14:paraId="6A272476" w14:textId="438461E5"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4009</w:t>
            </w:r>
          </w:p>
        </w:tc>
        <w:tc>
          <w:tcPr>
            <w:tcW w:w="3544" w:type="dxa"/>
            <w:shd w:val="clear" w:color="auto" w:fill="auto"/>
          </w:tcPr>
          <w:p w14:paraId="7AAEC5B0" w14:textId="17EF896B" w:rsidR="00B935BE" w:rsidRDefault="002C5759"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India</w:t>
            </w:r>
          </w:p>
        </w:tc>
      </w:tr>
      <w:tr w:rsidR="00B935BE" w:rsidRPr="0011454A" w14:paraId="4417A8F3"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4AD0EF3" w14:textId="48AC6781" w:rsidR="00B935BE" w:rsidRPr="0011454A" w:rsidRDefault="00B935BE" w:rsidP="00B935BE">
            <w:pPr>
              <w:pStyle w:val="ListBullet"/>
              <w:numPr>
                <w:ilvl w:val="0"/>
                <w:numId w:val="0"/>
              </w:numPr>
              <w:ind w:firstLine="33"/>
              <w:rPr>
                <w:b w:val="0"/>
              </w:rPr>
            </w:pPr>
            <w:r>
              <w:rPr>
                <w:b w:val="0"/>
              </w:rPr>
              <w:t>IADB</w:t>
            </w:r>
          </w:p>
        </w:tc>
        <w:tc>
          <w:tcPr>
            <w:tcW w:w="1984" w:type="dxa"/>
            <w:shd w:val="clear" w:color="auto" w:fill="auto"/>
          </w:tcPr>
          <w:p w14:paraId="4E2329C9" w14:textId="190BAD7C"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9819</w:t>
            </w:r>
          </w:p>
        </w:tc>
        <w:tc>
          <w:tcPr>
            <w:tcW w:w="3544" w:type="dxa"/>
            <w:shd w:val="clear" w:color="auto" w:fill="auto"/>
          </w:tcPr>
          <w:p w14:paraId="3606F5FD" w14:textId="1A0C4067"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Mexico</w:t>
            </w:r>
          </w:p>
        </w:tc>
      </w:tr>
      <w:tr w:rsidR="00B935BE" w:rsidRPr="0011454A" w14:paraId="65B9F06B"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2D11DA1F" w14:textId="700B3DEB" w:rsidR="00B935BE" w:rsidRPr="0011454A" w:rsidRDefault="00B935BE" w:rsidP="00B935BE">
            <w:pPr>
              <w:pStyle w:val="ListBullet"/>
              <w:numPr>
                <w:ilvl w:val="0"/>
                <w:numId w:val="0"/>
              </w:numPr>
              <w:ind w:firstLine="33"/>
              <w:rPr>
                <w:b w:val="0"/>
              </w:rPr>
            </w:pPr>
            <w:r>
              <w:rPr>
                <w:b w:val="0"/>
              </w:rPr>
              <w:t>IMF</w:t>
            </w:r>
          </w:p>
        </w:tc>
        <w:tc>
          <w:tcPr>
            <w:tcW w:w="1984" w:type="dxa"/>
            <w:shd w:val="clear" w:color="auto" w:fill="auto"/>
          </w:tcPr>
          <w:p w14:paraId="20E99F32" w14:textId="7A535255"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1212</w:t>
            </w:r>
          </w:p>
        </w:tc>
        <w:tc>
          <w:tcPr>
            <w:tcW w:w="3544" w:type="dxa"/>
            <w:shd w:val="clear" w:color="auto" w:fill="auto"/>
          </w:tcPr>
          <w:p w14:paraId="3D8D0307" w14:textId="630F6357"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Bangladesh</w:t>
            </w:r>
          </w:p>
        </w:tc>
      </w:tr>
      <w:tr w:rsidR="00B935BE" w:rsidRPr="0011454A" w14:paraId="4864B154"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3A166150" w14:textId="698A91B8" w:rsidR="00B935BE" w:rsidRPr="0011454A" w:rsidRDefault="00B935BE" w:rsidP="00B935BE">
            <w:pPr>
              <w:pStyle w:val="ListBullet"/>
              <w:numPr>
                <w:ilvl w:val="0"/>
                <w:numId w:val="0"/>
              </w:numPr>
              <w:ind w:firstLine="33"/>
              <w:rPr>
                <w:b w:val="0"/>
              </w:rPr>
            </w:pPr>
            <w:r>
              <w:rPr>
                <w:b w:val="0"/>
              </w:rPr>
              <w:t>Ireland, Irish Aid</w:t>
            </w:r>
          </w:p>
        </w:tc>
        <w:tc>
          <w:tcPr>
            <w:tcW w:w="1984" w:type="dxa"/>
            <w:shd w:val="clear" w:color="auto" w:fill="auto"/>
          </w:tcPr>
          <w:p w14:paraId="079FFFF9" w14:textId="04053004"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534</w:t>
            </w:r>
          </w:p>
        </w:tc>
        <w:tc>
          <w:tcPr>
            <w:tcW w:w="3544" w:type="dxa"/>
            <w:shd w:val="clear" w:color="auto" w:fill="auto"/>
          </w:tcPr>
          <w:p w14:paraId="202BB8FE" w14:textId="6062FC16"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Mozambique</w:t>
            </w:r>
          </w:p>
        </w:tc>
      </w:tr>
      <w:tr w:rsidR="00B935BE" w:rsidRPr="0011454A" w14:paraId="0CD66F3D"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4D3DAA5D" w14:textId="77777777" w:rsidR="00B935BE" w:rsidRPr="0011454A" w:rsidRDefault="00B935BE" w:rsidP="00B935BE">
            <w:pPr>
              <w:pStyle w:val="ListBullet"/>
              <w:numPr>
                <w:ilvl w:val="0"/>
                <w:numId w:val="0"/>
              </w:numPr>
              <w:ind w:firstLine="33"/>
              <w:rPr>
                <w:b w:val="0"/>
              </w:rPr>
            </w:pPr>
            <w:r w:rsidRPr="0011454A">
              <w:rPr>
                <w:b w:val="0"/>
              </w:rPr>
              <w:t>Italy, Ministry of Foreign Affairs</w:t>
            </w:r>
          </w:p>
        </w:tc>
        <w:tc>
          <w:tcPr>
            <w:tcW w:w="1984" w:type="dxa"/>
            <w:shd w:val="clear" w:color="auto" w:fill="auto"/>
          </w:tcPr>
          <w:p w14:paraId="51BD8E8C" w14:textId="560FB9B5"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276</w:t>
            </w:r>
          </w:p>
        </w:tc>
        <w:tc>
          <w:tcPr>
            <w:tcW w:w="3544" w:type="dxa"/>
            <w:shd w:val="clear" w:color="auto" w:fill="auto"/>
          </w:tcPr>
          <w:p w14:paraId="701265C0"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B935BE" w:rsidRPr="0011454A" w14:paraId="7C801D33"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59784AA" w14:textId="59ED2171" w:rsidR="00B935BE" w:rsidRPr="0011454A" w:rsidRDefault="00B935BE" w:rsidP="00B935BE">
            <w:pPr>
              <w:pStyle w:val="ListBullet"/>
              <w:numPr>
                <w:ilvl w:val="0"/>
                <w:numId w:val="0"/>
              </w:numPr>
              <w:ind w:firstLine="33"/>
              <w:rPr>
                <w:b w:val="0"/>
              </w:rPr>
            </w:pPr>
            <w:r>
              <w:rPr>
                <w:b w:val="0"/>
              </w:rPr>
              <w:t>Japan, JICA</w:t>
            </w:r>
          </w:p>
        </w:tc>
        <w:tc>
          <w:tcPr>
            <w:tcW w:w="1984" w:type="dxa"/>
            <w:shd w:val="clear" w:color="auto" w:fill="auto"/>
          </w:tcPr>
          <w:p w14:paraId="70C92115" w14:textId="7928C5E3"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11509</w:t>
            </w:r>
          </w:p>
        </w:tc>
        <w:tc>
          <w:tcPr>
            <w:tcW w:w="3544" w:type="dxa"/>
            <w:shd w:val="clear" w:color="auto" w:fill="auto"/>
          </w:tcPr>
          <w:p w14:paraId="6F070CBA" w14:textId="1D45F34B"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Myanmar</w:t>
            </w:r>
          </w:p>
        </w:tc>
      </w:tr>
      <w:tr w:rsidR="00B935BE" w:rsidRPr="0011454A" w14:paraId="7EF76A46"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65B20E1D" w14:textId="2C3C8D80" w:rsidR="00B935BE" w:rsidRPr="0011454A" w:rsidRDefault="00B935BE" w:rsidP="00B935BE">
            <w:pPr>
              <w:pStyle w:val="ListBullet"/>
              <w:numPr>
                <w:ilvl w:val="0"/>
                <w:numId w:val="0"/>
              </w:numPr>
              <w:ind w:firstLine="33"/>
              <w:rPr>
                <w:b w:val="0"/>
              </w:rPr>
            </w:pPr>
            <w:r>
              <w:rPr>
                <w:b w:val="0"/>
              </w:rPr>
              <w:t>Japan, MOFA</w:t>
            </w:r>
          </w:p>
        </w:tc>
        <w:tc>
          <w:tcPr>
            <w:tcW w:w="1984" w:type="dxa"/>
            <w:shd w:val="clear" w:color="auto" w:fill="auto"/>
          </w:tcPr>
          <w:p w14:paraId="7AD44C91" w14:textId="2A0D410A"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7643</w:t>
            </w:r>
          </w:p>
        </w:tc>
        <w:tc>
          <w:tcPr>
            <w:tcW w:w="3544" w:type="dxa"/>
            <w:shd w:val="clear" w:color="auto" w:fill="auto"/>
          </w:tcPr>
          <w:p w14:paraId="3D8A554E" w14:textId="1F933ADF"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Myanmar</w:t>
            </w:r>
          </w:p>
        </w:tc>
      </w:tr>
      <w:tr w:rsidR="00B935BE" w:rsidRPr="0011454A" w14:paraId="3DE8F31B"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7FED2222" w14:textId="5984F8CB" w:rsidR="00B935BE" w:rsidRPr="0011454A" w:rsidRDefault="00B935BE" w:rsidP="00B935BE">
            <w:pPr>
              <w:pStyle w:val="ListBullet"/>
              <w:numPr>
                <w:ilvl w:val="0"/>
                <w:numId w:val="0"/>
              </w:numPr>
              <w:ind w:firstLine="33"/>
              <w:rPr>
                <w:b w:val="0"/>
              </w:rPr>
            </w:pPr>
            <w:r>
              <w:rPr>
                <w:b w:val="0"/>
              </w:rPr>
              <w:t>Korea, KOICA</w:t>
            </w:r>
          </w:p>
        </w:tc>
        <w:tc>
          <w:tcPr>
            <w:tcW w:w="1984" w:type="dxa"/>
            <w:shd w:val="clear" w:color="auto" w:fill="auto"/>
          </w:tcPr>
          <w:p w14:paraId="4743685D" w14:textId="5D496D9E"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477</w:t>
            </w:r>
          </w:p>
        </w:tc>
        <w:tc>
          <w:tcPr>
            <w:tcW w:w="3544" w:type="dxa"/>
            <w:shd w:val="clear" w:color="auto" w:fill="auto"/>
          </w:tcPr>
          <w:p w14:paraId="000794ED" w14:textId="6E464072"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Vietnam</w:t>
            </w:r>
          </w:p>
        </w:tc>
      </w:tr>
      <w:tr w:rsidR="00B935BE" w:rsidRPr="0011454A" w14:paraId="7310F0E4"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9762DA3" w14:textId="77777777" w:rsidR="00B935BE" w:rsidRPr="0011454A" w:rsidRDefault="00B935BE" w:rsidP="00B935BE">
            <w:pPr>
              <w:pStyle w:val="ListBullet"/>
              <w:numPr>
                <w:ilvl w:val="0"/>
                <w:numId w:val="0"/>
              </w:numPr>
              <w:ind w:firstLine="33"/>
              <w:rPr>
                <w:b w:val="0"/>
              </w:rPr>
            </w:pPr>
            <w:r w:rsidRPr="0011454A">
              <w:rPr>
                <w:b w:val="0"/>
              </w:rPr>
              <w:t>Netherlands, Ministry of Foreign Affairs</w:t>
            </w:r>
          </w:p>
        </w:tc>
        <w:tc>
          <w:tcPr>
            <w:tcW w:w="1984" w:type="dxa"/>
            <w:shd w:val="clear" w:color="auto" w:fill="auto"/>
          </w:tcPr>
          <w:p w14:paraId="65C17BB6" w14:textId="6878A224"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3825</w:t>
            </w:r>
          </w:p>
        </w:tc>
        <w:tc>
          <w:tcPr>
            <w:tcW w:w="3544" w:type="dxa"/>
            <w:shd w:val="clear" w:color="auto" w:fill="auto"/>
          </w:tcPr>
          <w:p w14:paraId="4AB3E97B"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B935BE" w:rsidRPr="0011454A" w14:paraId="7A983652"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38AB4943" w14:textId="1D79858A" w:rsidR="00B935BE" w:rsidRPr="0011454A" w:rsidRDefault="00B935BE" w:rsidP="00B935BE">
            <w:pPr>
              <w:pStyle w:val="ListBullet"/>
              <w:numPr>
                <w:ilvl w:val="0"/>
                <w:numId w:val="0"/>
              </w:numPr>
              <w:ind w:firstLine="33"/>
              <w:rPr>
                <w:b w:val="0"/>
              </w:rPr>
            </w:pPr>
            <w:r>
              <w:rPr>
                <w:b w:val="0"/>
              </w:rPr>
              <w:t>Norway, MFA</w:t>
            </w:r>
          </w:p>
        </w:tc>
        <w:tc>
          <w:tcPr>
            <w:tcW w:w="1984" w:type="dxa"/>
            <w:shd w:val="clear" w:color="auto" w:fill="auto"/>
          </w:tcPr>
          <w:p w14:paraId="1E2651A7" w14:textId="5A04CBB5"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4137</w:t>
            </w:r>
          </w:p>
        </w:tc>
        <w:tc>
          <w:tcPr>
            <w:tcW w:w="3544" w:type="dxa"/>
            <w:shd w:val="clear" w:color="auto" w:fill="auto"/>
          </w:tcPr>
          <w:p w14:paraId="3F1743FE" w14:textId="330B0CD2" w:rsidR="00B935BE" w:rsidRDefault="002C5759"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Brazil</w:t>
            </w:r>
          </w:p>
        </w:tc>
      </w:tr>
      <w:tr w:rsidR="00B935BE" w:rsidRPr="0011454A" w14:paraId="7D064876"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6BF65988" w14:textId="77777777" w:rsidR="00B935BE" w:rsidRPr="0011454A" w:rsidRDefault="00B935BE" w:rsidP="00B935BE">
            <w:pPr>
              <w:pStyle w:val="ListBullet"/>
              <w:numPr>
                <w:ilvl w:val="0"/>
                <w:numId w:val="0"/>
              </w:numPr>
              <w:ind w:firstLine="33"/>
              <w:rPr>
                <w:b w:val="0"/>
              </w:rPr>
            </w:pPr>
            <w:r w:rsidRPr="0011454A">
              <w:rPr>
                <w:b w:val="0"/>
              </w:rPr>
              <w:t xml:space="preserve">Spain, Ministry of Foreign Affairs </w:t>
            </w:r>
            <w:r>
              <w:rPr>
                <w:b w:val="0"/>
              </w:rPr>
              <w:t>and International Cooperation</w:t>
            </w:r>
          </w:p>
        </w:tc>
        <w:tc>
          <w:tcPr>
            <w:tcW w:w="1984" w:type="dxa"/>
            <w:shd w:val="clear" w:color="auto" w:fill="auto"/>
          </w:tcPr>
          <w:p w14:paraId="64D5963D" w14:textId="0507D106"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639</w:t>
            </w:r>
          </w:p>
        </w:tc>
        <w:tc>
          <w:tcPr>
            <w:tcW w:w="3544" w:type="dxa"/>
            <w:shd w:val="clear" w:color="auto" w:fill="auto"/>
          </w:tcPr>
          <w:p w14:paraId="70F18849"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Peru</w:t>
            </w:r>
          </w:p>
        </w:tc>
      </w:tr>
      <w:tr w:rsidR="00B935BE" w:rsidRPr="0011454A" w14:paraId="626087D3"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7516BF17" w14:textId="77777777" w:rsidR="00B935BE" w:rsidRPr="0011454A" w:rsidRDefault="00B935BE" w:rsidP="00B935BE">
            <w:pPr>
              <w:pStyle w:val="ListBullet"/>
              <w:numPr>
                <w:ilvl w:val="0"/>
                <w:numId w:val="0"/>
              </w:numPr>
              <w:ind w:firstLine="33"/>
              <w:rPr>
                <w:b w:val="0"/>
              </w:rPr>
            </w:pPr>
            <w:r>
              <w:rPr>
                <w:b w:val="0"/>
              </w:rPr>
              <w:t>Sweden, Ministry of Foreign Affairs – Swedish Development Agency</w:t>
            </w:r>
          </w:p>
        </w:tc>
        <w:tc>
          <w:tcPr>
            <w:tcW w:w="1984" w:type="dxa"/>
            <w:shd w:val="clear" w:color="auto" w:fill="auto"/>
          </w:tcPr>
          <w:p w14:paraId="04ADC8AD" w14:textId="17EA86BC"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3772</w:t>
            </w:r>
          </w:p>
        </w:tc>
        <w:tc>
          <w:tcPr>
            <w:tcW w:w="3544" w:type="dxa"/>
            <w:shd w:val="clear" w:color="auto" w:fill="auto"/>
          </w:tcPr>
          <w:p w14:paraId="19F836F1"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Mozambique</w:t>
            </w:r>
          </w:p>
        </w:tc>
      </w:tr>
      <w:tr w:rsidR="00B935BE" w:rsidRPr="0011454A" w14:paraId="3A170E50"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729AAD4C" w14:textId="218CF140" w:rsidR="00B935BE" w:rsidRDefault="00B935BE" w:rsidP="00B935BE">
            <w:pPr>
              <w:pStyle w:val="ListBullet"/>
              <w:numPr>
                <w:ilvl w:val="0"/>
                <w:numId w:val="0"/>
              </w:numPr>
              <w:ind w:firstLine="33"/>
              <w:rPr>
                <w:b w:val="0"/>
              </w:rPr>
            </w:pPr>
            <w:r>
              <w:rPr>
                <w:b w:val="0"/>
              </w:rPr>
              <w:t>Switzerland, SDC</w:t>
            </w:r>
          </w:p>
        </w:tc>
        <w:tc>
          <w:tcPr>
            <w:tcW w:w="1984" w:type="dxa"/>
            <w:shd w:val="clear" w:color="auto" w:fill="auto"/>
          </w:tcPr>
          <w:p w14:paraId="32F72150" w14:textId="370FE417"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1440</w:t>
            </w:r>
          </w:p>
        </w:tc>
        <w:tc>
          <w:tcPr>
            <w:tcW w:w="3544" w:type="dxa"/>
            <w:shd w:val="clear" w:color="auto" w:fill="auto"/>
          </w:tcPr>
          <w:p w14:paraId="4DC5D8B2" w14:textId="49F799D2" w:rsidR="00B935BE" w:rsidRDefault="002C5759"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Nepal</w:t>
            </w:r>
          </w:p>
        </w:tc>
      </w:tr>
      <w:tr w:rsidR="00B935BE" w:rsidRPr="0011454A" w14:paraId="535670B9"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4E796F5F" w14:textId="510EB3CB" w:rsidR="00B935BE" w:rsidRDefault="00B935BE" w:rsidP="00B935BE">
            <w:pPr>
              <w:pStyle w:val="ListBullet"/>
              <w:numPr>
                <w:ilvl w:val="0"/>
                <w:numId w:val="0"/>
              </w:numPr>
              <w:ind w:firstLine="33"/>
              <w:rPr>
                <w:b w:val="0"/>
              </w:rPr>
            </w:pPr>
            <w:r>
              <w:rPr>
                <w:b w:val="0"/>
              </w:rPr>
              <w:t>United Arab Emirates, Department of finance</w:t>
            </w:r>
          </w:p>
        </w:tc>
        <w:tc>
          <w:tcPr>
            <w:tcW w:w="1984" w:type="dxa"/>
            <w:shd w:val="clear" w:color="auto" w:fill="auto"/>
          </w:tcPr>
          <w:p w14:paraId="23B267DB" w14:textId="3C145B32"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2644</w:t>
            </w:r>
          </w:p>
        </w:tc>
        <w:tc>
          <w:tcPr>
            <w:tcW w:w="3544" w:type="dxa"/>
            <w:shd w:val="clear" w:color="auto" w:fill="auto"/>
          </w:tcPr>
          <w:p w14:paraId="0E46F5F5" w14:textId="3AD4FCB5" w:rsidR="00B935BE" w:rsidRDefault="002C5759"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Jordan</w:t>
            </w:r>
          </w:p>
        </w:tc>
      </w:tr>
      <w:tr w:rsidR="00B935BE" w:rsidRPr="0011454A" w14:paraId="5C113B8D"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2C47A669" w14:textId="77777777" w:rsidR="00B935BE" w:rsidRPr="0011454A" w:rsidRDefault="00B935BE" w:rsidP="00B935BE">
            <w:pPr>
              <w:pStyle w:val="ListBullet"/>
              <w:numPr>
                <w:ilvl w:val="0"/>
                <w:numId w:val="0"/>
              </w:numPr>
              <w:ind w:firstLine="33"/>
              <w:rPr>
                <w:b w:val="0"/>
              </w:rPr>
            </w:pPr>
            <w:r w:rsidRPr="0011454A">
              <w:rPr>
                <w:b w:val="0"/>
              </w:rPr>
              <w:t xml:space="preserve">United Kingdom, Department for International Development </w:t>
            </w:r>
          </w:p>
        </w:tc>
        <w:tc>
          <w:tcPr>
            <w:tcW w:w="1984" w:type="dxa"/>
            <w:shd w:val="clear" w:color="auto" w:fill="auto"/>
          </w:tcPr>
          <w:p w14:paraId="53C7CE2E" w14:textId="77AE16E6"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9090</w:t>
            </w:r>
          </w:p>
        </w:tc>
        <w:tc>
          <w:tcPr>
            <w:tcW w:w="3544" w:type="dxa"/>
            <w:shd w:val="clear" w:color="auto" w:fill="auto"/>
          </w:tcPr>
          <w:p w14:paraId="333D91DB"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Ethiopia</w:t>
            </w:r>
          </w:p>
        </w:tc>
      </w:tr>
      <w:tr w:rsidR="00B935BE" w:rsidRPr="0011454A" w14:paraId="1CEA9EE9"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C266485" w14:textId="77777777" w:rsidR="00B935BE" w:rsidRPr="0011454A" w:rsidRDefault="00B935BE" w:rsidP="00B935BE">
            <w:pPr>
              <w:pStyle w:val="ListBullet"/>
              <w:numPr>
                <w:ilvl w:val="0"/>
                <w:numId w:val="0"/>
              </w:numPr>
              <w:ind w:firstLine="33"/>
              <w:rPr>
                <w:b w:val="0"/>
              </w:rPr>
            </w:pPr>
            <w:r w:rsidRPr="0011454A">
              <w:rPr>
                <w:b w:val="0"/>
              </w:rPr>
              <w:t xml:space="preserve">United States Agency for International Development </w:t>
            </w:r>
          </w:p>
        </w:tc>
        <w:tc>
          <w:tcPr>
            <w:tcW w:w="1984" w:type="dxa"/>
            <w:shd w:val="clear" w:color="auto" w:fill="auto"/>
          </w:tcPr>
          <w:p w14:paraId="07EB030F" w14:textId="6CB17FDF"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15899</w:t>
            </w:r>
          </w:p>
        </w:tc>
        <w:tc>
          <w:tcPr>
            <w:tcW w:w="3544" w:type="dxa"/>
            <w:shd w:val="clear" w:color="auto" w:fill="auto"/>
          </w:tcPr>
          <w:p w14:paraId="5DE10787"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Afghanistan</w:t>
            </w:r>
          </w:p>
        </w:tc>
      </w:tr>
      <w:tr w:rsidR="00B935BE" w:rsidRPr="0011454A" w14:paraId="6949D468"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6FDF1474" w14:textId="77777777" w:rsidR="00B935BE" w:rsidRPr="0011454A" w:rsidRDefault="00B935BE" w:rsidP="00B935BE">
            <w:pPr>
              <w:pStyle w:val="ListBullet"/>
              <w:numPr>
                <w:ilvl w:val="0"/>
                <w:numId w:val="0"/>
              </w:numPr>
              <w:ind w:firstLine="33"/>
              <w:rPr>
                <w:b w:val="0"/>
              </w:rPr>
            </w:pPr>
            <w:r w:rsidRPr="0011454A">
              <w:rPr>
                <w:b w:val="0"/>
              </w:rPr>
              <w:t xml:space="preserve">United States, Department of Defense </w:t>
            </w:r>
          </w:p>
        </w:tc>
        <w:tc>
          <w:tcPr>
            <w:tcW w:w="1984" w:type="dxa"/>
            <w:shd w:val="clear" w:color="auto" w:fill="auto"/>
          </w:tcPr>
          <w:p w14:paraId="5C208EBD" w14:textId="708373D6"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374</w:t>
            </w:r>
          </w:p>
        </w:tc>
        <w:tc>
          <w:tcPr>
            <w:tcW w:w="3544" w:type="dxa"/>
            <w:shd w:val="clear" w:color="auto" w:fill="auto"/>
          </w:tcPr>
          <w:p w14:paraId="6810D860"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B935BE" w:rsidRPr="0011454A" w14:paraId="4B5A562F"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50668B72" w14:textId="77777777" w:rsidR="00B935BE" w:rsidRPr="0011454A" w:rsidRDefault="00B935BE" w:rsidP="00B935BE">
            <w:pPr>
              <w:pStyle w:val="ListBullet"/>
              <w:numPr>
                <w:ilvl w:val="0"/>
                <w:numId w:val="0"/>
              </w:numPr>
              <w:ind w:firstLine="33"/>
              <w:rPr>
                <w:b w:val="0"/>
              </w:rPr>
            </w:pPr>
            <w:r w:rsidRPr="0011454A">
              <w:rPr>
                <w:b w:val="0"/>
              </w:rPr>
              <w:lastRenderedPageBreak/>
              <w:t>United States, Department of State</w:t>
            </w:r>
          </w:p>
        </w:tc>
        <w:tc>
          <w:tcPr>
            <w:tcW w:w="1984" w:type="dxa"/>
            <w:shd w:val="clear" w:color="auto" w:fill="auto"/>
          </w:tcPr>
          <w:p w14:paraId="09008350" w14:textId="7DFFD33F"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4352</w:t>
            </w:r>
          </w:p>
        </w:tc>
        <w:tc>
          <w:tcPr>
            <w:tcW w:w="3544" w:type="dxa"/>
            <w:shd w:val="clear" w:color="auto" w:fill="auto"/>
          </w:tcPr>
          <w:p w14:paraId="73BA40F1"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Afghanistan</w:t>
            </w:r>
          </w:p>
        </w:tc>
      </w:tr>
      <w:tr w:rsidR="00B935BE" w:rsidRPr="0011454A" w14:paraId="1A97287B"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63A933FF" w14:textId="77777777" w:rsidR="00B935BE" w:rsidRPr="0011454A" w:rsidRDefault="00B935BE" w:rsidP="00B935BE">
            <w:pPr>
              <w:pStyle w:val="ListBullet"/>
              <w:numPr>
                <w:ilvl w:val="0"/>
                <w:numId w:val="0"/>
              </w:numPr>
              <w:ind w:firstLine="33"/>
              <w:rPr>
                <w:b w:val="0"/>
              </w:rPr>
            </w:pPr>
            <w:r w:rsidRPr="0011454A">
              <w:rPr>
                <w:b w:val="0"/>
              </w:rPr>
              <w:t xml:space="preserve">United States, Department of the Treasury </w:t>
            </w:r>
          </w:p>
        </w:tc>
        <w:tc>
          <w:tcPr>
            <w:tcW w:w="1984" w:type="dxa"/>
            <w:shd w:val="clear" w:color="auto" w:fill="auto"/>
          </w:tcPr>
          <w:p w14:paraId="6D3C9F31" w14:textId="5A58177D"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162</w:t>
            </w:r>
          </w:p>
        </w:tc>
        <w:tc>
          <w:tcPr>
            <w:tcW w:w="3544" w:type="dxa"/>
            <w:shd w:val="clear" w:color="auto" w:fill="auto"/>
          </w:tcPr>
          <w:p w14:paraId="49B407AC" w14:textId="77777777"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Cambodia</w:t>
            </w:r>
          </w:p>
        </w:tc>
      </w:tr>
      <w:tr w:rsidR="00B935BE" w:rsidRPr="0011454A" w14:paraId="082D1A71"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33F8A5BD" w14:textId="77777777" w:rsidR="00B935BE" w:rsidRPr="0011454A" w:rsidRDefault="00B935BE" w:rsidP="00B935BE">
            <w:pPr>
              <w:pStyle w:val="ListBullet"/>
              <w:numPr>
                <w:ilvl w:val="0"/>
                <w:numId w:val="0"/>
              </w:numPr>
              <w:ind w:firstLine="33"/>
              <w:rPr>
                <w:b w:val="0"/>
              </w:rPr>
            </w:pPr>
            <w:r w:rsidRPr="0011454A">
              <w:rPr>
                <w:b w:val="0"/>
              </w:rPr>
              <w:t xml:space="preserve">United States, Millennium Challenge Corporation </w:t>
            </w:r>
          </w:p>
        </w:tc>
        <w:tc>
          <w:tcPr>
            <w:tcW w:w="1984" w:type="dxa"/>
            <w:shd w:val="clear" w:color="auto" w:fill="auto"/>
          </w:tcPr>
          <w:p w14:paraId="64FB2032" w14:textId="0089FD24"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1681</w:t>
            </w:r>
          </w:p>
        </w:tc>
        <w:tc>
          <w:tcPr>
            <w:tcW w:w="3544" w:type="dxa"/>
            <w:shd w:val="clear" w:color="auto" w:fill="auto"/>
          </w:tcPr>
          <w:p w14:paraId="110F0485" w14:textId="77777777" w:rsidR="00B935BE" w:rsidRPr="0011454A"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Tanzania</w:t>
            </w:r>
          </w:p>
        </w:tc>
      </w:tr>
      <w:tr w:rsidR="00B935BE" w:rsidRPr="0011454A" w14:paraId="32BBEF75"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455C1666" w14:textId="77777777" w:rsidR="00B935BE" w:rsidRPr="0011454A" w:rsidRDefault="00B935BE" w:rsidP="00B935BE">
            <w:pPr>
              <w:pStyle w:val="ListBullet"/>
              <w:numPr>
                <w:ilvl w:val="0"/>
                <w:numId w:val="0"/>
              </w:numPr>
              <w:ind w:firstLine="33"/>
              <w:rPr>
                <w:b w:val="0"/>
              </w:rPr>
            </w:pPr>
            <w:r w:rsidRPr="0011454A">
              <w:rPr>
                <w:b w:val="0"/>
              </w:rPr>
              <w:t xml:space="preserve">United States, President’s Emergency Plan for AIDS Relief </w:t>
            </w:r>
          </w:p>
        </w:tc>
        <w:tc>
          <w:tcPr>
            <w:tcW w:w="1984" w:type="dxa"/>
            <w:shd w:val="clear" w:color="auto" w:fill="auto"/>
          </w:tcPr>
          <w:p w14:paraId="78D42D7B" w14:textId="48C102AD" w:rsidR="00B935BE" w:rsidRPr="0011454A"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6639</w:t>
            </w:r>
          </w:p>
        </w:tc>
        <w:tc>
          <w:tcPr>
            <w:tcW w:w="3544" w:type="dxa"/>
            <w:shd w:val="clear" w:color="auto" w:fill="auto"/>
          </w:tcPr>
          <w:p w14:paraId="7EE1AD22" w14:textId="1AAB6F9D" w:rsidR="00B935BE" w:rsidRPr="0011454A" w:rsidRDefault="002C5759"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Kenya</w:t>
            </w:r>
          </w:p>
        </w:tc>
      </w:tr>
      <w:tr w:rsidR="00B935BE" w:rsidRPr="0011454A" w14:paraId="11493E97"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41C89D6F" w14:textId="73FB6EF1" w:rsidR="00B935BE" w:rsidRPr="0011454A" w:rsidRDefault="00B935BE" w:rsidP="00B935BE">
            <w:pPr>
              <w:pStyle w:val="ListBullet"/>
              <w:numPr>
                <w:ilvl w:val="0"/>
                <w:numId w:val="0"/>
              </w:numPr>
              <w:ind w:firstLine="33"/>
              <w:rPr>
                <w:b w:val="0"/>
              </w:rPr>
            </w:pPr>
            <w:r>
              <w:rPr>
                <w:b w:val="0"/>
              </w:rPr>
              <w:t>UN OCHA</w:t>
            </w:r>
          </w:p>
        </w:tc>
        <w:tc>
          <w:tcPr>
            <w:tcW w:w="1984" w:type="dxa"/>
            <w:shd w:val="clear" w:color="auto" w:fill="auto"/>
          </w:tcPr>
          <w:p w14:paraId="484C8816" w14:textId="0FDC1554"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865</w:t>
            </w:r>
          </w:p>
        </w:tc>
        <w:tc>
          <w:tcPr>
            <w:tcW w:w="3544" w:type="dxa"/>
            <w:shd w:val="clear" w:color="auto" w:fill="auto"/>
          </w:tcPr>
          <w:p w14:paraId="3B0D88E3" w14:textId="52EF7DF4" w:rsidR="00B935BE" w:rsidRDefault="002C5759"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Syria</w:t>
            </w:r>
          </w:p>
        </w:tc>
      </w:tr>
      <w:tr w:rsidR="00B935BE" w:rsidRPr="0011454A" w14:paraId="02DF8AA1"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1AC4C104" w14:textId="54D5E28F" w:rsidR="00B935BE" w:rsidRDefault="00B935BE" w:rsidP="00B935BE">
            <w:pPr>
              <w:pStyle w:val="ListBullet"/>
              <w:numPr>
                <w:ilvl w:val="0"/>
                <w:numId w:val="0"/>
              </w:numPr>
              <w:ind w:firstLine="33"/>
              <w:rPr>
                <w:b w:val="0"/>
              </w:rPr>
            </w:pPr>
            <w:r>
              <w:rPr>
                <w:b w:val="0"/>
              </w:rPr>
              <w:t>UNDP</w:t>
            </w:r>
          </w:p>
        </w:tc>
        <w:tc>
          <w:tcPr>
            <w:tcW w:w="1984" w:type="dxa"/>
            <w:shd w:val="clear" w:color="auto" w:fill="auto"/>
          </w:tcPr>
          <w:p w14:paraId="092D77B8" w14:textId="2C6157E7"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468</w:t>
            </w:r>
          </w:p>
        </w:tc>
        <w:tc>
          <w:tcPr>
            <w:tcW w:w="3544" w:type="dxa"/>
            <w:shd w:val="clear" w:color="auto" w:fill="auto"/>
          </w:tcPr>
          <w:p w14:paraId="30568957" w14:textId="48BFD0B5" w:rsidR="00B935BE" w:rsidRDefault="002C5759"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Bangladesh</w:t>
            </w:r>
          </w:p>
        </w:tc>
      </w:tr>
      <w:tr w:rsidR="00B935BE" w:rsidRPr="0011454A" w14:paraId="2FE7CE8C"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22028C28" w14:textId="6AEB968A" w:rsidR="00B935BE" w:rsidRDefault="00B935BE" w:rsidP="00B935BE">
            <w:pPr>
              <w:pStyle w:val="ListBullet"/>
              <w:numPr>
                <w:ilvl w:val="0"/>
                <w:numId w:val="0"/>
              </w:numPr>
              <w:ind w:firstLine="33"/>
              <w:rPr>
                <w:b w:val="0"/>
              </w:rPr>
            </w:pPr>
            <w:r>
              <w:rPr>
                <w:b w:val="0"/>
              </w:rPr>
              <w:t>UNICEF</w:t>
            </w:r>
          </w:p>
        </w:tc>
        <w:tc>
          <w:tcPr>
            <w:tcW w:w="1984" w:type="dxa"/>
            <w:shd w:val="clear" w:color="auto" w:fill="auto"/>
          </w:tcPr>
          <w:p w14:paraId="56C79BA5" w14:textId="6AFB297C"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1252</w:t>
            </w:r>
          </w:p>
        </w:tc>
        <w:tc>
          <w:tcPr>
            <w:tcW w:w="3544" w:type="dxa"/>
            <w:shd w:val="clear" w:color="auto" w:fill="auto"/>
          </w:tcPr>
          <w:p w14:paraId="42AADCDC" w14:textId="01B68C25" w:rsidR="00B935BE" w:rsidRDefault="002C5759"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Nigeria</w:t>
            </w:r>
          </w:p>
        </w:tc>
      </w:tr>
      <w:tr w:rsidR="00B935BE" w:rsidRPr="0011454A" w14:paraId="3360B272" w14:textId="77777777" w:rsidTr="00AB1C76">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41ACDCFB" w14:textId="1FAA8746" w:rsidR="00B935BE" w:rsidRDefault="00B935BE" w:rsidP="00B935BE">
            <w:pPr>
              <w:pStyle w:val="ListBullet"/>
              <w:numPr>
                <w:ilvl w:val="0"/>
                <w:numId w:val="0"/>
              </w:numPr>
              <w:ind w:firstLine="33"/>
              <w:rPr>
                <w:b w:val="0"/>
              </w:rPr>
            </w:pPr>
            <w:r>
              <w:rPr>
                <w:b w:val="0"/>
              </w:rPr>
              <w:t>World Bank, IDA</w:t>
            </w:r>
          </w:p>
        </w:tc>
        <w:tc>
          <w:tcPr>
            <w:tcW w:w="1984" w:type="dxa"/>
            <w:shd w:val="clear" w:color="auto" w:fill="auto"/>
          </w:tcPr>
          <w:p w14:paraId="1FA661C0" w14:textId="6C144352" w:rsidR="00B935BE" w:rsidRDefault="00B935BE"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12307</w:t>
            </w:r>
          </w:p>
        </w:tc>
        <w:tc>
          <w:tcPr>
            <w:tcW w:w="3544" w:type="dxa"/>
            <w:shd w:val="clear" w:color="auto" w:fill="auto"/>
          </w:tcPr>
          <w:p w14:paraId="4D00D10D" w14:textId="3DE596F4" w:rsidR="00B935BE" w:rsidRDefault="002C5759" w:rsidP="002C575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Vietnam</w:t>
            </w:r>
          </w:p>
        </w:tc>
      </w:tr>
      <w:tr w:rsidR="00B935BE" w:rsidRPr="0011454A" w14:paraId="49A11B00" w14:textId="77777777" w:rsidTr="00AB1C76">
        <w:trPr>
          <w:trHeight w:val="141"/>
        </w:trPr>
        <w:tc>
          <w:tcPr>
            <w:cnfStyle w:val="001000000000" w:firstRow="0" w:lastRow="0" w:firstColumn="1" w:lastColumn="0" w:oddVBand="0" w:evenVBand="0" w:oddHBand="0" w:evenHBand="0" w:firstRowFirstColumn="0" w:firstRowLastColumn="0" w:lastRowFirstColumn="0" w:lastRowLastColumn="0"/>
            <w:tcW w:w="7542" w:type="dxa"/>
            <w:shd w:val="clear" w:color="auto" w:fill="auto"/>
          </w:tcPr>
          <w:p w14:paraId="306D4287" w14:textId="4495BE7E" w:rsidR="00B935BE" w:rsidRDefault="00B935BE" w:rsidP="00B935BE">
            <w:pPr>
              <w:pStyle w:val="ListBullet"/>
              <w:numPr>
                <w:ilvl w:val="0"/>
                <w:numId w:val="0"/>
              </w:numPr>
              <w:ind w:firstLine="33"/>
              <w:rPr>
                <w:b w:val="0"/>
              </w:rPr>
            </w:pPr>
            <w:r>
              <w:rPr>
                <w:b w:val="0"/>
              </w:rPr>
              <w:t>World Bank, IFC</w:t>
            </w:r>
          </w:p>
        </w:tc>
        <w:tc>
          <w:tcPr>
            <w:tcW w:w="1984" w:type="dxa"/>
            <w:shd w:val="clear" w:color="auto" w:fill="auto"/>
          </w:tcPr>
          <w:p w14:paraId="6A9E0630" w14:textId="3FB9CC67" w:rsidR="00B935BE" w:rsidRDefault="00B935BE"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22404</w:t>
            </w:r>
          </w:p>
        </w:tc>
        <w:tc>
          <w:tcPr>
            <w:tcW w:w="3544" w:type="dxa"/>
            <w:shd w:val="clear" w:color="auto" w:fill="auto"/>
          </w:tcPr>
          <w:p w14:paraId="4B6054C6" w14:textId="2BDCDBF8" w:rsidR="00B935BE" w:rsidRDefault="002C5759" w:rsidP="002C575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India</w:t>
            </w:r>
          </w:p>
        </w:tc>
      </w:tr>
    </w:tbl>
    <w:p w14:paraId="6EDE29F4" w14:textId="77777777" w:rsidR="001036CF" w:rsidRDefault="001036CF" w:rsidP="00935A49">
      <w:pPr>
        <w:pStyle w:val="Heading4"/>
        <w:spacing w:before="0" w:line="240" w:lineRule="auto"/>
        <w:rPr>
          <w:rFonts w:ascii="Cambria" w:eastAsia="Calibri" w:hAnsi="Cambria" w:cs="Times New Roman"/>
          <w:i w:val="0"/>
          <w:iCs w:val="0"/>
          <w:color w:val="4F81BD"/>
          <w:sz w:val="28"/>
          <w:szCs w:val="26"/>
        </w:rPr>
      </w:pPr>
    </w:p>
    <w:p w14:paraId="5BFC564C" w14:textId="77777777" w:rsidR="009F49BC" w:rsidRDefault="009F49BC">
      <w:pPr>
        <w:rPr>
          <w:rFonts w:ascii="Cambria" w:eastAsiaTheme="majorEastAsia" w:hAnsi="Cambria" w:cstheme="majorBidi"/>
          <w:b/>
          <w:bCs/>
          <w:iCs/>
          <w:color w:val="4F81BD" w:themeColor="accent1"/>
        </w:rPr>
      </w:pPr>
      <w:r>
        <w:rPr>
          <w:rFonts w:eastAsiaTheme="majorEastAsia" w:cstheme="majorBidi"/>
          <w:b/>
          <w:bCs/>
          <w:iCs/>
          <w:color w:val="4F81BD" w:themeColor="accent1"/>
        </w:rPr>
        <w:br w:type="page"/>
      </w:r>
    </w:p>
    <w:p w14:paraId="7A8787BC" w14:textId="77777777" w:rsidR="000445AB" w:rsidRDefault="000445AB" w:rsidP="00652983">
      <w:pPr>
        <w:pStyle w:val="Heading1"/>
        <w:pBdr>
          <w:bottom w:val="single" w:sz="4" w:space="1" w:color="auto"/>
        </w:pBdr>
        <w:spacing w:before="0" w:line="240" w:lineRule="auto"/>
        <w:rPr>
          <w:sz w:val="36"/>
        </w:rPr>
        <w:sectPr w:rsidR="000445AB" w:rsidSect="002B2AC5">
          <w:pgSz w:w="16838" w:h="11906" w:orient="landscape"/>
          <w:pgMar w:top="1021" w:right="1021" w:bottom="1021" w:left="1021" w:header="709" w:footer="459" w:gutter="0"/>
          <w:cols w:space="708"/>
          <w:docGrid w:linePitch="360"/>
        </w:sectPr>
      </w:pPr>
    </w:p>
    <w:p w14:paraId="3C6F273E" w14:textId="77777777" w:rsidR="000B21F7" w:rsidRPr="000445AB" w:rsidRDefault="00F95552" w:rsidP="00F95552">
      <w:pPr>
        <w:pStyle w:val="Heading1"/>
        <w:pBdr>
          <w:bottom w:val="single" w:sz="4" w:space="1" w:color="auto"/>
        </w:pBdr>
        <w:spacing w:before="0" w:line="240" w:lineRule="auto"/>
        <w:rPr>
          <w:sz w:val="36"/>
        </w:rPr>
      </w:pPr>
      <w:bookmarkStart w:id="12" w:name="_Toc416100911"/>
      <w:r>
        <w:rPr>
          <w:sz w:val="36"/>
        </w:rPr>
        <w:lastRenderedPageBreak/>
        <w:t xml:space="preserve">Section 2. </w:t>
      </w:r>
      <w:r w:rsidR="00251C40" w:rsidRPr="000445AB">
        <w:rPr>
          <w:sz w:val="36"/>
        </w:rPr>
        <w:t>Indicators</w:t>
      </w:r>
      <w:r w:rsidR="003E7B87" w:rsidRPr="000445AB">
        <w:rPr>
          <w:sz w:val="36"/>
        </w:rPr>
        <w:t>, grouping and</w:t>
      </w:r>
      <w:r w:rsidR="00055794" w:rsidRPr="000445AB">
        <w:rPr>
          <w:sz w:val="36"/>
        </w:rPr>
        <w:t xml:space="preserve"> scoring</w:t>
      </w:r>
      <w:bookmarkEnd w:id="12"/>
      <w:r w:rsidR="00055794" w:rsidRPr="000445AB">
        <w:rPr>
          <w:sz w:val="36"/>
        </w:rPr>
        <w:t xml:space="preserve"> </w:t>
      </w:r>
    </w:p>
    <w:p w14:paraId="0F413764" w14:textId="77777777" w:rsidR="00D51563" w:rsidRPr="00423FCC" w:rsidRDefault="00D51563" w:rsidP="00935A49">
      <w:pPr>
        <w:spacing w:after="0" w:line="240" w:lineRule="auto"/>
        <w:contextualSpacing/>
      </w:pPr>
    </w:p>
    <w:p w14:paraId="53F69DD7" w14:textId="77777777" w:rsidR="0017234E" w:rsidRPr="007D68FE" w:rsidRDefault="0017234E" w:rsidP="0017234E">
      <w:pPr>
        <w:spacing w:after="0" w:line="240" w:lineRule="auto"/>
        <w:contextualSpacing/>
        <w:rPr>
          <w:rFonts w:ascii="Cambria" w:eastAsia="Calibri" w:hAnsi="Cambria" w:cs="Times New Roman"/>
          <w:b/>
          <w:bCs/>
          <w:color w:val="4F81BD"/>
          <w:sz w:val="28"/>
          <w:szCs w:val="26"/>
        </w:rPr>
      </w:pPr>
      <w:r w:rsidRPr="007D68FE">
        <w:rPr>
          <w:rFonts w:ascii="Cambria" w:eastAsia="Calibri" w:hAnsi="Cambria" w:cs="Times New Roman"/>
          <w:b/>
          <w:bCs/>
          <w:color w:val="4F81BD"/>
          <w:sz w:val="28"/>
          <w:szCs w:val="26"/>
        </w:rPr>
        <w:t>General scoring approach</w:t>
      </w:r>
    </w:p>
    <w:p w14:paraId="371228E2" w14:textId="77777777" w:rsidR="005C4B56" w:rsidRDefault="005C4B56" w:rsidP="00935A49">
      <w:pPr>
        <w:spacing w:after="0" w:line="240" w:lineRule="auto"/>
        <w:contextualSpacing/>
      </w:pPr>
    </w:p>
    <w:p w14:paraId="4EB72F88" w14:textId="01D53719" w:rsidR="00D51563" w:rsidRDefault="000B0169" w:rsidP="00935A49">
      <w:pPr>
        <w:spacing w:after="0" w:line="240" w:lineRule="auto"/>
        <w:contextualSpacing/>
      </w:pPr>
      <w:r w:rsidRPr="00423FCC">
        <w:t xml:space="preserve">The </w:t>
      </w:r>
      <w:r w:rsidR="009055CC">
        <w:t>Index</w:t>
      </w:r>
      <w:r w:rsidRPr="00423FCC">
        <w:t xml:space="preserve"> uses 39 indicators to monitor aid transparency.</w:t>
      </w:r>
      <w:r>
        <w:t xml:space="preserve"> </w:t>
      </w:r>
      <w:r w:rsidR="00D51563" w:rsidRPr="00423FCC">
        <w:t>The</w:t>
      </w:r>
      <w:r>
        <w:t xml:space="preserve"> indicators</w:t>
      </w:r>
      <w:r w:rsidR="00D51563" w:rsidRPr="00423FCC">
        <w:t xml:space="preserve"> </w:t>
      </w:r>
      <w:r w:rsidR="00202E1A">
        <w:t>have been</w:t>
      </w:r>
      <w:r w:rsidR="00D51563" w:rsidRPr="00423FCC">
        <w:t xml:space="preserve"> selected using the information types agreed in the </w:t>
      </w:r>
      <w:r w:rsidR="00202E1A">
        <w:t>International Aid Transparency Initiative (</w:t>
      </w:r>
      <w:r w:rsidR="00D51563" w:rsidRPr="00423FCC">
        <w:t>IATI</w:t>
      </w:r>
      <w:r w:rsidR="00202E1A">
        <w:t>)</w:t>
      </w:r>
      <w:r w:rsidR="0060437E">
        <w:t xml:space="preserve"> S</w:t>
      </w:r>
      <w:r w:rsidR="00D51563" w:rsidRPr="00423FCC">
        <w:t>tandard. The</w:t>
      </w:r>
      <w:r w:rsidR="00553C6C">
        <w:t xml:space="preserve"> indicators</w:t>
      </w:r>
      <w:r w:rsidR="00D51563" w:rsidRPr="00423FCC">
        <w:t xml:space="preserve"> represent the most commonly available information items where commitments to disclosure already exist. In addition, organisations’ </w:t>
      </w:r>
      <w:r w:rsidR="0017234E">
        <w:t xml:space="preserve">overall </w:t>
      </w:r>
      <w:r w:rsidR="00D51563" w:rsidRPr="00423FCC">
        <w:t xml:space="preserve">commitment to aid transparency is measured by </w:t>
      </w:r>
      <w:r w:rsidR="001550DD" w:rsidRPr="00423FCC">
        <w:t xml:space="preserve">the existence of </w:t>
      </w:r>
      <w:r w:rsidR="00202E1A">
        <w:t>Freedom of Information (</w:t>
      </w:r>
      <w:r w:rsidR="00491ED6">
        <w:t>FOI</w:t>
      </w:r>
      <w:r w:rsidR="00202E1A">
        <w:t>)</w:t>
      </w:r>
      <w:r w:rsidR="00553C6C">
        <w:t xml:space="preserve"> </w:t>
      </w:r>
      <w:r w:rsidR="001550DD" w:rsidRPr="00423FCC">
        <w:t xml:space="preserve">legislation or disclosure policies, plans for IATI publication and the organisation’s efforts to promote access, use and re-use of its information. </w:t>
      </w:r>
    </w:p>
    <w:p w14:paraId="64A74E8B" w14:textId="77777777" w:rsidR="00913ED9" w:rsidRPr="00423FCC" w:rsidRDefault="001631ED" w:rsidP="00935A49">
      <w:pPr>
        <w:spacing w:after="0" w:line="240" w:lineRule="auto"/>
        <w:contextualSpacing/>
      </w:pPr>
      <w:r>
        <w:rPr>
          <w:rFonts w:eastAsiaTheme="majorEastAsia" w:cstheme="majorBidi"/>
          <w:b/>
          <w:bCs/>
          <w:iCs/>
          <w:noProof/>
          <w:color w:val="4F81BD" w:themeColor="accent1"/>
          <w:lang w:eastAsia="en-GB" w:bidi="ar-SA"/>
        </w:rPr>
        <mc:AlternateContent>
          <mc:Choice Requires="wps">
            <w:drawing>
              <wp:anchor distT="0" distB="0" distL="114300" distR="114300" simplePos="0" relativeHeight="251658240" behindDoc="0" locked="0" layoutInCell="1" allowOverlap="1" wp14:anchorId="2BD2782F" wp14:editId="44596B28">
                <wp:simplePos x="0" y="0"/>
                <wp:positionH relativeFrom="column">
                  <wp:posOffset>5742940</wp:posOffset>
                </wp:positionH>
                <wp:positionV relativeFrom="paragraph">
                  <wp:posOffset>118110</wp:posOffset>
                </wp:positionV>
                <wp:extent cx="3648075" cy="4143375"/>
                <wp:effectExtent l="0" t="0" r="28575" b="2857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4143375"/>
                        </a:xfrm>
                        <a:prstGeom prst="rect">
                          <a:avLst/>
                        </a:prstGeom>
                        <a:solidFill>
                          <a:srgbClr val="FFFFFF"/>
                        </a:solidFill>
                        <a:ln w="9525">
                          <a:solidFill>
                            <a:srgbClr val="000000"/>
                          </a:solidFill>
                          <a:miter lim="800000"/>
                          <a:headEnd/>
                          <a:tailEnd/>
                        </a:ln>
                      </wps:spPr>
                      <wps:txbx>
                        <w:txbxContent>
                          <w:p w14:paraId="659AB186" w14:textId="77777777" w:rsidR="0016721C" w:rsidRPr="003C5995" w:rsidRDefault="0016721C" w:rsidP="00D542D9">
                            <w:pPr>
                              <w:spacing w:after="0" w:line="240" w:lineRule="auto"/>
                              <w:rPr>
                                <w:rFonts w:cstheme="minorHAnsi"/>
                                <w:b/>
                                <w:sz w:val="20"/>
                                <w:szCs w:val="20"/>
                              </w:rPr>
                            </w:pPr>
                            <w:r>
                              <w:rPr>
                                <w:rFonts w:cstheme="minorHAnsi"/>
                                <w:b/>
                                <w:sz w:val="20"/>
                                <w:szCs w:val="20"/>
                              </w:rPr>
                              <w:t>Box 1</w:t>
                            </w:r>
                            <w:r w:rsidRPr="003C5995">
                              <w:rPr>
                                <w:rFonts w:cstheme="minorHAnsi"/>
                                <w:b/>
                                <w:sz w:val="20"/>
                                <w:szCs w:val="20"/>
                              </w:rPr>
                              <w:t>. What is machine-readable data</w:t>
                            </w:r>
                            <w:r>
                              <w:rPr>
                                <w:rFonts w:cstheme="minorHAnsi"/>
                                <w:b/>
                                <w:sz w:val="20"/>
                                <w:szCs w:val="20"/>
                              </w:rPr>
                              <w:t xml:space="preserve"> and why is it more valuable</w:t>
                            </w:r>
                            <w:r w:rsidRPr="003C5995">
                              <w:rPr>
                                <w:rFonts w:cstheme="minorHAnsi"/>
                                <w:b/>
                                <w:sz w:val="20"/>
                                <w:szCs w:val="20"/>
                              </w:rPr>
                              <w:t>?</w:t>
                            </w:r>
                          </w:p>
                          <w:p w14:paraId="7A993BD1" w14:textId="77777777" w:rsidR="0016721C" w:rsidRPr="003C5995" w:rsidRDefault="0016721C" w:rsidP="00D542D9">
                            <w:pPr>
                              <w:spacing w:after="0" w:line="240" w:lineRule="auto"/>
                              <w:rPr>
                                <w:rFonts w:cstheme="minorHAnsi"/>
                                <w:sz w:val="20"/>
                                <w:szCs w:val="20"/>
                              </w:rPr>
                            </w:pPr>
                          </w:p>
                          <w:p w14:paraId="6398AE78" w14:textId="77777777" w:rsidR="0016721C" w:rsidRPr="003C5995" w:rsidRDefault="0016721C" w:rsidP="00D542D9">
                            <w:pPr>
                              <w:spacing w:after="0" w:line="240" w:lineRule="auto"/>
                              <w:rPr>
                                <w:rFonts w:cstheme="minorHAnsi"/>
                                <w:sz w:val="20"/>
                                <w:szCs w:val="20"/>
                              </w:rPr>
                            </w:pPr>
                            <w:r w:rsidRPr="00CA0271">
                              <w:rPr>
                                <w:sz w:val="20"/>
                                <w:szCs w:val="20"/>
                              </w:rPr>
                              <w:t>Information published in machine-readable formats is presented</w:t>
                            </w:r>
                            <w:r w:rsidRPr="00CA0271">
                              <w:rPr>
                                <w:rFonts w:cs="Arial"/>
                                <w:color w:val="000000"/>
                                <w:sz w:val="20"/>
                                <w:szCs w:val="20"/>
                                <w:shd w:val="clear" w:color="auto" w:fill="FFFFFF"/>
                              </w:rPr>
                              <w:t xml:space="preserve"> in a </w:t>
                            </w:r>
                            <w:r>
                              <w:rPr>
                                <w:rFonts w:cs="Arial"/>
                                <w:color w:val="000000"/>
                                <w:sz w:val="20"/>
                                <w:szCs w:val="20"/>
                                <w:shd w:val="clear" w:color="auto" w:fill="FFFFFF"/>
                              </w:rPr>
                              <w:t>structured way</w:t>
                            </w:r>
                            <w:r w:rsidRPr="00CA0271">
                              <w:rPr>
                                <w:rFonts w:cs="Arial"/>
                                <w:color w:val="000000"/>
                                <w:sz w:val="20"/>
                                <w:szCs w:val="20"/>
                                <w:shd w:val="clear" w:color="auto" w:fill="FFFFFF"/>
                              </w:rPr>
                              <w:t xml:space="preserve"> (not </w:t>
                            </w:r>
                            <w:r>
                              <w:rPr>
                                <w:rFonts w:cs="Arial"/>
                                <w:color w:val="000000"/>
                                <w:sz w:val="20"/>
                                <w:szCs w:val="20"/>
                                <w:shd w:val="clear" w:color="auto" w:fill="FFFFFF"/>
                              </w:rPr>
                              <w:t xml:space="preserve">free </w:t>
                            </w:r>
                            <w:r w:rsidRPr="00CA0271">
                              <w:rPr>
                                <w:rFonts w:cs="Arial"/>
                                <w:color w:val="000000"/>
                                <w:sz w:val="20"/>
                                <w:szCs w:val="20"/>
                                <w:shd w:val="clear" w:color="auto" w:fill="FFFFFF"/>
                              </w:rPr>
                              <w:t>text) that can be read automatically by a computer. Formats such as XML or spreadsheets (</w:t>
                            </w:r>
                            <w:r>
                              <w:rPr>
                                <w:rFonts w:cs="Arial"/>
                                <w:color w:val="000000"/>
                                <w:sz w:val="20"/>
                                <w:szCs w:val="20"/>
                                <w:shd w:val="clear" w:color="auto" w:fill="FFFFFF"/>
                              </w:rPr>
                              <w:t xml:space="preserve">Excel, </w:t>
                            </w:r>
                            <w:r w:rsidRPr="00CA0271">
                              <w:rPr>
                                <w:rFonts w:cs="Arial"/>
                                <w:color w:val="000000"/>
                                <w:sz w:val="20"/>
                                <w:szCs w:val="20"/>
                                <w:shd w:val="clear" w:color="auto" w:fill="FFFFFF"/>
                              </w:rPr>
                              <w:t>CSV) are machine-readable formats. Traditional word process</w:t>
                            </w:r>
                            <w:r>
                              <w:rPr>
                                <w:rFonts w:cs="Arial"/>
                                <w:color w:val="000000"/>
                                <w:sz w:val="20"/>
                                <w:szCs w:val="20"/>
                                <w:shd w:val="clear" w:color="auto" w:fill="FFFFFF"/>
                              </w:rPr>
                              <w:t>ed</w:t>
                            </w:r>
                            <w:r w:rsidRPr="00CA0271">
                              <w:rPr>
                                <w:rFonts w:cs="Arial"/>
                                <w:color w:val="000000"/>
                                <w:sz w:val="20"/>
                                <w:szCs w:val="20"/>
                                <w:shd w:val="clear" w:color="auto" w:fill="FFFFFF"/>
                              </w:rPr>
                              <w:t xml:space="preserve"> documents, HTML and PDF files are easily read by humans but are difficult for machines to interpret.</w:t>
                            </w:r>
                          </w:p>
                          <w:p w14:paraId="736A2102" w14:textId="77777777" w:rsidR="0016721C" w:rsidRDefault="0016721C" w:rsidP="00D542D9">
                            <w:pPr>
                              <w:spacing w:after="0" w:line="240" w:lineRule="auto"/>
                              <w:rPr>
                                <w:rFonts w:cstheme="minorHAnsi"/>
                                <w:color w:val="000000"/>
                                <w:sz w:val="20"/>
                                <w:szCs w:val="20"/>
                              </w:rPr>
                            </w:pPr>
                          </w:p>
                          <w:p w14:paraId="49814DC0" w14:textId="33CE3E96" w:rsidR="0016721C" w:rsidRDefault="0016721C" w:rsidP="00D542D9">
                            <w:pPr>
                              <w:spacing w:after="0" w:line="240" w:lineRule="auto"/>
                              <w:rPr>
                                <w:sz w:val="20"/>
                                <w:szCs w:val="20"/>
                              </w:rPr>
                            </w:pPr>
                            <w:r w:rsidRPr="003C5995">
                              <w:rPr>
                                <w:rFonts w:cstheme="minorHAnsi"/>
                                <w:color w:val="000000"/>
                                <w:sz w:val="20"/>
                                <w:szCs w:val="20"/>
                              </w:rPr>
                              <w:t>There is a substantial difference between structured, machine-readable</w:t>
                            </w:r>
                            <w:r>
                              <w:rPr>
                                <w:rFonts w:cstheme="minorHAnsi"/>
                                <w:color w:val="000000"/>
                                <w:sz w:val="20"/>
                                <w:szCs w:val="20"/>
                              </w:rPr>
                              <w:t xml:space="preserve"> </w:t>
                            </w:r>
                            <w:r w:rsidRPr="003C5995">
                              <w:rPr>
                                <w:rFonts w:cstheme="minorHAnsi"/>
                                <w:color w:val="000000"/>
                                <w:sz w:val="20"/>
                                <w:szCs w:val="20"/>
                              </w:rPr>
                              <w:t xml:space="preserve">data where you can access and compare any number of worldwide projects across a number of fields as opposed to searching dozens of </w:t>
                            </w:r>
                            <w:r>
                              <w:rPr>
                                <w:rFonts w:cstheme="minorHAnsi"/>
                                <w:color w:val="000000"/>
                                <w:sz w:val="20"/>
                                <w:szCs w:val="20"/>
                              </w:rPr>
                              <w:t>websites</w:t>
                            </w:r>
                            <w:r w:rsidRPr="003C5995">
                              <w:rPr>
                                <w:rFonts w:cstheme="minorHAnsi"/>
                                <w:color w:val="000000"/>
                                <w:sz w:val="20"/>
                                <w:szCs w:val="20"/>
                              </w:rPr>
                              <w:t xml:space="preserve"> or looking for information published in different PDF files.</w:t>
                            </w:r>
                            <w:r>
                              <w:rPr>
                                <w:rFonts w:cstheme="minorHAnsi"/>
                                <w:color w:val="000000"/>
                                <w:sz w:val="20"/>
                                <w:szCs w:val="20"/>
                              </w:rPr>
                              <w:t xml:space="preserve"> </w:t>
                            </w:r>
                            <w:r w:rsidRPr="003C5995">
                              <w:rPr>
                                <w:rFonts w:cstheme="minorHAnsi"/>
                                <w:color w:val="000000"/>
                                <w:sz w:val="20"/>
                                <w:szCs w:val="20"/>
                              </w:rPr>
                              <w:t xml:space="preserve">This difference has been quantified </w:t>
                            </w:r>
                            <w:r>
                              <w:rPr>
                                <w:rFonts w:cstheme="minorHAnsi"/>
                                <w:color w:val="000000"/>
                                <w:sz w:val="20"/>
                                <w:szCs w:val="20"/>
                              </w:rPr>
                              <w:t xml:space="preserve">in the Index </w:t>
                            </w:r>
                            <w:r w:rsidRPr="003C5995">
                              <w:rPr>
                                <w:rFonts w:cstheme="minorHAnsi"/>
                                <w:color w:val="000000"/>
                                <w:sz w:val="20"/>
                                <w:szCs w:val="20"/>
                              </w:rPr>
                              <w:t>by allowing organisa</w:t>
                            </w:r>
                            <w:r>
                              <w:rPr>
                                <w:rFonts w:cstheme="minorHAnsi"/>
                                <w:color w:val="000000"/>
                                <w:sz w:val="20"/>
                                <w:szCs w:val="20"/>
                              </w:rPr>
                              <w:t>tions to score more highly on 22</w:t>
                            </w:r>
                            <w:r w:rsidRPr="003C5995">
                              <w:rPr>
                                <w:rFonts w:cstheme="minorHAnsi"/>
                                <w:color w:val="000000"/>
                                <w:sz w:val="20"/>
                                <w:szCs w:val="20"/>
                              </w:rPr>
                              <w:t xml:space="preserve"> indicators depending on the format of publication. </w:t>
                            </w:r>
                            <w:r w:rsidRPr="003C5995">
                              <w:rPr>
                                <w:sz w:val="20"/>
                                <w:szCs w:val="20"/>
                              </w:rPr>
                              <w:t xml:space="preserve">For example, </w:t>
                            </w:r>
                            <w:r w:rsidRPr="003C5995">
                              <w:rPr>
                                <w:rFonts w:cstheme="minorHAnsi"/>
                                <w:color w:val="000000"/>
                                <w:sz w:val="20"/>
                                <w:szCs w:val="20"/>
                              </w:rPr>
                              <w:t>data published in PDF</w:t>
                            </w:r>
                            <w:r>
                              <w:rPr>
                                <w:rFonts w:cstheme="minorHAnsi"/>
                                <w:color w:val="000000"/>
                                <w:sz w:val="20"/>
                                <w:szCs w:val="20"/>
                              </w:rPr>
                              <w:t>s</w:t>
                            </w:r>
                            <w:r w:rsidRPr="003C5995">
                              <w:rPr>
                                <w:rFonts w:cstheme="minorHAnsi"/>
                                <w:color w:val="000000"/>
                                <w:sz w:val="20"/>
                                <w:szCs w:val="20"/>
                              </w:rPr>
                              <w:t xml:space="preserve"> scores lower than data published in </w:t>
                            </w:r>
                            <w:r>
                              <w:rPr>
                                <w:rFonts w:cstheme="minorHAnsi"/>
                                <w:color w:val="000000"/>
                                <w:sz w:val="20"/>
                                <w:szCs w:val="20"/>
                              </w:rPr>
                              <w:t>CSV, Excel or XML files.</w:t>
                            </w:r>
                            <w:r w:rsidRPr="003C5995">
                              <w:rPr>
                                <w:sz w:val="20"/>
                                <w:szCs w:val="20"/>
                              </w:rPr>
                              <w:t xml:space="preserve"> </w:t>
                            </w:r>
                          </w:p>
                          <w:p w14:paraId="00909AB1" w14:textId="77777777" w:rsidR="0016721C" w:rsidRDefault="0016721C" w:rsidP="00D542D9">
                            <w:pPr>
                              <w:spacing w:after="0" w:line="240" w:lineRule="auto"/>
                              <w:rPr>
                                <w:sz w:val="20"/>
                                <w:szCs w:val="20"/>
                              </w:rPr>
                            </w:pPr>
                          </w:p>
                          <w:p w14:paraId="468B26E8" w14:textId="77777777" w:rsidR="0016721C" w:rsidRPr="00111464" w:rsidRDefault="0016721C" w:rsidP="005221A5">
                            <w:pPr>
                              <w:spacing w:after="0" w:line="240" w:lineRule="auto"/>
                              <w:rPr>
                                <w:rFonts w:cstheme="minorHAnsi"/>
                                <w:color w:val="000000"/>
                                <w:sz w:val="20"/>
                                <w:szCs w:val="20"/>
                              </w:rPr>
                            </w:pPr>
                            <w:r>
                              <w:rPr>
                                <w:sz w:val="20"/>
                                <w:szCs w:val="20"/>
                              </w:rPr>
                              <w:t>In the case of documents</w:t>
                            </w:r>
                            <w:r w:rsidRPr="00AB4206">
                              <w:rPr>
                                <w:sz w:val="20"/>
                                <w:szCs w:val="20"/>
                              </w:rPr>
                              <w:t xml:space="preserve">, the scoring approach recognises </w:t>
                            </w:r>
                            <w:r>
                              <w:rPr>
                                <w:sz w:val="20"/>
                                <w:szCs w:val="20"/>
                              </w:rPr>
                              <w:t>the importance of accessibility</w:t>
                            </w:r>
                            <w:r w:rsidRPr="00AB4206">
                              <w:rPr>
                                <w:sz w:val="20"/>
                                <w:szCs w:val="20"/>
                              </w:rPr>
                              <w:t xml:space="preserve"> – an annual report published in PDF is much the same as an annual report published on a webpage. However, the inclusion of links to that PDF in an organisation’s IATI data is more valuable</w:t>
                            </w:r>
                            <w:r>
                              <w:rPr>
                                <w:sz w:val="20"/>
                                <w:szCs w:val="20"/>
                              </w:rPr>
                              <w:t>,</w:t>
                            </w:r>
                            <w:r w:rsidRPr="00AB4206">
                              <w:rPr>
                                <w:sz w:val="20"/>
                                <w:szCs w:val="20"/>
                              </w:rPr>
                              <w:t xml:space="preserve"> especially at the activity level</w:t>
                            </w:r>
                            <w:r>
                              <w:rPr>
                                <w:sz w:val="20"/>
                                <w:szCs w:val="20"/>
                              </w:rPr>
                              <w:t>,</w:t>
                            </w:r>
                            <w:r w:rsidRPr="00AB4206">
                              <w:rPr>
                                <w:sz w:val="20"/>
                                <w:szCs w:val="20"/>
                              </w:rPr>
                              <w:t xml:space="preserve"> as it makes them easier to locate and identify</w:t>
                            </w:r>
                            <w:r>
                              <w:rPr>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D2782F" id="_x0000_t202" coordsize="21600,21600" o:spt="202" path="m,l,21600r21600,l21600,xe">
                <v:stroke joinstyle="miter"/>
                <v:path gradientshapeok="t" o:connecttype="rect"/>
              </v:shapetype>
              <v:shape id="Text Box 1" o:spid="_x0000_s1026" type="#_x0000_t202" style="position:absolute;margin-left:452.2pt;margin-top:9.3pt;width:287.25pt;height:3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">
                <v:textbox>
                  <w:txbxContent>
                    <w:p w14:paraId="659AB186" w14:textId="77777777" w:rsidR="0016721C" w:rsidRPr="003C5995" w:rsidRDefault="0016721C" w:rsidP="00D542D9">
                      <w:pPr>
                        <w:spacing w:after="0" w:line="240" w:lineRule="auto"/>
                        <w:rPr>
                          <w:rFonts w:cstheme="minorHAnsi"/>
                          <w:b/>
                          <w:sz w:val="20"/>
                          <w:szCs w:val="20"/>
                        </w:rPr>
                      </w:pPr>
                      <w:r>
                        <w:rPr>
                          <w:rFonts w:cstheme="minorHAnsi"/>
                          <w:b/>
                          <w:sz w:val="20"/>
                          <w:szCs w:val="20"/>
                        </w:rPr>
                        <w:t>Box 1</w:t>
                      </w:r>
                      <w:r w:rsidRPr="003C5995">
                        <w:rPr>
                          <w:rFonts w:cstheme="minorHAnsi"/>
                          <w:b/>
                          <w:sz w:val="20"/>
                          <w:szCs w:val="20"/>
                        </w:rPr>
                        <w:t>. What is machine-readable data</w:t>
                      </w:r>
                      <w:r>
                        <w:rPr>
                          <w:rFonts w:cstheme="minorHAnsi"/>
                          <w:b/>
                          <w:sz w:val="20"/>
                          <w:szCs w:val="20"/>
                        </w:rPr>
                        <w:t xml:space="preserve"> and why is it more valuable</w:t>
                      </w:r>
                      <w:r w:rsidRPr="003C5995">
                        <w:rPr>
                          <w:rFonts w:cstheme="minorHAnsi"/>
                          <w:b/>
                          <w:sz w:val="20"/>
                          <w:szCs w:val="20"/>
                        </w:rPr>
                        <w:t>?</w:t>
                      </w:r>
                    </w:p>
                    <w:p w14:paraId="7A993BD1" w14:textId="77777777" w:rsidR="0016721C" w:rsidRPr="003C5995" w:rsidRDefault="0016721C" w:rsidP="00D542D9">
                      <w:pPr>
                        <w:spacing w:after="0" w:line="240" w:lineRule="auto"/>
                        <w:rPr>
                          <w:rFonts w:cstheme="minorHAnsi"/>
                          <w:sz w:val="20"/>
                          <w:szCs w:val="20"/>
                        </w:rPr>
                      </w:pPr>
                    </w:p>
                    <w:p w14:paraId="6398AE78" w14:textId="77777777" w:rsidR="0016721C" w:rsidRPr="003C5995" w:rsidRDefault="0016721C" w:rsidP="00D542D9">
                      <w:pPr>
                        <w:spacing w:after="0" w:line="240" w:lineRule="auto"/>
                        <w:rPr>
                          <w:rFonts w:cstheme="minorHAnsi"/>
                          <w:sz w:val="20"/>
                          <w:szCs w:val="20"/>
                        </w:rPr>
                      </w:pPr>
                      <w:r w:rsidRPr="00CA0271">
                        <w:rPr>
                          <w:sz w:val="20"/>
                          <w:szCs w:val="20"/>
                        </w:rPr>
                        <w:t>Information published in machine-readable formats is presented</w:t>
                      </w:r>
                      <w:r w:rsidRPr="00CA0271">
                        <w:rPr>
                          <w:rFonts w:cs="Arial"/>
                          <w:color w:val="000000"/>
                          <w:sz w:val="20"/>
                          <w:szCs w:val="20"/>
                          <w:shd w:val="clear" w:color="auto" w:fill="FFFFFF"/>
                        </w:rPr>
                        <w:t xml:space="preserve"> in a </w:t>
                      </w:r>
                      <w:r>
                        <w:rPr>
                          <w:rFonts w:cs="Arial"/>
                          <w:color w:val="000000"/>
                          <w:sz w:val="20"/>
                          <w:szCs w:val="20"/>
                          <w:shd w:val="clear" w:color="auto" w:fill="FFFFFF"/>
                        </w:rPr>
                        <w:t>structured way</w:t>
                      </w:r>
                      <w:r w:rsidRPr="00CA0271">
                        <w:rPr>
                          <w:rFonts w:cs="Arial"/>
                          <w:color w:val="000000"/>
                          <w:sz w:val="20"/>
                          <w:szCs w:val="20"/>
                          <w:shd w:val="clear" w:color="auto" w:fill="FFFFFF"/>
                        </w:rPr>
                        <w:t xml:space="preserve"> (not </w:t>
                      </w:r>
                      <w:r>
                        <w:rPr>
                          <w:rFonts w:cs="Arial"/>
                          <w:color w:val="000000"/>
                          <w:sz w:val="20"/>
                          <w:szCs w:val="20"/>
                          <w:shd w:val="clear" w:color="auto" w:fill="FFFFFF"/>
                        </w:rPr>
                        <w:t xml:space="preserve">free </w:t>
                      </w:r>
                      <w:r w:rsidRPr="00CA0271">
                        <w:rPr>
                          <w:rFonts w:cs="Arial"/>
                          <w:color w:val="000000"/>
                          <w:sz w:val="20"/>
                          <w:szCs w:val="20"/>
                          <w:shd w:val="clear" w:color="auto" w:fill="FFFFFF"/>
                        </w:rPr>
                        <w:t>text) that can be read automatically by a computer. Formats such as XML or spreadsheets (</w:t>
                      </w:r>
                      <w:r>
                        <w:rPr>
                          <w:rFonts w:cs="Arial"/>
                          <w:color w:val="000000"/>
                          <w:sz w:val="20"/>
                          <w:szCs w:val="20"/>
                          <w:shd w:val="clear" w:color="auto" w:fill="FFFFFF"/>
                        </w:rPr>
                        <w:t xml:space="preserve">Excel, </w:t>
                      </w:r>
                      <w:r w:rsidRPr="00CA0271">
                        <w:rPr>
                          <w:rFonts w:cs="Arial"/>
                          <w:color w:val="000000"/>
                          <w:sz w:val="20"/>
                          <w:szCs w:val="20"/>
                          <w:shd w:val="clear" w:color="auto" w:fill="FFFFFF"/>
                        </w:rPr>
                        <w:t>CSV) are machine-readable formats. Traditional word process</w:t>
                      </w:r>
                      <w:r>
                        <w:rPr>
                          <w:rFonts w:cs="Arial"/>
                          <w:color w:val="000000"/>
                          <w:sz w:val="20"/>
                          <w:szCs w:val="20"/>
                          <w:shd w:val="clear" w:color="auto" w:fill="FFFFFF"/>
                        </w:rPr>
                        <w:t>ed</w:t>
                      </w:r>
                      <w:r w:rsidRPr="00CA0271">
                        <w:rPr>
                          <w:rFonts w:cs="Arial"/>
                          <w:color w:val="000000"/>
                          <w:sz w:val="20"/>
                          <w:szCs w:val="20"/>
                          <w:shd w:val="clear" w:color="auto" w:fill="FFFFFF"/>
                        </w:rPr>
                        <w:t xml:space="preserve"> documents, HTML and PDF files are easily read by humans but are difficult for machines to interpret.</w:t>
                      </w:r>
                    </w:p>
                    <w:p w14:paraId="736A2102" w14:textId="77777777" w:rsidR="0016721C" w:rsidRDefault="0016721C" w:rsidP="00D542D9">
                      <w:pPr>
                        <w:spacing w:after="0" w:line="240" w:lineRule="auto"/>
                        <w:rPr>
                          <w:rFonts w:cstheme="minorHAnsi"/>
                          <w:color w:val="000000"/>
                          <w:sz w:val="20"/>
                          <w:szCs w:val="20"/>
                        </w:rPr>
                      </w:pPr>
                    </w:p>
                    <w:p w14:paraId="49814DC0" w14:textId="33CE3E96" w:rsidR="0016721C" w:rsidRDefault="0016721C" w:rsidP="00D542D9">
                      <w:pPr>
                        <w:spacing w:after="0" w:line="240" w:lineRule="auto"/>
                        <w:rPr>
                          <w:sz w:val="20"/>
                          <w:szCs w:val="20"/>
                        </w:rPr>
                      </w:pPr>
                      <w:r w:rsidRPr="003C5995">
                        <w:rPr>
                          <w:rFonts w:cstheme="minorHAnsi"/>
                          <w:color w:val="000000"/>
                          <w:sz w:val="20"/>
                          <w:szCs w:val="20"/>
                        </w:rPr>
                        <w:t>There is a substantial difference between structured, machine-readable</w:t>
                      </w:r>
                      <w:r>
                        <w:rPr>
                          <w:rFonts w:cstheme="minorHAnsi"/>
                          <w:color w:val="000000"/>
                          <w:sz w:val="20"/>
                          <w:szCs w:val="20"/>
                        </w:rPr>
                        <w:t xml:space="preserve"> </w:t>
                      </w:r>
                      <w:r w:rsidRPr="003C5995">
                        <w:rPr>
                          <w:rFonts w:cstheme="minorHAnsi"/>
                          <w:color w:val="000000"/>
                          <w:sz w:val="20"/>
                          <w:szCs w:val="20"/>
                        </w:rPr>
                        <w:t xml:space="preserve">data where you can access and compare any number of worldwide projects across a number of fields as opposed to searching dozens of </w:t>
                      </w:r>
                      <w:r>
                        <w:rPr>
                          <w:rFonts w:cstheme="minorHAnsi"/>
                          <w:color w:val="000000"/>
                          <w:sz w:val="20"/>
                          <w:szCs w:val="20"/>
                        </w:rPr>
                        <w:t>websites</w:t>
                      </w:r>
                      <w:r w:rsidRPr="003C5995">
                        <w:rPr>
                          <w:rFonts w:cstheme="minorHAnsi"/>
                          <w:color w:val="000000"/>
                          <w:sz w:val="20"/>
                          <w:szCs w:val="20"/>
                        </w:rPr>
                        <w:t xml:space="preserve"> or looking for information published in different PDF files.</w:t>
                      </w:r>
                      <w:r>
                        <w:rPr>
                          <w:rFonts w:cstheme="minorHAnsi"/>
                          <w:color w:val="000000"/>
                          <w:sz w:val="20"/>
                          <w:szCs w:val="20"/>
                        </w:rPr>
                        <w:t xml:space="preserve"> </w:t>
                      </w:r>
                      <w:r w:rsidRPr="003C5995">
                        <w:rPr>
                          <w:rFonts w:cstheme="minorHAnsi"/>
                          <w:color w:val="000000"/>
                          <w:sz w:val="20"/>
                          <w:szCs w:val="20"/>
                        </w:rPr>
                        <w:t xml:space="preserve">This difference has been quantified </w:t>
                      </w:r>
                      <w:r>
                        <w:rPr>
                          <w:rFonts w:cstheme="minorHAnsi"/>
                          <w:color w:val="000000"/>
                          <w:sz w:val="20"/>
                          <w:szCs w:val="20"/>
                        </w:rPr>
                        <w:t xml:space="preserve">in the Index </w:t>
                      </w:r>
                      <w:r w:rsidRPr="003C5995">
                        <w:rPr>
                          <w:rFonts w:cstheme="minorHAnsi"/>
                          <w:color w:val="000000"/>
                          <w:sz w:val="20"/>
                          <w:szCs w:val="20"/>
                        </w:rPr>
                        <w:t>by allowing organisa</w:t>
                      </w:r>
                      <w:r>
                        <w:rPr>
                          <w:rFonts w:cstheme="minorHAnsi"/>
                          <w:color w:val="000000"/>
                          <w:sz w:val="20"/>
                          <w:szCs w:val="20"/>
                        </w:rPr>
                        <w:t>tions to score more highly on 22</w:t>
                      </w:r>
                      <w:r w:rsidRPr="003C5995">
                        <w:rPr>
                          <w:rFonts w:cstheme="minorHAnsi"/>
                          <w:color w:val="000000"/>
                          <w:sz w:val="20"/>
                          <w:szCs w:val="20"/>
                        </w:rPr>
                        <w:t xml:space="preserve"> indicators depending on the format of publication. </w:t>
                      </w:r>
                      <w:r w:rsidRPr="003C5995">
                        <w:rPr>
                          <w:sz w:val="20"/>
                          <w:szCs w:val="20"/>
                        </w:rPr>
                        <w:t xml:space="preserve">For example, </w:t>
                      </w:r>
                      <w:r w:rsidRPr="003C5995">
                        <w:rPr>
                          <w:rFonts w:cstheme="minorHAnsi"/>
                          <w:color w:val="000000"/>
                          <w:sz w:val="20"/>
                          <w:szCs w:val="20"/>
                        </w:rPr>
                        <w:t>data published in PDF</w:t>
                      </w:r>
                      <w:r>
                        <w:rPr>
                          <w:rFonts w:cstheme="minorHAnsi"/>
                          <w:color w:val="000000"/>
                          <w:sz w:val="20"/>
                          <w:szCs w:val="20"/>
                        </w:rPr>
                        <w:t>s</w:t>
                      </w:r>
                      <w:r w:rsidRPr="003C5995">
                        <w:rPr>
                          <w:rFonts w:cstheme="minorHAnsi"/>
                          <w:color w:val="000000"/>
                          <w:sz w:val="20"/>
                          <w:szCs w:val="20"/>
                        </w:rPr>
                        <w:t xml:space="preserve"> scores lower than data published in </w:t>
                      </w:r>
                      <w:r>
                        <w:rPr>
                          <w:rFonts w:cstheme="minorHAnsi"/>
                          <w:color w:val="000000"/>
                          <w:sz w:val="20"/>
                          <w:szCs w:val="20"/>
                        </w:rPr>
                        <w:t>CSV, Excel or XML files.</w:t>
                      </w:r>
                      <w:r w:rsidRPr="003C5995">
                        <w:rPr>
                          <w:sz w:val="20"/>
                          <w:szCs w:val="20"/>
                        </w:rPr>
                        <w:t xml:space="preserve"> </w:t>
                      </w:r>
                    </w:p>
                    <w:p w14:paraId="00909AB1" w14:textId="77777777" w:rsidR="0016721C" w:rsidRDefault="0016721C" w:rsidP="00D542D9">
                      <w:pPr>
                        <w:spacing w:after="0" w:line="240" w:lineRule="auto"/>
                        <w:rPr>
                          <w:sz w:val="20"/>
                          <w:szCs w:val="20"/>
                        </w:rPr>
                      </w:pPr>
                    </w:p>
                    <w:p w14:paraId="468B26E8" w14:textId="77777777" w:rsidR="0016721C" w:rsidRPr="00111464" w:rsidRDefault="0016721C" w:rsidP="005221A5">
                      <w:pPr>
                        <w:spacing w:after="0" w:line="240" w:lineRule="auto"/>
                        <w:rPr>
                          <w:rFonts w:cstheme="minorHAnsi"/>
                          <w:color w:val="000000"/>
                          <w:sz w:val="20"/>
                          <w:szCs w:val="20"/>
                        </w:rPr>
                      </w:pPr>
                      <w:r>
                        <w:rPr>
                          <w:sz w:val="20"/>
                          <w:szCs w:val="20"/>
                        </w:rPr>
                        <w:t>In the case of documents</w:t>
                      </w:r>
                      <w:r w:rsidRPr="00AB4206">
                        <w:rPr>
                          <w:sz w:val="20"/>
                          <w:szCs w:val="20"/>
                        </w:rPr>
                        <w:t xml:space="preserve">, the scoring approach recognises </w:t>
                      </w:r>
                      <w:r>
                        <w:rPr>
                          <w:sz w:val="20"/>
                          <w:szCs w:val="20"/>
                        </w:rPr>
                        <w:t>the importance of accessibility</w:t>
                      </w:r>
                      <w:r w:rsidRPr="00AB4206">
                        <w:rPr>
                          <w:sz w:val="20"/>
                          <w:szCs w:val="20"/>
                        </w:rPr>
                        <w:t xml:space="preserve"> – an annual report published in PDF is much the same as an annual report published on a webpage. However, the inclusion of links to that PDF in an organisation’s IATI data is more valuable</w:t>
                      </w:r>
                      <w:r>
                        <w:rPr>
                          <w:sz w:val="20"/>
                          <w:szCs w:val="20"/>
                        </w:rPr>
                        <w:t>,</w:t>
                      </w:r>
                      <w:r w:rsidRPr="00AB4206">
                        <w:rPr>
                          <w:sz w:val="20"/>
                          <w:szCs w:val="20"/>
                        </w:rPr>
                        <w:t xml:space="preserve"> especially at the activity level</w:t>
                      </w:r>
                      <w:r>
                        <w:rPr>
                          <w:sz w:val="20"/>
                          <w:szCs w:val="20"/>
                        </w:rPr>
                        <w:t>,</w:t>
                      </w:r>
                      <w:r w:rsidRPr="00AB4206">
                        <w:rPr>
                          <w:sz w:val="20"/>
                          <w:szCs w:val="20"/>
                        </w:rPr>
                        <w:t xml:space="preserve"> as it makes them easier to locate and identify</w:t>
                      </w:r>
                      <w:r>
                        <w:rPr>
                          <w:sz w:val="20"/>
                          <w:szCs w:val="20"/>
                        </w:rPr>
                        <w:t>.</w:t>
                      </w:r>
                    </w:p>
                  </w:txbxContent>
                </v:textbox>
                <w10:wrap type="square"/>
              </v:shape>
            </w:pict>
          </mc:Fallback>
        </mc:AlternateContent>
      </w:r>
    </w:p>
    <w:p w14:paraId="017D180C" w14:textId="77777777" w:rsidR="000B0169" w:rsidRPr="00C428DA" w:rsidRDefault="000B0169" w:rsidP="000B0169">
      <w:pPr>
        <w:pStyle w:val="ColorfulList-Accent11"/>
        <w:spacing w:after="0"/>
        <w:ind w:left="0"/>
        <w:contextualSpacing w:val="0"/>
        <w:rPr>
          <w:rFonts w:eastAsiaTheme="majorEastAsia" w:cstheme="majorBidi"/>
          <w:b/>
          <w:bCs/>
          <w:iCs/>
          <w:color w:val="4F81BD" w:themeColor="accent1"/>
          <w:sz w:val="22"/>
          <w:szCs w:val="22"/>
          <w:lang w:bidi="en-US"/>
        </w:rPr>
      </w:pPr>
      <w:r w:rsidRPr="00C428DA">
        <w:rPr>
          <w:rFonts w:eastAsiaTheme="majorEastAsia" w:cstheme="majorBidi"/>
          <w:b/>
          <w:bCs/>
          <w:iCs/>
          <w:color w:val="4F81BD" w:themeColor="accent1"/>
          <w:sz w:val="22"/>
          <w:szCs w:val="22"/>
          <w:lang w:bidi="en-US"/>
        </w:rPr>
        <w:t>Groups and sub-groups</w:t>
      </w:r>
    </w:p>
    <w:p w14:paraId="371026E7" w14:textId="77777777" w:rsidR="00202E1A" w:rsidRDefault="000B0169" w:rsidP="00202E1A">
      <w:pPr>
        <w:spacing w:after="0" w:line="240" w:lineRule="auto"/>
        <w:rPr>
          <w:rFonts w:ascii="Calibri" w:eastAsia="Times New Roman" w:hAnsi="Calibri" w:cs="Times New Roman"/>
        </w:rPr>
      </w:pPr>
      <w:r>
        <w:t xml:space="preserve">The 39 indicators are </w:t>
      </w:r>
      <w:r w:rsidR="00202E1A">
        <w:t>grouped into weighted categories</w:t>
      </w:r>
      <w:r w:rsidRPr="00423FCC">
        <w:t xml:space="preserve"> that measure </w:t>
      </w:r>
      <w:r w:rsidRPr="00423FCC">
        <w:rPr>
          <w:b/>
        </w:rPr>
        <w:t>commitment to aid transparency</w:t>
      </w:r>
      <w:r w:rsidRPr="00423FCC">
        <w:t xml:space="preserve"> and those that measure </w:t>
      </w:r>
      <w:r w:rsidRPr="00423FCC">
        <w:rPr>
          <w:b/>
        </w:rPr>
        <w:t xml:space="preserve">publication of aid </w:t>
      </w:r>
      <w:r w:rsidR="005221A5">
        <w:rPr>
          <w:b/>
        </w:rPr>
        <w:t>information</w:t>
      </w:r>
      <w:r w:rsidR="005221A5">
        <w:t xml:space="preserve"> </w:t>
      </w:r>
      <w:r w:rsidR="00202E1A">
        <w:t xml:space="preserve">at both </w:t>
      </w:r>
      <w:r w:rsidR="00202E1A" w:rsidRPr="000B0169">
        <w:t>organisation and activity level</w:t>
      </w:r>
      <w:r w:rsidR="00202E1A" w:rsidRPr="00202E1A">
        <w:rPr>
          <w:b/>
        </w:rPr>
        <w:t>.</w:t>
      </w:r>
      <w:r w:rsidR="00202E1A" w:rsidRPr="00202E1A">
        <w:rPr>
          <w:rFonts w:ascii="Calibri" w:eastAsia="Times New Roman" w:hAnsi="Calibri" w:cs="Times New Roman"/>
        </w:rPr>
        <w:t xml:space="preserve"> Within the publication category, the organisation-level indicators account for 25% of the overall weight, while the activity-level indicators account for 65%</w:t>
      </w:r>
      <w:r w:rsidR="004145B2">
        <w:rPr>
          <w:rFonts w:ascii="Calibri" w:eastAsia="Times New Roman" w:hAnsi="Calibri" w:cs="Times New Roman"/>
        </w:rPr>
        <w:t xml:space="preserve"> (see chart 1 below)</w:t>
      </w:r>
      <w:r w:rsidR="00202E1A" w:rsidRPr="00202E1A">
        <w:rPr>
          <w:rFonts w:ascii="Calibri" w:eastAsia="Times New Roman" w:hAnsi="Calibri" w:cs="Times New Roman"/>
        </w:rPr>
        <w:t xml:space="preserve">. The two publication groups are further divided in subgroups, based largely upon the subgroups used in the </w:t>
      </w:r>
      <w:r w:rsidR="005221A5">
        <w:rPr>
          <w:rFonts w:ascii="Calibri" w:eastAsia="Times New Roman" w:hAnsi="Calibri" w:cs="Times New Roman"/>
        </w:rPr>
        <w:t xml:space="preserve">Busan </w:t>
      </w:r>
      <w:r w:rsidR="00202E1A" w:rsidRPr="000B0169">
        <w:rPr>
          <w:rFonts w:cs="Times New Roman"/>
        </w:rPr>
        <w:t>Common Standard implementation s</w:t>
      </w:r>
      <w:r w:rsidR="00202E1A" w:rsidRPr="000B0169">
        <w:rPr>
          <w:rFonts w:ascii="Calibri" w:eastAsia="Times New Roman" w:hAnsi="Calibri" w:cs="Times New Roman"/>
        </w:rPr>
        <w:t>chedules template</w:t>
      </w:r>
      <w:r w:rsidR="00202E1A">
        <w:t>.</w:t>
      </w:r>
      <w:r>
        <w:rPr>
          <w:rStyle w:val="FootnoteReference"/>
        </w:rPr>
        <w:footnoteReference w:id="3"/>
      </w:r>
      <w:r w:rsidR="00202E1A">
        <w:t xml:space="preserve"> </w:t>
      </w:r>
      <w:r w:rsidR="00202E1A" w:rsidRPr="00202E1A">
        <w:rPr>
          <w:rFonts w:ascii="Calibri" w:eastAsia="Times New Roman" w:hAnsi="Calibri" w:cs="Times New Roman"/>
        </w:rPr>
        <w:t>The subgroups are equally weighted</w:t>
      </w:r>
      <w:r w:rsidR="00F14CAE">
        <w:rPr>
          <w:rFonts w:ascii="Calibri" w:eastAsia="Times New Roman" w:hAnsi="Calibri" w:cs="Times New Roman"/>
        </w:rPr>
        <w:t xml:space="preserve">, as are the indicators within each </w:t>
      </w:r>
      <w:r w:rsidR="004D19B4">
        <w:rPr>
          <w:rFonts w:ascii="Calibri" w:eastAsia="Times New Roman" w:hAnsi="Calibri" w:cs="Times New Roman"/>
        </w:rPr>
        <w:t>sub-</w:t>
      </w:r>
      <w:r w:rsidR="00F14CAE">
        <w:rPr>
          <w:rFonts w:ascii="Calibri" w:eastAsia="Times New Roman" w:hAnsi="Calibri" w:cs="Times New Roman"/>
        </w:rPr>
        <w:t>group</w:t>
      </w:r>
      <w:r w:rsidR="00202E1A" w:rsidRPr="00202E1A">
        <w:rPr>
          <w:rFonts w:ascii="Calibri" w:eastAsia="Times New Roman" w:hAnsi="Calibri" w:cs="Times New Roman"/>
        </w:rPr>
        <w:t>.</w:t>
      </w:r>
    </w:p>
    <w:p w14:paraId="01B13BA6" w14:textId="77777777" w:rsidR="000B0169" w:rsidRDefault="000B0169" w:rsidP="00202E1A">
      <w:pPr>
        <w:spacing w:after="0" w:line="240" w:lineRule="auto"/>
        <w:rPr>
          <w:rFonts w:ascii="Calibri" w:eastAsia="Times New Roman" w:hAnsi="Calibri" w:cs="Times New Roman"/>
        </w:rPr>
      </w:pPr>
    </w:p>
    <w:p w14:paraId="0749F213" w14:textId="77777777" w:rsidR="004145B2" w:rsidRPr="00913ED9" w:rsidRDefault="004145B2" w:rsidP="004145B2">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Chart 1</w:t>
      </w:r>
      <w:r w:rsidRPr="00913ED9">
        <w:rPr>
          <w:rFonts w:ascii="Cambria" w:eastAsia="Calibri" w:hAnsi="Cambria" w:cs="Times New Roman"/>
          <w:b/>
          <w:bCs/>
          <w:color w:val="4F81BD"/>
          <w:sz w:val="24"/>
        </w:rPr>
        <w:t xml:space="preserve">. </w:t>
      </w:r>
      <w:r>
        <w:rPr>
          <w:rFonts w:ascii="Cambria" w:eastAsia="Calibri" w:hAnsi="Cambria" w:cs="Times New Roman"/>
          <w:b/>
          <w:bCs/>
          <w:color w:val="4F81BD"/>
          <w:sz w:val="24"/>
        </w:rPr>
        <w:t>Grouping of the 39 indicators</w:t>
      </w:r>
    </w:p>
    <w:p w14:paraId="3AD8812C" w14:textId="77777777" w:rsidR="000B0169" w:rsidRDefault="000B0169" w:rsidP="00202E1A">
      <w:pPr>
        <w:spacing w:after="0" w:line="240" w:lineRule="auto"/>
      </w:pPr>
      <w:r w:rsidRPr="000B0169">
        <w:rPr>
          <w:rFonts w:ascii="Calibri" w:eastAsia="Times New Roman" w:hAnsi="Calibri" w:cs="Times New Roman"/>
          <w:noProof/>
          <w:lang w:eastAsia="en-GB" w:bidi="ar-SA"/>
        </w:rPr>
        <w:drawing>
          <wp:inline distT="0" distB="0" distL="0" distR="0" wp14:anchorId="3570AD55" wp14:editId="3EB65A83">
            <wp:extent cx="5467350" cy="2076450"/>
            <wp:effectExtent l="0" t="0" r="0"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E03D48" w14:textId="77777777" w:rsidR="00584B39" w:rsidRDefault="00584B39" w:rsidP="0017234E">
      <w:pPr>
        <w:pStyle w:val="ColorfulList-Accent11"/>
        <w:spacing w:after="0"/>
        <w:ind w:left="0"/>
        <w:contextualSpacing w:val="0"/>
        <w:rPr>
          <w:rFonts w:eastAsiaTheme="majorEastAsia" w:cstheme="majorBidi"/>
          <w:b/>
          <w:bCs/>
          <w:iCs/>
          <w:color w:val="4F81BD" w:themeColor="accent1"/>
          <w:sz w:val="22"/>
          <w:szCs w:val="22"/>
          <w:lang w:bidi="en-US"/>
        </w:rPr>
      </w:pPr>
    </w:p>
    <w:p w14:paraId="1B9BC894" w14:textId="77777777" w:rsidR="009F49BC" w:rsidRDefault="009F49BC" w:rsidP="00935A49">
      <w:pPr>
        <w:pStyle w:val="ListBullet"/>
        <w:numPr>
          <w:ilvl w:val="0"/>
          <w:numId w:val="0"/>
        </w:numPr>
        <w:spacing w:after="0" w:line="240" w:lineRule="auto"/>
      </w:pPr>
    </w:p>
    <w:p w14:paraId="426A8BF0" w14:textId="77777777" w:rsidR="003C7C49" w:rsidRDefault="003C7C49" w:rsidP="00935A49">
      <w:pPr>
        <w:pStyle w:val="ListBullet"/>
        <w:numPr>
          <w:ilvl w:val="0"/>
          <w:numId w:val="0"/>
        </w:numPr>
        <w:spacing w:after="0" w:line="240" w:lineRule="auto"/>
      </w:pPr>
      <w:r w:rsidRPr="00423FCC">
        <w:lastRenderedPageBreak/>
        <w:t xml:space="preserve">A graduated scoring methodology </w:t>
      </w:r>
      <w:r w:rsidR="004145B2">
        <w:t>is</w:t>
      </w:r>
      <w:r w:rsidRPr="00423FCC">
        <w:t xml:space="preserve"> used for some of the publication indicators. </w:t>
      </w:r>
      <w:r w:rsidR="005221A5">
        <w:t>For 22 indicators, the scoring takes into account the format that the data is provided in, depending on the accessibility and comparability of the information and how consistently it is published (</w:t>
      </w:r>
      <w:r w:rsidR="005221A5" w:rsidRPr="009103A5">
        <w:t xml:space="preserve">see </w:t>
      </w:r>
      <w:r w:rsidR="005221A5" w:rsidRPr="005221A5">
        <w:t xml:space="preserve">chart 2 below). For example, information published in PDFs scores lower than information published in machine-readable formats. </w:t>
      </w:r>
      <w:r w:rsidR="005221A5" w:rsidRPr="005221A5">
        <w:rPr>
          <w:rFonts w:ascii="Calibri" w:eastAsia="Times New Roman" w:hAnsi="Calibri" w:cs="Times New Roman"/>
        </w:rPr>
        <w:t>Information published to the</w:t>
      </w:r>
      <w:r w:rsidR="005221A5">
        <w:rPr>
          <w:rFonts w:ascii="Calibri" w:eastAsia="Times New Roman" w:hAnsi="Calibri" w:cs="Times New Roman"/>
        </w:rPr>
        <w:t xml:space="preserve"> IATI Standard, the most comparable format, can score up to 100 for each indicator, depending on the coverage of information and frequency of publication.</w:t>
      </w:r>
    </w:p>
    <w:p w14:paraId="0C875C8B" w14:textId="77777777" w:rsidR="004145B2" w:rsidRPr="00423FCC" w:rsidRDefault="004145B2" w:rsidP="00935A49">
      <w:pPr>
        <w:pStyle w:val="ListBullet"/>
        <w:numPr>
          <w:ilvl w:val="0"/>
          <w:numId w:val="0"/>
        </w:numPr>
        <w:spacing w:after="0" w:line="240" w:lineRule="auto"/>
      </w:pPr>
    </w:p>
    <w:p w14:paraId="3FF5F89E" w14:textId="77777777" w:rsidR="00E416A4" w:rsidRPr="00913ED9" w:rsidRDefault="004145B2" w:rsidP="00935A49">
      <w:pPr>
        <w:spacing w:after="0" w:line="240" w:lineRule="auto"/>
        <w:contextualSpacing/>
        <w:rPr>
          <w:rFonts w:ascii="Cambria" w:eastAsia="Calibri" w:hAnsi="Cambria" w:cs="Times New Roman"/>
          <w:b/>
          <w:bCs/>
          <w:color w:val="4F81BD"/>
          <w:sz w:val="24"/>
        </w:rPr>
      </w:pPr>
      <w:r>
        <w:rPr>
          <w:rFonts w:ascii="Cambria" w:eastAsia="Calibri" w:hAnsi="Cambria" w:cs="Times New Roman"/>
          <w:b/>
          <w:bCs/>
          <w:color w:val="4F81BD"/>
          <w:sz w:val="24"/>
        </w:rPr>
        <w:t>Chart 2</w:t>
      </w:r>
      <w:r w:rsidR="00E416A4" w:rsidRPr="00913ED9">
        <w:rPr>
          <w:rFonts w:ascii="Cambria" w:eastAsia="Calibri" w:hAnsi="Cambria" w:cs="Times New Roman"/>
          <w:b/>
          <w:bCs/>
          <w:color w:val="4F81BD"/>
          <w:sz w:val="24"/>
        </w:rPr>
        <w:t>. Scoring format of data for 2</w:t>
      </w:r>
      <w:r w:rsidR="00A83FB6">
        <w:rPr>
          <w:rFonts w:ascii="Cambria" w:eastAsia="Calibri" w:hAnsi="Cambria" w:cs="Times New Roman"/>
          <w:b/>
          <w:bCs/>
          <w:color w:val="4F81BD"/>
          <w:sz w:val="24"/>
        </w:rPr>
        <w:t>2</w:t>
      </w:r>
      <w:r w:rsidR="00E416A4" w:rsidRPr="00913ED9">
        <w:rPr>
          <w:rFonts w:ascii="Cambria" w:eastAsia="Calibri" w:hAnsi="Cambria" w:cs="Times New Roman"/>
          <w:b/>
          <w:bCs/>
          <w:color w:val="4F81BD"/>
          <w:sz w:val="24"/>
        </w:rPr>
        <w:t xml:space="preserve"> indicators</w:t>
      </w:r>
    </w:p>
    <w:p w14:paraId="5A4FA11C" w14:textId="77777777" w:rsidR="00E416A4" w:rsidRPr="00423FCC" w:rsidRDefault="00E416A4" w:rsidP="00935A49">
      <w:pPr>
        <w:spacing w:after="0" w:line="240" w:lineRule="auto"/>
        <w:rPr>
          <w:rFonts w:eastAsia="Calibri" w:cs="Times New Roman"/>
          <w:b/>
          <w:bCs/>
          <w:color w:val="4F81BD"/>
        </w:rPr>
      </w:pPr>
      <w:r w:rsidRPr="00423FCC">
        <w:rPr>
          <w:noProof/>
          <w:lang w:eastAsia="en-GB" w:bidi="ar-SA"/>
        </w:rPr>
        <w:drawing>
          <wp:inline distT="0" distB="0" distL="0" distR="0" wp14:anchorId="74BB3C1D" wp14:editId="4DFE0D49">
            <wp:extent cx="5357446" cy="1910862"/>
            <wp:effectExtent l="0" t="0" r="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E49599" w14:textId="77777777" w:rsidR="002B2AC5" w:rsidRDefault="002B2AC5" w:rsidP="00935A49">
      <w:pPr>
        <w:spacing w:after="0" w:line="240" w:lineRule="auto"/>
      </w:pPr>
    </w:p>
    <w:p w14:paraId="4B4BF409" w14:textId="77777777" w:rsidR="005B453C" w:rsidRDefault="009D4137" w:rsidP="00935A49">
      <w:pPr>
        <w:spacing w:after="0" w:line="240" w:lineRule="auto"/>
        <w:rPr>
          <w:b/>
        </w:rPr>
      </w:pPr>
      <w:r w:rsidRPr="00423FCC">
        <w:t>T</w:t>
      </w:r>
      <w:r w:rsidR="00115768">
        <w:t>able 2</w:t>
      </w:r>
      <w:r w:rsidRPr="00423FCC">
        <w:t xml:space="preserve"> below provides a summary of the 39 indicators, including the sub-groups and the scoring approach for each indicator</w:t>
      </w:r>
      <w:r w:rsidR="00EB2722">
        <w:t>.</w:t>
      </w:r>
      <w:r w:rsidRPr="00423FCC">
        <w:rPr>
          <w:b/>
        </w:rPr>
        <w:t xml:space="preserve"> </w:t>
      </w:r>
    </w:p>
    <w:p w14:paraId="3BDDD4DC" w14:textId="77777777" w:rsidR="00913ED9" w:rsidRPr="00423FCC" w:rsidRDefault="00913ED9" w:rsidP="00935A49">
      <w:pPr>
        <w:spacing w:after="0" w:line="240" w:lineRule="auto"/>
        <w:rPr>
          <w:b/>
        </w:rPr>
      </w:pPr>
    </w:p>
    <w:p w14:paraId="483BE2B9" w14:textId="77777777" w:rsidR="006F499F" w:rsidRDefault="0032676E" w:rsidP="00935A49">
      <w:pPr>
        <w:spacing w:after="0" w:line="240" w:lineRule="auto"/>
        <w:rPr>
          <w:rFonts w:ascii="Cambria" w:eastAsia="Calibri" w:hAnsi="Cambria" w:cs="Times New Roman"/>
          <w:b/>
          <w:bCs/>
          <w:color w:val="4F81BD"/>
          <w:sz w:val="24"/>
        </w:rPr>
      </w:pPr>
      <w:r w:rsidRPr="00913ED9">
        <w:rPr>
          <w:rFonts w:ascii="Cambria" w:eastAsia="Calibri" w:hAnsi="Cambria" w:cs="Times New Roman"/>
          <w:b/>
          <w:bCs/>
          <w:color w:val="4F81BD"/>
          <w:sz w:val="24"/>
        </w:rPr>
        <w:t xml:space="preserve">Table </w:t>
      </w:r>
      <w:r w:rsidR="00EB2722">
        <w:rPr>
          <w:rFonts w:ascii="Cambria" w:eastAsia="Calibri" w:hAnsi="Cambria" w:cs="Times New Roman"/>
          <w:b/>
          <w:bCs/>
          <w:color w:val="4F81BD"/>
          <w:sz w:val="24"/>
        </w:rPr>
        <w:t>2</w:t>
      </w:r>
      <w:r w:rsidRPr="00913ED9">
        <w:rPr>
          <w:rFonts w:ascii="Cambria" w:eastAsia="Calibri" w:hAnsi="Cambria" w:cs="Times New Roman"/>
          <w:b/>
          <w:bCs/>
          <w:color w:val="4F81BD"/>
          <w:sz w:val="24"/>
        </w:rPr>
        <w:t xml:space="preserve">: </w:t>
      </w:r>
      <w:r w:rsidR="006F499F" w:rsidRPr="00913ED9">
        <w:rPr>
          <w:rFonts w:ascii="Cambria" w:eastAsia="Calibri" w:hAnsi="Cambria" w:cs="Times New Roman"/>
          <w:b/>
          <w:bCs/>
          <w:color w:val="4F81BD"/>
          <w:sz w:val="24"/>
        </w:rPr>
        <w:t>Indicators, grouping and scoring approach</w:t>
      </w:r>
    </w:p>
    <w:p w14:paraId="3C75B524" w14:textId="77777777" w:rsidR="00913ED9" w:rsidRDefault="00913ED9" w:rsidP="00935A49">
      <w:pPr>
        <w:spacing w:after="0" w:line="240" w:lineRule="auto"/>
        <w:rPr>
          <w:rFonts w:ascii="Cambria" w:eastAsia="Calibri" w:hAnsi="Cambria" w:cs="Times New Roman"/>
          <w:b/>
          <w:bCs/>
          <w:color w:val="4F81BD"/>
          <w:sz w:val="24"/>
        </w:rPr>
      </w:pPr>
    </w:p>
    <w:tbl>
      <w:tblPr>
        <w:tblW w:w="130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3402"/>
        <w:gridCol w:w="6520"/>
      </w:tblGrid>
      <w:tr w:rsidR="0017234E" w:rsidRPr="00423FCC" w14:paraId="76AE3302" w14:textId="77777777" w:rsidTr="0017234E">
        <w:trPr>
          <w:trHeight w:val="225"/>
        </w:trPr>
        <w:tc>
          <w:tcPr>
            <w:tcW w:w="1701" w:type="dxa"/>
            <w:tcBorders>
              <w:bottom w:val="single" w:sz="4" w:space="0" w:color="auto"/>
            </w:tcBorders>
            <w:shd w:val="clear" w:color="auto" w:fill="auto"/>
            <w:hideMark/>
          </w:tcPr>
          <w:p w14:paraId="0AB2E911" w14:textId="77777777" w:rsidR="0017234E" w:rsidRPr="00423FCC" w:rsidRDefault="0017234E" w:rsidP="00584B39">
            <w:pPr>
              <w:spacing w:after="0" w:line="240" w:lineRule="auto"/>
              <w:contextualSpacing/>
              <w:jc w:val="center"/>
              <w:rPr>
                <w:rFonts w:eastAsia="Calibri" w:cs="Times New Roman"/>
                <w:b/>
                <w:bCs/>
                <w:sz w:val="20"/>
                <w:szCs w:val="20"/>
              </w:rPr>
            </w:pPr>
            <w:r w:rsidRPr="00423FCC">
              <w:rPr>
                <w:rFonts w:eastAsia="Calibri" w:cs="Times New Roman"/>
                <w:b/>
                <w:bCs/>
                <w:sz w:val="20"/>
                <w:szCs w:val="20"/>
              </w:rPr>
              <w:t>Category</w:t>
            </w:r>
          </w:p>
        </w:tc>
        <w:tc>
          <w:tcPr>
            <w:tcW w:w="1418" w:type="dxa"/>
            <w:tcBorders>
              <w:bottom w:val="single" w:sz="4" w:space="0" w:color="auto"/>
            </w:tcBorders>
            <w:shd w:val="clear" w:color="auto" w:fill="auto"/>
          </w:tcPr>
          <w:p w14:paraId="0CA3F37E" w14:textId="77777777" w:rsidR="0017234E" w:rsidRPr="00423FCC" w:rsidRDefault="0017234E" w:rsidP="00584B39">
            <w:pPr>
              <w:spacing w:after="0" w:line="240" w:lineRule="auto"/>
              <w:contextualSpacing/>
              <w:jc w:val="center"/>
              <w:rPr>
                <w:rFonts w:eastAsia="Calibri" w:cs="Times New Roman"/>
                <w:b/>
                <w:bCs/>
                <w:sz w:val="20"/>
                <w:szCs w:val="20"/>
              </w:rPr>
            </w:pPr>
            <w:r w:rsidRPr="00423FCC">
              <w:rPr>
                <w:rFonts w:eastAsia="Calibri" w:cs="Times New Roman"/>
                <w:b/>
                <w:bCs/>
                <w:sz w:val="20"/>
                <w:szCs w:val="20"/>
              </w:rPr>
              <w:t>Sub</w:t>
            </w:r>
            <w:r>
              <w:rPr>
                <w:rFonts w:eastAsia="Calibri" w:cs="Times New Roman"/>
                <w:b/>
                <w:bCs/>
                <w:sz w:val="20"/>
                <w:szCs w:val="20"/>
              </w:rPr>
              <w:t>-</w:t>
            </w:r>
            <w:r w:rsidRPr="00423FCC">
              <w:rPr>
                <w:rFonts w:eastAsia="Calibri" w:cs="Times New Roman"/>
                <w:b/>
                <w:bCs/>
                <w:sz w:val="20"/>
                <w:szCs w:val="20"/>
              </w:rPr>
              <w:t>group</w:t>
            </w:r>
          </w:p>
        </w:tc>
        <w:tc>
          <w:tcPr>
            <w:tcW w:w="3402" w:type="dxa"/>
            <w:tcBorders>
              <w:bottom w:val="single" w:sz="4" w:space="0" w:color="auto"/>
            </w:tcBorders>
            <w:shd w:val="clear" w:color="auto" w:fill="auto"/>
            <w:noWrap/>
            <w:hideMark/>
          </w:tcPr>
          <w:p w14:paraId="08C0D2BD" w14:textId="77777777" w:rsidR="0017234E" w:rsidRPr="00423FCC" w:rsidRDefault="0017234E" w:rsidP="00584B39">
            <w:pPr>
              <w:spacing w:after="0" w:line="240" w:lineRule="auto"/>
              <w:contextualSpacing/>
              <w:jc w:val="center"/>
              <w:rPr>
                <w:rFonts w:eastAsia="Calibri" w:cs="Times New Roman"/>
                <w:b/>
                <w:bCs/>
                <w:sz w:val="20"/>
                <w:szCs w:val="20"/>
              </w:rPr>
            </w:pPr>
            <w:r w:rsidRPr="00423FCC">
              <w:rPr>
                <w:rFonts w:eastAsia="Calibri" w:cs="Times New Roman"/>
                <w:b/>
                <w:bCs/>
                <w:sz w:val="20"/>
                <w:szCs w:val="20"/>
              </w:rPr>
              <w:t>Indicator</w:t>
            </w:r>
          </w:p>
        </w:tc>
        <w:tc>
          <w:tcPr>
            <w:tcW w:w="6520" w:type="dxa"/>
            <w:tcBorders>
              <w:bottom w:val="single" w:sz="4" w:space="0" w:color="auto"/>
            </w:tcBorders>
          </w:tcPr>
          <w:p w14:paraId="68614558" w14:textId="77777777" w:rsidR="0017234E" w:rsidRPr="00423FCC" w:rsidRDefault="0017234E" w:rsidP="00584B39">
            <w:pPr>
              <w:spacing w:after="0" w:line="240" w:lineRule="auto"/>
              <w:contextualSpacing/>
              <w:jc w:val="center"/>
              <w:rPr>
                <w:b/>
                <w:bCs/>
                <w:sz w:val="20"/>
                <w:szCs w:val="20"/>
              </w:rPr>
            </w:pPr>
            <w:r w:rsidRPr="00423FCC">
              <w:rPr>
                <w:b/>
                <w:bCs/>
                <w:sz w:val="20"/>
                <w:szCs w:val="20"/>
              </w:rPr>
              <w:t>Scoring Approach</w:t>
            </w:r>
          </w:p>
        </w:tc>
      </w:tr>
      <w:tr w:rsidR="0017234E" w:rsidRPr="00423FCC" w14:paraId="6BF61FB7" w14:textId="77777777" w:rsidTr="0017234E">
        <w:trPr>
          <w:trHeight w:val="225"/>
        </w:trPr>
        <w:tc>
          <w:tcPr>
            <w:tcW w:w="1701" w:type="dxa"/>
            <w:vMerge w:val="restart"/>
            <w:shd w:val="clear" w:color="auto" w:fill="8DB3E2"/>
            <w:noWrap/>
          </w:tcPr>
          <w:p w14:paraId="13E7BF1A"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Commitment to aid transparency</w:t>
            </w:r>
          </w:p>
        </w:tc>
        <w:tc>
          <w:tcPr>
            <w:tcW w:w="1418" w:type="dxa"/>
            <w:vMerge w:val="restart"/>
            <w:shd w:val="clear" w:color="auto" w:fill="8DB3E2"/>
          </w:tcPr>
          <w:p w14:paraId="3C9B0729"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Commitment</w:t>
            </w:r>
          </w:p>
          <w:p w14:paraId="226E8B02"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8DB3E2"/>
            <w:noWrap/>
            <w:hideMark/>
          </w:tcPr>
          <w:p w14:paraId="05D7A0C6"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Quality of FOI legislation</w:t>
            </w:r>
          </w:p>
        </w:tc>
        <w:tc>
          <w:tcPr>
            <w:tcW w:w="6520" w:type="dxa"/>
            <w:shd w:val="clear" w:color="auto" w:fill="8DB3E2"/>
          </w:tcPr>
          <w:p w14:paraId="3C3F85A0" w14:textId="4560E93C" w:rsidR="0017234E" w:rsidRPr="00423FCC" w:rsidRDefault="0017234E" w:rsidP="00AB1C76">
            <w:pPr>
              <w:spacing w:after="0" w:line="240" w:lineRule="auto"/>
              <w:rPr>
                <w:sz w:val="20"/>
                <w:szCs w:val="20"/>
              </w:rPr>
            </w:pPr>
            <w:r w:rsidRPr="00423FCC">
              <w:rPr>
                <w:sz w:val="20"/>
                <w:szCs w:val="20"/>
              </w:rPr>
              <w:t xml:space="preserve">Graduated based on the score given in </w:t>
            </w:r>
            <w:r>
              <w:rPr>
                <w:sz w:val="20"/>
                <w:szCs w:val="20"/>
              </w:rPr>
              <w:t>Right To Information (</w:t>
            </w:r>
            <w:r w:rsidRPr="00423FCC">
              <w:rPr>
                <w:sz w:val="20"/>
                <w:szCs w:val="20"/>
              </w:rPr>
              <w:t>RTI</w:t>
            </w:r>
            <w:r>
              <w:rPr>
                <w:sz w:val="20"/>
                <w:szCs w:val="20"/>
              </w:rPr>
              <w:t>)</w:t>
            </w:r>
            <w:r w:rsidRPr="00423FCC">
              <w:rPr>
                <w:sz w:val="20"/>
                <w:szCs w:val="20"/>
              </w:rPr>
              <w:t xml:space="preserve"> Rating.</w:t>
            </w:r>
            <w:r>
              <w:rPr>
                <w:sz w:val="20"/>
                <w:szCs w:val="20"/>
              </w:rPr>
              <w:t xml:space="preserve"> </w:t>
            </w:r>
            <w:r w:rsidRPr="00423FCC">
              <w:rPr>
                <w:sz w:val="20"/>
                <w:szCs w:val="20"/>
              </w:rPr>
              <w:t>The complete approach to assessing and scoring FOIA and disclosure polic</w:t>
            </w:r>
            <w:r>
              <w:rPr>
                <w:sz w:val="20"/>
                <w:szCs w:val="20"/>
              </w:rPr>
              <w:t>ies</w:t>
            </w:r>
            <w:r w:rsidRPr="00423FCC">
              <w:rPr>
                <w:sz w:val="20"/>
                <w:szCs w:val="20"/>
              </w:rPr>
              <w:t xml:space="preserve"> </w:t>
            </w:r>
            <w:r>
              <w:rPr>
                <w:sz w:val="20"/>
                <w:szCs w:val="20"/>
              </w:rPr>
              <w:t xml:space="preserve">is outlined in </w:t>
            </w:r>
            <w:r w:rsidRPr="001363B1">
              <w:rPr>
                <w:sz w:val="20"/>
                <w:szCs w:val="20"/>
              </w:rPr>
              <w:t xml:space="preserve">box 2 </w:t>
            </w:r>
            <w:r w:rsidRPr="004514D7">
              <w:rPr>
                <w:sz w:val="20"/>
                <w:szCs w:val="20"/>
              </w:rPr>
              <w:t>on p.</w:t>
            </w:r>
            <w:r w:rsidR="00394D03" w:rsidRPr="004514D7">
              <w:rPr>
                <w:sz w:val="20"/>
                <w:szCs w:val="20"/>
              </w:rPr>
              <w:t>1</w:t>
            </w:r>
            <w:r w:rsidR="00AB1C76">
              <w:rPr>
                <w:sz w:val="20"/>
                <w:szCs w:val="20"/>
              </w:rPr>
              <w:t>8</w:t>
            </w:r>
            <w:r w:rsidRPr="004514D7">
              <w:rPr>
                <w:sz w:val="20"/>
                <w:szCs w:val="20"/>
              </w:rPr>
              <w:t>.</w:t>
            </w:r>
          </w:p>
        </w:tc>
      </w:tr>
      <w:tr w:rsidR="0017234E" w:rsidRPr="00423FCC" w14:paraId="1E4D4639" w14:textId="77777777" w:rsidTr="0017234E">
        <w:trPr>
          <w:trHeight w:val="225"/>
        </w:trPr>
        <w:tc>
          <w:tcPr>
            <w:tcW w:w="1701" w:type="dxa"/>
            <w:vMerge/>
            <w:shd w:val="clear" w:color="auto" w:fill="8DB3E2"/>
            <w:noWrap/>
            <w:hideMark/>
          </w:tcPr>
          <w:p w14:paraId="5C2BB274"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8DB3E2"/>
          </w:tcPr>
          <w:p w14:paraId="1369F977"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8DB3E2"/>
            <w:noWrap/>
            <w:hideMark/>
          </w:tcPr>
          <w:p w14:paraId="6393FE3B"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Implementation schedules</w:t>
            </w:r>
          </w:p>
        </w:tc>
        <w:tc>
          <w:tcPr>
            <w:tcW w:w="6520" w:type="dxa"/>
            <w:shd w:val="clear" w:color="auto" w:fill="8DB3E2"/>
          </w:tcPr>
          <w:p w14:paraId="3F8CF985" w14:textId="77777777" w:rsidR="0017234E" w:rsidRPr="00423FCC" w:rsidRDefault="0017234E" w:rsidP="00584B39">
            <w:pPr>
              <w:spacing w:after="0" w:line="240" w:lineRule="auto"/>
              <w:rPr>
                <w:sz w:val="20"/>
                <w:szCs w:val="20"/>
              </w:rPr>
            </w:pPr>
            <w:r w:rsidRPr="00423FCC">
              <w:rPr>
                <w:sz w:val="20"/>
                <w:szCs w:val="20"/>
              </w:rPr>
              <w:t>Graduated based on the total score received out of 100 based on analysis of Busan common standard/IATI implementation schedules.</w:t>
            </w:r>
          </w:p>
        </w:tc>
      </w:tr>
      <w:tr w:rsidR="0017234E" w:rsidRPr="00423FCC" w14:paraId="154C92B8" w14:textId="77777777" w:rsidTr="0017234E">
        <w:trPr>
          <w:trHeight w:val="225"/>
        </w:trPr>
        <w:tc>
          <w:tcPr>
            <w:tcW w:w="1701" w:type="dxa"/>
            <w:vMerge/>
            <w:tcBorders>
              <w:bottom w:val="single" w:sz="4" w:space="0" w:color="auto"/>
            </w:tcBorders>
            <w:shd w:val="clear" w:color="auto" w:fill="8DB3E2"/>
            <w:noWrap/>
            <w:hideMark/>
          </w:tcPr>
          <w:p w14:paraId="158BC98F"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8DB3E2"/>
          </w:tcPr>
          <w:p w14:paraId="2EC0260D" w14:textId="77777777" w:rsidR="0017234E" w:rsidRPr="00423FCC" w:rsidRDefault="0017234E" w:rsidP="00584B39">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8DB3E2"/>
            <w:noWrap/>
            <w:hideMark/>
          </w:tcPr>
          <w:p w14:paraId="1C8095EB"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Accessibility</w:t>
            </w:r>
            <w:r w:rsidR="005221A5">
              <w:rPr>
                <w:sz w:val="20"/>
                <w:szCs w:val="20"/>
              </w:rPr>
              <w:t xml:space="preserve"> (database/data portal)</w:t>
            </w:r>
          </w:p>
        </w:tc>
        <w:tc>
          <w:tcPr>
            <w:tcW w:w="6520" w:type="dxa"/>
            <w:tcBorders>
              <w:bottom w:val="single" w:sz="4" w:space="0" w:color="auto"/>
            </w:tcBorders>
            <w:shd w:val="clear" w:color="auto" w:fill="8DB3E2"/>
          </w:tcPr>
          <w:p w14:paraId="0C042002" w14:textId="77777777" w:rsidR="0017234E" w:rsidRPr="00423FCC" w:rsidRDefault="0017234E" w:rsidP="00584B39">
            <w:pPr>
              <w:tabs>
                <w:tab w:val="left" w:pos="3577"/>
              </w:tabs>
              <w:spacing w:after="0" w:line="240" w:lineRule="auto"/>
              <w:ind w:right="34"/>
              <w:rPr>
                <w:sz w:val="20"/>
                <w:szCs w:val="20"/>
              </w:rPr>
            </w:pPr>
            <w:r w:rsidRPr="00423FCC">
              <w:rPr>
                <w:sz w:val="20"/>
                <w:szCs w:val="20"/>
              </w:rPr>
              <w:t xml:space="preserve">Graduated </w:t>
            </w:r>
            <w:r>
              <w:rPr>
                <w:sz w:val="20"/>
                <w:szCs w:val="20"/>
              </w:rPr>
              <w:t>b</w:t>
            </w:r>
            <w:r w:rsidRPr="00423FCC">
              <w:rPr>
                <w:sz w:val="20"/>
                <w:szCs w:val="20"/>
              </w:rPr>
              <w:t xml:space="preserve">ased on three criteria: allows free bulk export of data; provides disaggregated, detailed data on activities; and data is released under an open licence. </w:t>
            </w:r>
          </w:p>
        </w:tc>
      </w:tr>
      <w:tr w:rsidR="0017234E" w:rsidRPr="00423FCC" w14:paraId="22E5D186" w14:textId="77777777" w:rsidTr="0017234E">
        <w:trPr>
          <w:trHeight w:val="225"/>
        </w:trPr>
        <w:tc>
          <w:tcPr>
            <w:tcW w:w="1701" w:type="dxa"/>
            <w:vMerge w:val="restart"/>
            <w:shd w:val="clear" w:color="auto" w:fill="C6D9F1"/>
            <w:noWrap/>
          </w:tcPr>
          <w:p w14:paraId="35A553D8" w14:textId="77777777" w:rsidR="0017234E" w:rsidRPr="00423FCC" w:rsidRDefault="0017234E" w:rsidP="00584B39">
            <w:pPr>
              <w:spacing w:after="0" w:line="240" w:lineRule="auto"/>
              <w:contextualSpacing/>
              <w:rPr>
                <w:rFonts w:eastAsia="Calibri" w:cs="Times New Roman"/>
                <w:sz w:val="20"/>
                <w:szCs w:val="20"/>
              </w:rPr>
            </w:pPr>
            <w:r w:rsidRPr="00423FCC">
              <w:rPr>
                <w:sz w:val="20"/>
                <w:szCs w:val="20"/>
              </w:rPr>
              <w:t>Publication –</w:t>
            </w:r>
            <w:r w:rsidRPr="00423FCC">
              <w:rPr>
                <w:rFonts w:eastAsia="Calibri" w:cs="Times New Roman"/>
                <w:sz w:val="20"/>
                <w:szCs w:val="20"/>
              </w:rPr>
              <w:t xml:space="preserve"> Organisation level</w:t>
            </w:r>
          </w:p>
        </w:tc>
        <w:tc>
          <w:tcPr>
            <w:tcW w:w="1418" w:type="dxa"/>
            <w:vMerge w:val="restart"/>
            <w:shd w:val="clear" w:color="auto" w:fill="C6D9F1"/>
          </w:tcPr>
          <w:p w14:paraId="228E4562"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Planning</w:t>
            </w:r>
          </w:p>
          <w:p w14:paraId="4708981E"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2FC096BC"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Strategy</w:t>
            </w:r>
          </w:p>
        </w:tc>
        <w:tc>
          <w:tcPr>
            <w:tcW w:w="6520" w:type="dxa"/>
            <w:shd w:val="clear" w:color="auto" w:fill="C6D9F1"/>
          </w:tcPr>
          <w:p w14:paraId="0A6369FD"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49CC69D5" w14:textId="77777777" w:rsidTr="0017234E">
        <w:trPr>
          <w:trHeight w:val="225"/>
        </w:trPr>
        <w:tc>
          <w:tcPr>
            <w:tcW w:w="1701" w:type="dxa"/>
            <w:vMerge/>
            <w:shd w:val="clear" w:color="auto" w:fill="C6D9F1"/>
            <w:noWrap/>
            <w:hideMark/>
          </w:tcPr>
          <w:p w14:paraId="65A3C783"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14:paraId="5729D184"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7A57A87D"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Annual report</w:t>
            </w:r>
          </w:p>
        </w:tc>
        <w:tc>
          <w:tcPr>
            <w:tcW w:w="6520" w:type="dxa"/>
            <w:shd w:val="clear" w:color="auto" w:fill="C6D9F1"/>
          </w:tcPr>
          <w:p w14:paraId="0FE7C710"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2B167C97" w14:textId="77777777" w:rsidTr="0017234E">
        <w:trPr>
          <w:trHeight w:val="225"/>
        </w:trPr>
        <w:tc>
          <w:tcPr>
            <w:tcW w:w="1701" w:type="dxa"/>
            <w:vMerge/>
            <w:shd w:val="clear" w:color="auto" w:fill="C6D9F1"/>
            <w:noWrap/>
            <w:hideMark/>
          </w:tcPr>
          <w:p w14:paraId="4204F2FC"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14:paraId="52EA88E2"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0A92300E"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Allocation policy</w:t>
            </w:r>
          </w:p>
        </w:tc>
        <w:tc>
          <w:tcPr>
            <w:tcW w:w="6520" w:type="dxa"/>
            <w:shd w:val="clear" w:color="auto" w:fill="C6D9F1"/>
          </w:tcPr>
          <w:p w14:paraId="254A366B"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6B7265A4" w14:textId="77777777" w:rsidTr="0017234E">
        <w:trPr>
          <w:trHeight w:val="225"/>
        </w:trPr>
        <w:tc>
          <w:tcPr>
            <w:tcW w:w="1701" w:type="dxa"/>
            <w:vMerge/>
            <w:shd w:val="clear" w:color="auto" w:fill="C6D9F1"/>
            <w:noWrap/>
            <w:hideMark/>
          </w:tcPr>
          <w:p w14:paraId="18B67EE8"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14:paraId="2C2F39CA"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2AC8B401"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Procurement policy</w:t>
            </w:r>
          </w:p>
        </w:tc>
        <w:tc>
          <w:tcPr>
            <w:tcW w:w="6520" w:type="dxa"/>
            <w:shd w:val="clear" w:color="auto" w:fill="C6D9F1"/>
          </w:tcPr>
          <w:p w14:paraId="70AE57FD"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08FFDFCC" w14:textId="77777777" w:rsidTr="0017234E">
        <w:trPr>
          <w:trHeight w:val="225"/>
        </w:trPr>
        <w:tc>
          <w:tcPr>
            <w:tcW w:w="1701" w:type="dxa"/>
            <w:vMerge/>
            <w:shd w:val="clear" w:color="auto" w:fill="C6D9F1"/>
            <w:noWrap/>
            <w:hideMark/>
          </w:tcPr>
          <w:p w14:paraId="1EB2319A"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14:paraId="35259F83"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7F6531C3"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Strategy (country</w:t>
            </w:r>
            <w:r w:rsidR="008822C0">
              <w:rPr>
                <w:sz w:val="20"/>
                <w:szCs w:val="20"/>
              </w:rPr>
              <w:t>/sector</w:t>
            </w:r>
            <w:r w:rsidRPr="00423FCC">
              <w:rPr>
                <w:sz w:val="20"/>
                <w:szCs w:val="20"/>
              </w:rPr>
              <w:t>)</w:t>
            </w:r>
          </w:p>
        </w:tc>
        <w:tc>
          <w:tcPr>
            <w:tcW w:w="6520" w:type="dxa"/>
            <w:shd w:val="clear" w:color="auto" w:fill="C6D9F1"/>
          </w:tcPr>
          <w:p w14:paraId="6833097D" w14:textId="77777777" w:rsidR="0017234E" w:rsidRPr="00423FCC" w:rsidRDefault="0017234E" w:rsidP="008C7AF5">
            <w:pPr>
              <w:spacing w:after="0" w:line="240" w:lineRule="auto"/>
              <w:rPr>
                <w:sz w:val="20"/>
                <w:szCs w:val="20"/>
              </w:rPr>
            </w:pPr>
            <w:r w:rsidRPr="00423FCC">
              <w:rPr>
                <w:sz w:val="20"/>
                <w:szCs w:val="20"/>
              </w:rPr>
              <w:t>Graduated based on accessibility</w:t>
            </w:r>
            <w:r w:rsidR="008C7AF5">
              <w:rPr>
                <w:sz w:val="20"/>
                <w:szCs w:val="20"/>
              </w:rPr>
              <w:t xml:space="preserve"> (and the proportion of countries for which strategies are provided for IATI publishers)</w:t>
            </w:r>
          </w:p>
        </w:tc>
      </w:tr>
      <w:tr w:rsidR="0017234E" w:rsidRPr="00423FCC" w14:paraId="6562E3EC" w14:textId="77777777" w:rsidTr="0017234E">
        <w:trPr>
          <w:trHeight w:val="225"/>
        </w:trPr>
        <w:tc>
          <w:tcPr>
            <w:tcW w:w="1701" w:type="dxa"/>
            <w:vMerge/>
            <w:shd w:val="clear" w:color="auto" w:fill="C6D9F1"/>
            <w:noWrap/>
          </w:tcPr>
          <w:p w14:paraId="5B39515A"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C6D9F1"/>
          </w:tcPr>
          <w:p w14:paraId="40F2C508"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Financial</w:t>
            </w:r>
          </w:p>
          <w:p w14:paraId="3C7DADDB"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3C837E41"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Total organisation budget</w:t>
            </w:r>
          </w:p>
        </w:tc>
        <w:tc>
          <w:tcPr>
            <w:tcW w:w="6520" w:type="dxa"/>
            <w:shd w:val="clear" w:color="auto" w:fill="C6D9F1"/>
          </w:tcPr>
          <w:p w14:paraId="1B8F5955" w14:textId="77777777" w:rsidR="0017234E" w:rsidRPr="00423FCC" w:rsidRDefault="0017234E" w:rsidP="00584B39">
            <w:pPr>
              <w:spacing w:after="0" w:line="240" w:lineRule="auto"/>
              <w:rPr>
                <w:sz w:val="20"/>
                <w:szCs w:val="20"/>
              </w:rPr>
            </w:pPr>
            <w:r w:rsidRPr="00423FCC">
              <w:rPr>
                <w:sz w:val="20"/>
                <w:szCs w:val="20"/>
              </w:rPr>
              <w:t>Graduated based on format and number of years for which data is provided</w:t>
            </w:r>
          </w:p>
        </w:tc>
      </w:tr>
      <w:tr w:rsidR="0017234E" w:rsidRPr="00423FCC" w14:paraId="64902014" w14:textId="77777777" w:rsidTr="0017234E">
        <w:trPr>
          <w:trHeight w:val="225"/>
        </w:trPr>
        <w:tc>
          <w:tcPr>
            <w:tcW w:w="1701" w:type="dxa"/>
            <w:vMerge/>
            <w:shd w:val="clear" w:color="auto" w:fill="C6D9F1"/>
            <w:noWrap/>
            <w:hideMark/>
          </w:tcPr>
          <w:p w14:paraId="1DCED0F8"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14:paraId="223373B7"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14:paraId="2AEB011C"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Disaggregated budget</w:t>
            </w:r>
          </w:p>
        </w:tc>
        <w:tc>
          <w:tcPr>
            <w:tcW w:w="6520" w:type="dxa"/>
            <w:shd w:val="clear" w:color="auto" w:fill="C6D9F1"/>
          </w:tcPr>
          <w:p w14:paraId="1496498B" w14:textId="77777777" w:rsidR="0017234E" w:rsidRPr="00423FCC" w:rsidRDefault="0017234E" w:rsidP="00584B39">
            <w:pPr>
              <w:spacing w:after="0" w:line="240" w:lineRule="auto"/>
              <w:rPr>
                <w:sz w:val="20"/>
                <w:szCs w:val="20"/>
              </w:rPr>
            </w:pPr>
            <w:r w:rsidRPr="00423FCC">
              <w:rPr>
                <w:sz w:val="20"/>
                <w:szCs w:val="20"/>
              </w:rPr>
              <w:t>Graduated based on format and number of years for which data is provided</w:t>
            </w:r>
          </w:p>
        </w:tc>
      </w:tr>
      <w:tr w:rsidR="0017234E" w:rsidRPr="00423FCC" w14:paraId="685978D0" w14:textId="77777777" w:rsidTr="0017234E">
        <w:trPr>
          <w:trHeight w:val="225"/>
        </w:trPr>
        <w:tc>
          <w:tcPr>
            <w:tcW w:w="1701" w:type="dxa"/>
            <w:vMerge/>
            <w:tcBorders>
              <w:bottom w:val="single" w:sz="4" w:space="0" w:color="auto"/>
            </w:tcBorders>
            <w:shd w:val="clear" w:color="auto" w:fill="C6D9F1"/>
            <w:noWrap/>
          </w:tcPr>
          <w:p w14:paraId="082B7D28"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C6D9F1"/>
          </w:tcPr>
          <w:p w14:paraId="076D0B80" w14:textId="77777777" w:rsidR="0017234E" w:rsidRPr="00423FCC" w:rsidRDefault="0017234E" w:rsidP="00584B39">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C6D9F1"/>
            <w:noWrap/>
          </w:tcPr>
          <w:p w14:paraId="7D5EE82A"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Audit</w:t>
            </w:r>
          </w:p>
        </w:tc>
        <w:tc>
          <w:tcPr>
            <w:tcW w:w="6520" w:type="dxa"/>
            <w:tcBorders>
              <w:bottom w:val="single" w:sz="4" w:space="0" w:color="auto"/>
            </w:tcBorders>
            <w:shd w:val="clear" w:color="auto" w:fill="C6D9F1"/>
          </w:tcPr>
          <w:p w14:paraId="3CFD9C14"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27D32659" w14:textId="77777777" w:rsidTr="0017234E">
        <w:trPr>
          <w:trHeight w:val="225"/>
        </w:trPr>
        <w:tc>
          <w:tcPr>
            <w:tcW w:w="1701" w:type="dxa"/>
            <w:vMerge w:val="restart"/>
            <w:shd w:val="clear" w:color="auto" w:fill="DBE5F1"/>
            <w:noWrap/>
          </w:tcPr>
          <w:p w14:paraId="4B7CC3B1"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 xml:space="preserve">Publication – Activity level </w:t>
            </w:r>
          </w:p>
        </w:tc>
        <w:tc>
          <w:tcPr>
            <w:tcW w:w="1418" w:type="dxa"/>
            <w:vMerge w:val="restart"/>
            <w:shd w:val="clear" w:color="auto" w:fill="DBE5F1"/>
          </w:tcPr>
          <w:p w14:paraId="0C6C2802" w14:textId="77777777" w:rsidR="0017234E" w:rsidRPr="00423FCC" w:rsidRDefault="0017234E" w:rsidP="00584B39">
            <w:pPr>
              <w:spacing w:after="0" w:line="240" w:lineRule="auto"/>
              <w:contextualSpacing/>
              <w:rPr>
                <w:rFonts w:eastAsia="Calibri" w:cs="Times New Roman"/>
                <w:sz w:val="20"/>
                <w:szCs w:val="20"/>
              </w:rPr>
            </w:pPr>
            <w:r w:rsidRPr="00423FCC">
              <w:rPr>
                <w:sz w:val="20"/>
                <w:szCs w:val="20"/>
              </w:rPr>
              <w:t>Basic activity i</w:t>
            </w:r>
            <w:r w:rsidRPr="00423FCC">
              <w:rPr>
                <w:rFonts w:eastAsia="Calibri" w:cs="Times New Roman"/>
                <w:sz w:val="20"/>
                <w:szCs w:val="20"/>
              </w:rPr>
              <w:t>nformation</w:t>
            </w:r>
          </w:p>
        </w:tc>
        <w:tc>
          <w:tcPr>
            <w:tcW w:w="3402" w:type="dxa"/>
            <w:shd w:val="clear" w:color="auto" w:fill="DBE5F1"/>
            <w:noWrap/>
          </w:tcPr>
          <w:p w14:paraId="2C478BE0"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Implementer</w:t>
            </w:r>
          </w:p>
        </w:tc>
        <w:tc>
          <w:tcPr>
            <w:tcW w:w="6520" w:type="dxa"/>
            <w:shd w:val="clear" w:color="auto" w:fill="DBE5F1"/>
          </w:tcPr>
          <w:p w14:paraId="4FCDDE3A"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5AD67EE7" w14:textId="77777777" w:rsidTr="0017234E">
        <w:trPr>
          <w:trHeight w:val="290"/>
        </w:trPr>
        <w:tc>
          <w:tcPr>
            <w:tcW w:w="1701" w:type="dxa"/>
            <w:vMerge/>
            <w:shd w:val="clear" w:color="auto" w:fill="DBE5F1"/>
            <w:noWrap/>
            <w:hideMark/>
          </w:tcPr>
          <w:p w14:paraId="6A72DE8D"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53D0A63B"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06860B91"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Unique ID</w:t>
            </w:r>
          </w:p>
        </w:tc>
        <w:tc>
          <w:tcPr>
            <w:tcW w:w="6520" w:type="dxa"/>
            <w:shd w:val="clear" w:color="auto" w:fill="DBE5F1"/>
          </w:tcPr>
          <w:p w14:paraId="5F765CE4"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1A05E995" w14:textId="77777777" w:rsidTr="0017234E">
        <w:trPr>
          <w:trHeight w:val="225"/>
        </w:trPr>
        <w:tc>
          <w:tcPr>
            <w:tcW w:w="1701" w:type="dxa"/>
            <w:vMerge/>
            <w:shd w:val="clear" w:color="auto" w:fill="DBE5F1"/>
            <w:noWrap/>
            <w:hideMark/>
          </w:tcPr>
          <w:p w14:paraId="71CF4938"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3838D95D"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77F78D8A"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Title</w:t>
            </w:r>
          </w:p>
        </w:tc>
        <w:tc>
          <w:tcPr>
            <w:tcW w:w="6520" w:type="dxa"/>
            <w:shd w:val="clear" w:color="auto" w:fill="DBE5F1"/>
          </w:tcPr>
          <w:p w14:paraId="6EFDCF48"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2537BF07" w14:textId="77777777" w:rsidTr="0017234E">
        <w:trPr>
          <w:trHeight w:val="225"/>
        </w:trPr>
        <w:tc>
          <w:tcPr>
            <w:tcW w:w="1701" w:type="dxa"/>
            <w:vMerge/>
            <w:shd w:val="clear" w:color="auto" w:fill="DBE5F1"/>
            <w:noWrap/>
            <w:hideMark/>
          </w:tcPr>
          <w:p w14:paraId="6FDEA64F"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4B9F12D8"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30A2C2E9"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Description</w:t>
            </w:r>
          </w:p>
        </w:tc>
        <w:tc>
          <w:tcPr>
            <w:tcW w:w="6520" w:type="dxa"/>
            <w:shd w:val="clear" w:color="auto" w:fill="DBE5F1"/>
          </w:tcPr>
          <w:p w14:paraId="6F1C2155"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3EDEBDA4" w14:textId="77777777" w:rsidTr="0017234E">
        <w:trPr>
          <w:trHeight w:val="225"/>
        </w:trPr>
        <w:tc>
          <w:tcPr>
            <w:tcW w:w="1701" w:type="dxa"/>
            <w:vMerge/>
            <w:shd w:val="clear" w:color="auto" w:fill="DBE5F1"/>
            <w:noWrap/>
            <w:hideMark/>
          </w:tcPr>
          <w:p w14:paraId="66A840D7"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5FCC5504"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3CE65D49"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Planned dates</w:t>
            </w:r>
          </w:p>
        </w:tc>
        <w:tc>
          <w:tcPr>
            <w:tcW w:w="6520" w:type="dxa"/>
            <w:shd w:val="clear" w:color="auto" w:fill="DBE5F1"/>
          </w:tcPr>
          <w:p w14:paraId="6C958365"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4EC49AFF" w14:textId="77777777" w:rsidTr="0017234E">
        <w:trPr>
          <w:trHeight w:val="225"/>
        </w:trPr>
        <w:tc>
          <w:tcPr>
            <w:tcW w:w="1701" w:type="dxa"/>
            <w:vMerge/>
            <w:shd w:val="clear" w:color="auto" w:fill="DBE5F1"/>
            <w:noWrap/>
            <w:hideMark/>
          </w:tcPr>
          <w:p w14:paraId="021E117A"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56912114"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18AED91B"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Actual dates</w:t>
            </w:r>
          </w:p>
        </w:tc>
        <w:tc>
          <w:tcPr>
            <w:tcW w:w="6520" w:type="dxa"/>
            <w:shd w:val="clear" w:color="auto" w:fill="DBE5F1"/>
          </w:tcPr>
          <w:p w14:paraId="06CBAD50"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093266D6" w14:textId="77777777" w:rsidTr="0017234E">
        <w:trPr>
          <w:trHeight w:val="225"/>
        </w:trPr>
        <w:tc>
          <w:tcPr>
            <w:tcW w:w="1701" w:type="dxa"/>
            <w:vMerge/>
            <w:shd w:val="clear" w:color="auto" w:fill="DBE5F1"/>
            <w:noWrap/>
            <w:hideMark/>
          </w:tcPr>
          <w:p w14:paraId="677B06AB"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75BBCCBF"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40AABA8A"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Current status</w:t>
            </w:r>
          </w:p>
        </w:tc>
        <w:tc>
          <w:tcPr>
            <w:tcW w:w="6520" w:type="dxa"/>
            <w:shd w:val="clear" w:color="auto" w:fill="DBE5F1"/>
          </w:tcPr>
          <w:p w14:paraId="70C32369"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0F1B48CF" w14:textId="77777777" w:rsidTr="0017234E">
        <w:trPr>
          <w:trHeight w:val="225"/>
        </w:trPr>
        <w:tc>
          <w:tcPr>
            <w:tcW w:w="1701" w:type="dxa"/>
            <w:vMerge/>
            <w:shd w:val="clear" w:color="auto" w:fill="DBE5F1"/>
            <w:noWrap/>
            <w:hideMark/>
          </w:tcPr>
          <w:p w14:paraId="6D9FE499"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2A11BF03"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05D9B2A1"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Contact details</w:t>
            </w:r>
          </w:p>
        </w:tc>
        <w:tc>
          <w:tcPr>
            <w:tcW w:w="6520" w:type="dxa"/>
            <w:shd w:val="clear" w:color="auto" w:fill="DBE5F1"/>
          </w:tcPr>
          <w:p w14:paraId="0BA68A7B"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313189D4" w14:textId="77777777" w:rsidTr="0017234E">
        <w:trPr>
          <w:trHeight w:val="225"/>
        </w:trPr>
        <w:tc>
          <w:tcPr>
            <w:tcW w:w="1701" w:type="dxa"/>
            <w:vMerge/>
            <w:shd w:val="clear" w:color="auto" w:fill="DBE5F1"/>
            <w:noWrap/>
            <w:hideMark/>
          </w:tcPr>
          <w:p w14:paraId="24C4E28D"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14:paraId="3033FB4A"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Classifications</w:t>
            </w:r>
          </w:p>
          <w:p w14:paraId="553C04F9"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7A979C0C"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Collaboration type</w:t>
            </w:r>
          </w:p>
        </w:tc>
        <w:tc>
          <w:tcPr>
            <w:tcW w:w="6520" w:type="dxa"/>
            <w:shd w:val="clear" w:color="auto" w:fill="DBE5F1"/>
          </w:tcPr>
          <w:p w14:paraId="254A5F2A"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386359F3" w14:textId="77777777" w:rsidTr="0017234E">
        <w:trPr>
          <w:trHeight w:val="225"/>
        </w:trPr>
        <w:tc>
          <w:tcPr>
            <w:tcW w:w="1701" w:type="dxa"/>
            <w:vMerge/>
            <w:shd w:val="clear" w:color="auto" w:fill="DBE5F1"/>
            <w:noWrap/>
            <w:hideMark/>
          </w:tcPr>
          <w:p w14:paraId="54814D00"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7F73E1AC"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1BA57A2C"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Flow type</w:t>
            </w:r>
          </w:p>
        </w:tc>
        <w:tc>
          <w:tcPr>
            <w:tcW w:w="6520" w:type="dxa"/>
            <w:shd w:val="clear" w:color="auto" w:fill="DBE5F1"/>
          </w:tcPr>
          <w:p w14:paraId="364CB909"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7D60819B" w14:textId="77777777" w:rsidTr="0017234E">
        <w:trPr>
          <w:trHeight w:val="225"/>
        </w:trPr>
        <w:tc>
          <w:tcPr>
            <w:tcW w:w="1701" w:type="dxa"/>
            <w:vMerge/>
            <w:shd w:val="clear" w:color="auto" w:fill="DBE5F1"/>
            <w:noWrap/>
            <w:hideMark/>
          </w:tcPr>
          <w:p w14:paraId="567E8449"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4EA5C986"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4930EDD3"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Aid type</w:t>
            </w:r>
          </w:p>
        </w:tc>
        <w:tc>
          <w:tcPr>
            <w:tcW w:w="6520" w:type="dxa"/>
            <w:shd w:val="clear" w:color="auto" w:fill="DBE5F1"/>
          </w:tcPr>
          <w:p w14:paraId="752090D0"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35266DA0" w14:textId="77777777" w:rsidTr="0017234E">
        <w:trPr>
          <w:trHeight w:val="225"/>
        </w:trPr>
        <w:tc>
          <w:tcPr>
            <w:tcW w:w="1701" w:type="dxa"/>
            <w:vMerge/>
            <w:shd w:val="clear" w:color="auto" w:fill="DBE5F1"/>
            <w:noWrap/>
            <w:hideMark/>
          </w:tcPr>
          <w:p w14:paraId="7A5915DC"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46A8912F"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4BD68014"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Finance type</w:t>
            </w:r>
          </w:p>
        </w:tc>
        <w:tc>
          <w:tcPr>
            <w:tcW w:w="6520" w:type="dxa"/>
            <w:shd w:val="clear" w:color="auto" w:fill="DBE5F1"/>
          </w:tcPr>
          <w:p w14:paraId="7EFC6E75"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769F6F45" w14:textId="77777777" w:rsidTr="0017234E">
        <w:trPr>
          <w:trHeight w:val="225"/>
        </w:trPr>
        <w:tc>
          <w:tcPr>
            <w:tcW w:w="1701" w:type="dxa"/>
            <w:vMerge/>
            <w:shd w:val="clear" w:color="auto" w:fill="DBE5F1"/>
            <w:noWrap/>
            <w:hideMark/>
          </w:tcPr>
          <w:p w14:paraId="1E4854FD"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57F13AC9"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5C6918CB"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Sectors</w:t>
            </w:r>
          </w:p>
        </w:tc>
        <w:tc>
          <w:tcPr>
            <w:tcW w:w="6520" w:type="dxa"/>
            <w:shd w:val="clear" w:color="auto" w:fill="DBE5F1"/>
          </w:tcPr>
          <w:p w14:paraId="46E9138A"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12E4398F" w14:textId="77777777" w:rsidTr="0017234E">
        <w:trPr>
          <w:trHeight w:val="225"/>
        </w:trPr>
        <w:tc>
          <w:tcPr>
            <w:tcW w:w="1701" w:type="dxa"/>
            <w:vMerge/>
            <w:shd w:val="clear" w:color="auto" w:fill="DBE5F1"/>
            <w:noWrap/>
            <w:hideMark/>
          </w:tcPr>
          <w:p w14:paraId="5D7C979C"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0FD12B18"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666EEF04"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Sub-national location</w:t>
            </w:r>
          </w:p>
        </w:tc>
        <w:tc>
          <w:tcPr>
            <w:tcW w:w="6520" w:type="dxa"/>
            <w:shd w:val="clear" w:color="auto" w:fill="DBE5F1"/>
          </w:tcPr>
          <w:p w14:paraId="48D4483D"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0ABD5997" w14:textId="77777777" w:rsidTr="0017234E">
        <w:trPr>
          <w:trHeight w:val="225"/>
        </w:trPr>
        <w:tc>
          <w:tcPr>
            <w:tcW w:w="1701" w:type="dxa"/>
            <w:vMerge/>
            <w:shd w:val="clear" w:color="auto" w:fill="DBE5F1"/>
            <w:noWrap/>
            <w:hideMark/>
          </w:tcPr>
          <w:p w14:paraId="5880DDEB"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62CE5856"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211FBE86"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Tied aid status</w:t>
            </w:r>
          </w:p>
        </w:tc>
        <w:tc>
          <w:tcPr>
            <w:tcW w:w="6520" w:type="dxa"/>
            <w:shd w:val="clear" w:color="auto" w:fill="DBE5F1"/>
          </w:tcPr>
          <w:p w14:paraId="59DCE801"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33A29F71" w14:textId="77777777" w:rsidTr="0017234E">
        <w:trPr>
          <w:trHeight w:val="225"/>
        </w:trPr>
        <w:tc>
          <w:tcPr>
            <w:tcW w:w="1701" w:type="dxa"/>
            <w:vMerge/>
            <w:shd w:val="clear" w:color="auto" w:fill="DBE5F1"/>
            <w:noWrap/>
            <w:hideMark/>
          </w:tcPr>
          <w:p w14:paraId="1D22A690"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14:paraId="555C9856"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Related documents</w:t>
            </w:r>
          </w:p>
        </w:tc>
        <w:tc>
          <w:tcPr>
            <w:tcW w:w="3402" w:type="dxa"/>
            <w:shd w:val="clear" w:color="auto" w:fill="DBE5F1"/>
            <w:noWrap/>
            <w:hideMark/>
          </w:tcPr>
          <w:p w14:paraId="5C4CF3A8"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color w:val="000000"/>
                <w:sz w:val="20"/>
                <w:szCs w:val="20"/>
              </w:rPr>
              <w:t>Memorandum of Understanding</w:t>
            </w:r>
          </w:p>
        </w:tc>
        <w:tc>
          <w:tcPr>
            <w:tcW w:w="6520" w:type="dxa"/>
            <w:shd w:val="clear" w:color="auto" w:fill="DBE5F1"/>
          </w:tcPr>
          <w:p w14:paraId="0F2C5AC3" w14:textId="77777777" w:rsidR="0017234E" w:rsidRPr="00423FCC" w:rsidRDefault="0017234E" w:rsidP="00584B39">
            <w:pPr>
              <w:spacing w:after="0" w:line="240" w:lineRule="auto"/>
              <w:rPr>
                <w:sz w:val="20"/>
                <w:szCs w:val="20"/>
              </w:rPr>
            </w:pPr>
            <w:r w:rsidRPr="00423FCC">
              <w:rPr>
                <w:sz w:val="20"/>
                <w:szCs w:val="20"/>
              </w:rPr>
              <w:t xml:space="preserve">Graduated based on accessibility </w:t>
            </w:r>
          </w:p>
        </w:tc>
      </w:tr>
      <w:tr w:rsidR="0017234E" w:rsidRPr="00423FCC" w14:paraId="02F129B4" w14:textId="77777777" w:rsidTr="0017234E">
        <w:trPr>
          <w:trHeight w:val="225"/>
        </w:trPr>
        <w:tc>
          <w:tcPr>
            <w:tcW w:w="1701" w:type="dxa"/>
            <w:vMerge/>
            <w:shd w:val="clear" w:color="auto" w:fill="DBE5F1"/>
            <w:noWrap/>
            <w:hideMark/>
          </w:tcPr>
          <w:p w14:paraId="00CB7929"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18F3DBD6"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5E454E39"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Evaluations</w:t>
            </w:r>
          </w:p>
        </w:tc>
        <w:tc>
          <w:tcPr>
            <w:tcW w:w="6520" w:type="dxa"/>
            <w:shd w:val="clear" w:color="auto" w:fill="DBE5F1"/>
          </w:tcPr>
          <w:p w14:paraId="23D6CFDD"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6F2CD0BB" w14:textId="77777777" w:rsidTr="0017234E">
        <w:trPr>
          <w:trHeight w:val="225"/>
        </w:trPr>
        <w:tc>
          <w:tcPr>
            <w:tcW w:w="1701" w:type="dxa"/>
            <w:vMerge/>
            <w:shd w:val="clear" w:color="auto" w:fill="DBE5F1"/>
            <w:noWrap/>
            <w:hideMark/>
          </w:tcPr>
          <w:p w14:paraId="78D99EC0"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4FAC2D14"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1B4A3674"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Objectives</w:t>
            </w:r>
          </w:p>
        </w:tc>
        <w:tc>
          <w:tcPr>
            <w:tcW w:w="6520" w:type="dxa"/>
            <w:shd w:val="clear" w:color="auto" w:fill="DBE5F1"/>
          </w:tcPr>
          <w:p w14:paraId="0917BFFC"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65226CA4" w14:textId="77777777" w:rsidTr="0017234E">
        <w:trPr>
          <w:trHeight w:val="225"/>
        </w:trPr>
        <w:tc>
          <w:tcPr>
            <w:tcW w:w="1701" w:type="dxa"/>
            <w:vMerge/>
            <w:shd w:val="clear" w:color="auto" w:fill="DBE5F1"/>
            <w:noWrap/>
            <w:hideMark/>
          </w:tcPr>
          <w:p w14:paraId="255079E4"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1B60DF4C"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6E631450"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Budget docs</w:t>
            </w:r>
          </w:p>
        </w:tc>
        <w:tc>
          <w:tcPr>
            <w:tcW w:w="6520" w:type="dxa"/>
            <w:shd w:val="clear" w:color="auto" w:fill="DBE5F1"/>
          </w:tcPr>
          <w:p w14:paraId="6A0F399F"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3116A4CD" w14:textId="77777777" w:rsidTr="0017234E">
        <w:trPr>
          <w:trHeight w:val="225"/>
        </w:trPr>
        <w:tc>
          <w:tcPr>
            <w:tcW w:w="1701" w:type="dxa"/>
            <w:vMerge/>
            <w:shd w:val="clear" w:color="auto" w:fill="DBE5F1"/>
            <w:noWrap/>
            <w:hideMark/>
          </w:tcPr>
          <w:p w14:paraId="74AEAE49"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6C611722"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63C173DA"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Contracts</w:t>
            </w:r>
          </w:p>
        </w:tc>
        <w:tc>
          <w:tcPr>
            <w:tcW w:w="6520" w:type="dxa"/>
            <w:shd w:val="clear" w:color="auto" w:fill="DBE5F1"/>
          </w:tcPr>
          <w:p w14:paraId="0F865FD2"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67CAEDE6" w14:textId="77777777" w:rsidTr="0017234E">
        <w:trPr>
          <w:trHeight w:val="225"/>
        </w:trPr>
        <w:tc>
          <w:tcPr>
            <w:tcW w:w="1701" w:type="dxa"/>
            <w:vMerge/>
            <w:shd w:val="clear" w:color="auto" w:fill="DBE5F1"/>
            <w:noWrap/>
            <w:hideMark/>
          </w:tcPr>
          <w:p w14:paraId="4CBD1813"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0D51754F"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090E1A77"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Tenders</w:t>
            </w:r>
          </w:p>
        </w:tc>
        <w:tc>
          <w:tcPr>
            <w:tcW w:w="6520" w:type="dxa"/>
            <w:shd w:val="clear" w:color="auto" w:fill="DBE5F1"/>
          </w:tcPr>
          <w:p w14:paraId="7D19F4A2"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10289EC8" w14:textId="77777777" w:rsidTr="0017234E">
        <w:trPr>
          <w:trHeight w:val="225"/>
        </w:trPr>
        <w:tc>
          <w:tcPr>
            <w:tcW w:w="1701" w:type="dxa"/>
            <w:vMerge/>
            <w:shd w:val="clear" w:color="auto" w:fill="DBE5F1"/>
            <w:noWrap/>
            <w:hideMark/>
          </w:tcPr>
          <w:p w14:paraId="6F1584EA"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14:paraId="27990895"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Financial</w:t>
            </w:r>
          </w:p>
        </w:tc>
        <w:tc>
          <w:tcPr>
            <w:tcW w:w="3402" w:type="dxa"/>
            <w:shd w:val="clear" w:color="auto" w:fill="DBE5F1"/>
            <w:noWrap/>
            <w:hideMark/>
          </w:tcPr>
          <w:p w14:paraId="34EB1478" w14:textId="77777777" w:rsidR="0017234E" w:rsidRPr="00423FCC" w:rsidRDefault="0017234E" w:rsidP="0053183B">
            <w:pPr>
              <w:pStyle w:val="ListParagraph"/>
              <w:numPr>
                <w:ilvl w:val="0"/>
                <w:numId w:val="14"/>
              </w:numPr>
              <w:spacing w:after="0" w:line="240" w:lineRule="auto"/>
              <w:ind w:left="459" w:hanging="425"/>
              <w:rPr>
                <w:sz w:val="20"/>
                <w:szCs w:val="20"/>
              </w:rPr>
            </w:pPr>
            <w:r>
              <w:rPr>
                <w:sz w:val="20"/>
                <w:szCs w:val="20"/>
              </w:rPr>
              <w:t>Budget</w:t>
            </w:r>
          </w:p>
        </w:tc>
        <w:tc>
          <w:tcPr>
            <w:tcW w:w="6520" w:type="dxa"/>
            <w:shd w:val="clear" w:color="auto" w:fill="DBE5F1"/>
          </w:tcPr>
          <w:p w14:paraId="397D1F5A"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157ECC81" w14:textId="77777777" w:rsidTr="0017234E">
        <w:trPr>
          <w:trHeight w:val="225"/>
        </w:trPr>
        <w:tc>
          <w:tcPr>
            <w:tcW w:w="1701" w:type="dxa"/>
            <w:vMerge/>
            <w:shd w:val="clear" w:color="auto" w:fill="DBE5F1"/>
            <w:noWrap/>
            <w:hideMark/>
          </w:tcPr>
          <w:p w14:paraId="01602565"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608732C9"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3DB43179" w14:textId="77777777" w:rsidR="0017234E" w:rsidRPr="00423FCC" w:rsidRDefault="0017234E" w:rsidP="0017234E">
            <w:pPr>
              <w:pStyle w:val="ListParagraph"/>
              <w:numPr>
                <w:ilvl w:val="0"/>
                <w:numId w:val="14"/>
              </w:numPr>
              <w:spacing w:after="0" w:line="240" w:lineRule="auto"/>
              <w:ind w:left="459" w:hanging="425"/>
              <w:rPr>
                <w:sz w:val="20"/>
                <w:szCs w:val="20"/>
              </w:rPr>
            </w:pPr>
            <w:r>
              <w:rPr>
                <w:sz w:val="20"/>
                <w:szCs w:val="20"/>
              </w:rPr>
              <w:t>Commitments</w:t>
            </w:r>
          </w:p>
        </w:tc>
        <w:tc>
          <w:tcPr>
            <w:tcW w:w="6520" w:type="dxa"/>
            <w:shd w:val="clear" w:color="auto" w:fill="DBE5F1"/>
          </w:tcPr>
          <w:p w14:paraId="44DAB5D7"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66D07D2A" w14:textId="77777777" w:rsidTr="0017234E">
        <w:trPr>
          <w:trHeight w:val="225"/>
        </w:trPr>
        <w:tc>
          <w:tcPr>
            <w:tcW w:w="1701" w:type="dxa"/>
            <w:vMerge/>
            <w:shd w:val="clear" w:color="auto" w:fill="DBE5F1"/>
            <w:noWrap/>
            <w:hideMark/>
          </w:tcPr>
          <w:p w14:paraId="3C782AB5"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690B4448"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704778E3" w14:textId="77777777" w:rsidR="0017234E" w:rsidRPr="00423FCC" w:rsidRDefault="0017234E" w:rsidP="0017234E">
            <w:pPr>
              <w:pStyle w:val="ListParagraph"/>
              <w:numPr>
                <w:ilvl w:val="0"/>
                <w:numId w:val="14"/>
              </w:numPr>
              <w:spacing w:after="0" w:line="240" w:lineRule="auto"/>
              <w:ind w:left="459" w:hanging="425"/>
              <w:rPr>
                <w:sz w:val="20"/>
                <w:szCs w:val="20"/>
              </w:rPr>
            </w:pPr>
            <w:r>
              <w:rPr>
                <w:sz w:val="20"/>
                <w:szCs w:val="20"/>
              </w:rPr>
              <w:t xml:space="preserve">Disbursements &amp; </w:t>
            </w:r>
            <w:r w:rsidRPr="00423FCC">
              <w:rPr>
                <w:sz w:val="20"/>
                <w:szCs w:val="20"/>
              </w:rPr>
              <w:t>expenditures</w:t>
            </w:r>
          </w:p>
        </w:tc>
        <w:tc>
          <w:tcPr>
            <w:tcW w:w="6520" w:type="dxa"/>
            <w:shd w:val="clear" w:color="auto" w:fill="DBE5F1"/>
          </w:tcPr>
          <w:p w14:paraId="00F58A8A"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6355D1A5" w14:textId="77777777" w:rsidTr="0017234E">
        <w:trPr>
          <w:trHeight w:val="225"/>
        </w:trPr>
        <w:tc>
          <w:tcPr>
            <w:tcW w:w="1701" w:type="dxa"/>
            <w:vMerge/>
            <w:shd w:val="clear" w:color="auto" w:fill="DBE5F1"/>
            <w:noWrap/>
            <w:hideMark/>
          </w:tcPr>
          <w:p w14:paraId="675E9477"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3272873A"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6EBA886B"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Budget ID</w:t>
            </w:r>
          </w:p>
        </w:tc>
        <w:tc>
          <w:tcPr>
            <w:tcW w:w="6520" w:type="dxa"/>
            <w:shd w:val="clear" w:color="auto" w:fill="DBE5F1"/>
          </w:tcPr>
          <w:p w14:paraId="05107499"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010EBA11" w14:textId="77777777" w:rsidTr="0017234E">
        <w:trPr>
          <w:trHeight w:val="225"/>
        </w:trPr>
        <w:tc>
          <w:tcPr>
            <w:tcW w:w="1701" w:type="dxa"/>
            <w:vMerge/>
            <w:shd w:val="clear" w:color="auto" w:fill="DBE5F1"/>
            <w:noWrap/>
            <w:hideMark/>
          </w:tcPr>
          <w:p w14:paraId="6E588C64"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14:paraId="560ED648" w14:textId="77777777"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Performance</w:t>
            </w:r>
          </w:p>
        </w:tc>
        <w:tc>
          <w:tcPr>
            <w:tcW w:w="3402" w:type="dxa"/>
            <w:shd w:val="clear" w:color="auto" w:fill="DBE5F1"/>
            <w:noWrap/>
            <w:hideMark/>
          </w:tcPr>
          <w:p w14:paraId="123F6F09"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Results</w:t>
            </w:r>
          </w:p>
        </w:tc>
        <w:tc>
          <w:tcPr>
            <w:tcW w:w="6520" w:type="dxa"/>
            <w:shd w:val="clear" w:color="auto" w:fill="DBE5F1"/>
          </w:tcPr>
          <w:p w14:paraId="26936ECF" w14:textId="77777777"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14:paraId="62C0EF32" w14:textId="77777777" w:rsidTr="0017234E">
        <w:trPr>
          <w:trHeight w:val="225"/>
        </w:trPr>
        <w:tc>
          <w:tcPr>
            <w:tcW w:w="1701" w:type="dxa"/>
            <w:vMerge/>
            <w:shd w:val="clear" w:color="auto" w:fill="DBE5F1"/>
            <w:noWrap/>
            <w:hideMark/>
          </w:tcPr>
          <w:p w14:paraId="2D04E0DD"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2F334B17"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5DD4774D"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Impact appraisals</w:t>
            </w:r>
          </w:p>
        </w:tc>
        <w:tc>
          <w:tcPr>
            <w:tcW w:w="6520" w:type="dxa"/>
            <w:shd w:val="clear" w:color="auto" w:fill="DBE5F1"/>
          </w:tcPr>
          <w:p w14:paraId="3AF1A12C" w14:textId="77777777"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14:paraId="49C550E0" w14:textId="77777777" w:rsidTr="0017234E">
        <w:trPr>
          <w:trHeight w:val="225"/>
        </w:trPr>
        <w:tc>
          <w:tcPr>
            <w:tcW w:w="1701" w:type="dxa"/>
            <w:vMerge/>
            <w:shd w:val="clear" w:color="auto" w:fill="DBE5F1"/>
            <w:noWrap/>
            <w:hideMark/>
          </w:tcPr>
          <w:p w14:paraId="1EA545AE" w14:textId="77777777"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14:paraId="456EE8FF" w14:textId="77777777"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14:paraId="4AED4EBC" w14:textId="77777777"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Conditions</w:t>
            </w:r>
          </w:p>
        </w:tc>
        <w:tc>
          <w:tcPr>
            <w:tcW w:w="6520" w:type="dxa"/>
            <w:shd w:val="clear" w:color="auto" w:fill="DBE5F1"/>
          </w:tcPr>
          <w:p w14:paraId="0CF262CF" w14:textId="77777777" w:rsidR="0017234E" w:rsidRPr="00423FCC" w:rsidRDefault="0017234E" w:rsidP="00584B39">
            <w:pPr>
              <w:spacing w:after="0" w:line="240" w:lineRule="auto"/>
              <w:rPr>
                <w:sz w:val="20"/>
                <w:szCs w:val="20"/>
              </w:rPr>
            </w:pPr>
            <w:r w:rsidRPr="00423FCC">
              <w:rPr>
                <w:sz w:val="20"/>
                <w:szCs w:val="20"/>
              </w:rPr>
              <w:t>Graduated based on accessibility</w:t>
            </w:r>
          </w:p>
        </w:tc>
      </w:tr>
    </w:tbl>
    <w:p w14:paraId="31BC8BA0" w14:textId="77777777" w:rsidR="0060437E" w:rsidRDefault="0060437E" w:rsidP="008C7AF5">
      <w:pPr>
        <w:spacing w:after="0" w:line="240" w:lineRule="auto"/>
      </w:pPr>
    </w:p>
    <w:p w14:paraId="29454255" w14:textId="77777777" w:rsidR="00584B39" w:rsidRDefault="00584B39" w:rsidP="008C7AF5">
      <w:pPr>
        <w:spacing w:after="0" w:line="240" w:lineRule="auto"/>
      </w:pPr>
      <w:r>
        <w:t xml:space="preserve">Note: The source of information for indicators 4–39 is the IATI Registry, organisations’ own websites or other sources to which the organisation publishes information on its </w:t>
      </w:r>
      <w:r w:rsidR="008822C0">
        <w:t xml:space="preserve">current </w:t>
      </w:r>
      <w:r>
        <w:t>aid activities.</w:t>
      </w:r>
    </w:p>
    <w:p w14:paraId="17A4887C" w14:textId="77777777" w:rsidR="000B72CC" w:rsidRDefault="000B72CC" w:rsidP="008C7AF5">
      <w:pPr>
        <w:spacing w:after="0" w:line="240" w:lineRule="auto"/>
      </w:pPr>
    </w:p>
    <w:p w14:paraId="0181C1FD" w14:textId="77777777" w:rsidR="000B72CC" w:rsidRPr="000A6414" w:rsidRDefault="000B72CC" w:rsidP="000B72CC">
      <w:pPr>
        <w:pStyle w:val="ColorfulList-Accent11"/>
        <w:spacing w:after="0"/>
        <w:ind w:left="0"/>
        <w:contextualSpacing w:val="0"/>
        <w:rPr>
          <w:rFonts w:eastAsia="Calibri"/>
          <w:b/>
          <w:bCs/>
          <w:color w:val="4F81BD"/>
          <w:sz w:val="28"/>
          <w:szCs w:val="26"/>
          <w:lang w:bidi="en-US"/>
        </w:rPr>
      </w:pPr>
      <w:r w:rsidRPr="000A6414">
        <w:rPr>
          <w:rFonts w:eastAsiaTheme="majorEastAsia" w:cstheme="majorBidi"/>
          <w:b/>
          <w:bCs/>
          <w:iCs/>
          <w:color w:val="4F81BD" w:themeColor="accent1"/>
          <w:sz w:val="22"/>
          <w:szCs w:val="22"/>
          <w:lang w:bidi="en-US"/>
        </w:rPr>
        <w:t>Selection of multiple agencies from the same donor country or group</w:t>
      </w:r>
    </w:p>
    <w:p w14:paraId="69FBB6A3" w14:textId="3C84D540" w:rsidR="000B72CC" w:rsidRPr="00B206F6" w:rsidRDefault="000B72CC" w:rsidP="000B72CC">
      <w:pPr>
        <w:spacing w:after="0" w:line="240" w:lineRule="auto"/>
        <w:rPr>
          <w:rFonts w:cstheme="minorHAnsi"/>
          <w:color w:val="000000"/>
        </w:rPr>
      </w:pPr>
      <w:r w:rsidRPr="000A6414">
        <w:rPr>
          <w:rFonts w:cstheme="minorHAnsi"/>
          <w:color w:val="000000"/>
        </w:rPr>
        <w:t xml:space="preserve">As in previous years, the </w:t>
      </w:r>
      <w:r w:rsidR="000A6414" w:rsidRPr="000A6414">
        <w:rPr>
          <w:rFonts w:cstheme="minorHAnsi"/>
          <w:color w:val="000000"/>
        </w:rPr>
        <w:t>Aid Transparency Index</w:t>
      </w:r>
      <w:r w:rsidRPr="000A6414">
        <w:rPr>
          <w:rFonts w:cstheme="minorHAnsi"/>
          <w:color w:val="000000"/>
        </w:rPr>
        <w:t xml:space="preserve"> assesses more than one agency for some large donors (EC, France, Germany, Japan, UN, U.S. and the World Bank) with multiple ministries or organisations responsible for significant proportions of Official Development Assistance (ODA). We have opted to maintain the disaggregation of agencies for several reasons. First, no two agencies in the </w:t>
      </w:r>
      <w:r w:rsidR="00973066">
        <w:rPr>
          <w:rFonts w:cstheme="minorHAnsi"/>
          <w:color w:val="000000"/>
        </w:rPr>
        <w:t>Aid Transparency Index</w:t>
      </w:r>
      <w:r w:rsidRPr="000A6414">
        <w:rPr>
          <w:rFonts w:cstheme="minorHAnsi"/>
          <w:color w:val="000000"/>
        </w:rPr>
        <w:t xml:space="preserve"> score the same. There is often wide variation in the amount of information made available by different agencies in a single country or multilateral organisation. Second, agencies often retain a large amount of autonomy in deciding how much information they make available and have different publication approaches, and should therefore be held accountable for them. Third, it would be unfair for high </w:t>
      </w:r>
      <w:r w:rsidRPr="00B206F6">
        <w:rPr>
          <w:rFonts w:cstheme="minorHAnsi"/>
          <w:color w:val="000000"/>
        </w:rPr>
        <w:t xml:space="preserve">performing agencies within a country or organisation to be pulled down by lower performing agencies, and similarly lower performing agencies should not have their poor performance masked in an average score. </w:t>
      </w:r>
    </w:p>
    <w:p w14:paraId="789A801A" w14:textId="77777777" w:rsidR="000B72CC" w:rsidRPr="00B206F6" w:rsidRDefault="000B72CC" w:rsidP="000B72CC">
      <w:pPr>
        <w:spacing w:after="0" w:line="240" w:lineRule="auto"/>
        <w:rPr>
          <w:rFonts w:cstheme="minorHAnsi"/>
          <w:color w:val="000000"/>
        </w:rPr>
      </w:pPr>
    </w:p>
    <w:p w14:paraId="5A315889" w14:textId="31E07525" w:rsidR="000B72CC" w:rsidRPr="00B206F6" w:rsidRDefault="000B72CC" w:rsidP="000B72CC">
      <w:pPr>
        <w:spacing w:after="0" w:line="240" w:lineRule="auto"/>
        <w:rPr>
          <w:rFonts w:cstheme="minorHAnsi"/>
          <w:color w:val="000000"/>
        </w:rPr>
      </w:pPr>
      <w:r w:rsidRPr="00B206F6">
        <w:rPr>
          <w:rFonts w:cstheme="minorHAnsi"/>
          <w:color w:val="000000"/>
        </w:rPr>
        <w:t>Finally, it is unclear how we would aggregate agencies into a single country or organisation score in a way that reflects wide variations in performance. For example, if all U</w:t>
      </w:r>
      <w:r w:rsidR="000A6414" w:rsidRPr="00B206F6">
        <w:rPr>
          <w:rFonts w:cstheme="minorHAnsi"/>
          <w:color w:val="000000"/>
        </w:rPr>
        <w:t>.S.</w:t>
      </w:r>
      <w:r w:rsidRPr="00B206F6">
        <w:rPr>
          <w:rFonts w:cstheme="minorHAnsi"/>
          <w:color w:val="000000"/>
        </w:rPr>
        <w:t xml:space="preserve"> agencies’ levels of transparency were averaged to provide a single score in 201</w:t>
      </w:r>
      <w:r w:rsidR="000A6414" w:rsidRPr="00B206F6">
        <w:rPr>
          <w:rFonts w:cstheme="minorHAnsi"/>
          <w:color w:val="000000"/>
        </w:rPr>
        <w:t>4</w:t>
      </w:r>
      <w:r w:rsidRPr="00B206F6">
        <w:rPr>
          <w:rFonts w:cstheme="minorHAnsi"/>
          <w:color w:val="000000"/>
        </w:rPr>
        <w:t>, it would have been 4</w:t>
      </w:r>
      <w:r w:rsidR="000A6414" w:rsidRPr="00B206F6">
        <w:rPr>
          <w:rFonts w:cstheme="minorHAnsi"/>
          <w:color w:val="000000"/>
        </w:rPr>
        <w:t>0</w:t>
      </w:r>
      <w:r w:rsidRPr="00B206F6">
        <w:rPr>
          <w:rFonts w:cstheme="minorHAnsi"/>
          <w:color w:val="000000"/>
        </w:rPr>
        <w:t>.</w:t>
      </w:r>
      <w:r w:rsidR="000A6414" w:rsidRPr="00B206F6">
        <w:rPr>
          <w:rFonts w:cstheme="minorHAnsi"/>
          <w:color w:val="000000"/>
        </w:rPr>
        <w:t>2</w:t>
      </w:r>
      <w:r w:rsidR="00641BF3">
        <w:rPr>
          <w:rFonts w:cstheme="minorHAnsi"/>
          <w:color w:val="000000"/>
        </w:rPr>
        <w:t>%</w:t>
      </w:r>
      <w:r w:rsidRPr="00B206F6">
        <w:rPr>
          <w:rFonts w:cstheme="minorHAnsi"/>
          <w:color w:val="000000"/>
        </w:rPr>
        <w:t>, placing the U</w:t>
      </w:r>
      <w:r w:rsidR="000A6414" w:rsidRPr="00B206F6">
        <w:rPr>
          <w:rFonts w:cstheme="minorHAnsi"/>
          <w:color w:val="000000"/>
        </w:rPr>
        <w:t>.S.</w:t>
      </w:r>
      <w:r w:rsidRPr="00B206F6">
        <w:rPr>
          <w:rFonts w:cstheme="minorHAnsi"/>
          <w:color w:val="000000"/>
        </w:rPr>
        <w:t xml:space="preserve"> in the fair category despite the high score of </w:t>
      </w:r>
      <w:r w:rsidR="00B206F6" w:rsidRPr="00B206F6">
        <w:rPr>
          <w:rFonts w:cstheme="minorHAnsi"/>
          <w:color w:val="000000"/>
        </w:rPr>
        <w:t xml:space="preserve">86.9% of </w:t>
      </w:r>
      <w:r w:rsidR="009055CC">
        <w:rPr>
          <w:rFonts w:cstheme="minorHAnsi"/>
          <w:color w:val="000000"/>
        </w:rPr>
        <w:t>the Millennium Challenge Corporation</w:t>
      </w:r>
      <w:r w:rsidRPr="00B206F6">
        <w:rPr>
          <w:rFonts w:cstheme="minorHAnsi"/>
          <w:color w:val="000000"/>
        </w:rPr>
        <w:t>. Ranked separately, it is possible to see the variation in the different agencies’ performance and which common indicators they collectively perform well or poorly on. Moreover, it would be necessary to take into account the proportion of a country’s aid delivered by each separate agency in order to create an aggregate country ranking that fairly reflected that country’s level of aid transparency. This information is not always available.</w:t>
      </w:r>
      <w:r w:rsidR="001B33D8" w:rsidRPr="00B206F6">
        <w:rPr>
          <w:rFonts w:cstheme="minorHAnsi"/>
          <w:color w:val="000000"/>
        </w:rPr>
        <w:t xml:space="preserve"> </w:t>
      </w:r>
    </w:p>
    <w:p w14:paraId="321E599C" w14:textId="77777777" w:rsidR="000B72CC" w:rsidRPr="00B206F6" w:rsidRDefault="000B72CC" w:rsidP="000B72CC">
      <w:pPr>
        <w:spacing w:after="0" w:line="240" w:lineRule="auto"/>
        <w:rPr>
          <w:rFonts w:cstheme="minorHAnsi"/>
          <w:color w:val="000000"/>
        </w:rPr>
      </w:pPr>
    </w:p>
    <w:p w14:paraId="51608758" w14:textId="77777777" w:rsidR="000B72CC" w:rsidRPr="00B206F6" w:rsidRDefault="000B72CC" w:rsidP="000B72CC">
      <w:pPr>
        <w:spacing w:after="0" w:line="240" w:lineRule="auto"/>
        <w:rPr>
          <w:rFonts w:cstheme="minorHAnsi"/>
          <w:color w:val="000000"/>
        </w:rPr>
      </w:pPr>
      <w:r w:rsidRPr="00B206F6">
        <w:rPr>
          <w:rFonts w:ascii="Calibri" w:eastAsia="Calibri" w:hAnsi="Calibri" w:cs="Calibri"/>
          <w:color w:val="000000"/>
        </w:rPr>
        <w:t xml:space="preserve">Similarly, where a ministry or equivalent parent organisation, distinct from an implementing agency, is responsible for funding, strategy or policy-making for the implementing agency, we look at information from both organisations. The resulting assessment often bears the name of both agencies assessed. For example, the German Ministry of Economic Cooperation and Development (BMZ) is jointly assessed with its two major implementing agencies, GIZ and KfW. The resulting assessments are labelled BMZ-GIZ and BMZ-KfW respectively. </w:t>
      </w:r>
      <w:r w:rsidRPr="00B206F6">
        <w:t>In other cases where a ministry undertakes direct implementation, we separately assess them. For example, for Japan we include separate assessments for the Japan International Cooperation Agency and the Ministry of Foreign Affairs.</w:t>
      </w:r>
    </w:p>
    <w:p w14:paraId="7F35145B" w14:textId="77777777" w:rsidR="000B72CC" w:rsidRPr="00B206F6" w:rsidRDefault="000B72CC" w:rsidP="000B72CC">
      <w:pPr>
        <w:spacing w:after="0" w:line="240" w:lineRule="auto"/>
        <w:rPr>
          <w:rFonts w:cstheme="minorHAnsi"/>
          <w:color w:val="000000"/>
        </w:rPr>
      </w:pPr>
    </w:p>
    <w:p w14:paraId="325ADBA6" w14:textId="767EB421" w:rsidR="000B72CC" w:rsidRPr="00B206F6" w:rsidRDefault="000B72CC" w:rsidP="000B72CC">
      <w:pPr>
        <w:pStyle w:val="ColorfulList-Accent11"/>
        <w:spacing w:after="0"/>
        <w:ind w:left="0"/>
        <w:contextualSpacing w:val="0"/>
        <w:rPr>
          <w:rFonts w:eastAsiaTheme="majorEastAsia" w:cstheme="majorBidi"/>
          <w:b/>
          <w:bCs/>
          <w:iCs/>
          <w:color w:val="4F81BD" w:themeColor="accent1"/>
          <w:sz w:val="22"/>
          <w:szCs w:val="22"/>
          <w:lang w:bidi="en-US"/>
        </w:rPr>
      </w:pPr>
      <w:r w:rsidRPr="00B206F6">
        <w:rPr>
          <w:rFonts w:eastAsiaTheme="majorEastAsia" w:cstheme="majorBidi"/>
          <w:b/>
          <w:bCs/>
          <w:iCs/>
          <w:color w:val="4F81BD" w:themeColor="accent1"/>
          <w:sz w:val="22"/>
          <w:szCs w:val="22"/>
          <w:lang w:bidi="en-US"/>
        </w:rPr>
        <w:t xml:space="preserve">Donors not included in the </w:t>
      </w:r>
      <w:r w:rsidR="004D26DF">
        <w:rPr>
          <w:rFonts w:eastAsiaTheme="majorEastAsia" w:cstheme="majorBidi"/>
          <w:b/>
          <w:bCs/>
          <w:iCs/>
          <w:color w:val="4F81BD" w:themeColor="accent1"/>
          <w:sz w:val="22"/>
          <w:szCs w:val="22"/>
          <w:lang w:bidi="en-US"/>
        </w:rPr>
        <w:t>2016</w:t>
      </w:r>
      <w:r w:rsidR="00B9298C">
        <w:rPr>
          <w:rFonts w:eastAsiaTheme="majorEastAsia" w:cstheme="majorBidi"/>
          <w:b/>
          <w:bCs/>
          <w:iCs/>
          <w:color w:val="4F81BD" w:themeColor="accent1"/>
          <w:sz w:val="22"/>
          <w:szCs w:val="22"/>
          <w:lang w:bidi="en-US"/>
        </w:rPr>
        <w:t xml:space="preserve"> Index</w:t>
      </w:r>
    </w:p>
    <w:p w14:paraId="62A93B0E" w14:textId="543662C9" w:rsidR="000B72CC" w:rsidRPr="00423FCC" w:rsidRDefault="000B72CC" w:rsidP="000B72CC">
      <w:pPr>
        <w:spacing w:after="0" w:line="240" w:lineRule="auto"/>
        <w:rPr>
          <w:rFonts w:cstheme="minorHAnsi"/>
          <w:color w:val="000000"/>
        </w:rPr>
      </w:pPr>
      <w:r w:rsidRPr="00B206F6">
        <w:rPr>
          <w:rFonts w:cstheme="minorHAnsi"/>
          <w:color w:val="000000"/>
        </w:rPr>
        <w:t xml:space="preserve">There are some donor organisations that spend more than USD 1bn per annum that have not been included in the </w:t>
      </w:r>
      <w:r w:rsidR="00F628B5">
        <w:rPr>
          <w:rFonts w:cstheme="minorHAnsi"/>
          <w:color w:val="000000"/>
        </w:rPr>
        <w:t>Index</w:t>
      </w:r>
      <w:r w:rsidRPr="00B206F6">
        <w:rPr>
          <w:rFonts w:cstheme="minorHAnsi"/>
          <w:color w:val="000000"/>
        </w:rPr>
        <w:t xml:space="preserve">, for example Saudi Arabia and Turkey. The Index’s coverage of development finance institutions (DFIs) and providers of south-south cooperation is also limited. Ideally we would like to rank all large or influential aid providers but this is not possible at the present time due to resource and capacity constraints. The Aid Transparency Tracker, the online platform used to collect the </w:t>
      </w:r>
      <w:r w:rsidR="00D0542A" w:rsidRPr="00B206F6">
        <w:rPr>
          <w:rFonts w:cstheme="minorHAnsi"/>
          <w:color w:val="000000"/>
        </w:rPr>
        <w:t>Index</w:t>
      </w:r>
      <w:r w:rsidRPr="00B206F6">
        <w:rPr>
          <w:rFonts w:cstheme="minorHAnsi"/>
          <w:color w:val="000000"/>
        </w:rPr>
        <w:t xml:space="preserve"> data, has been designed so that others can use it to collect and analyse data on different organisations. Please </w:t>
      </w:r>
      <w:r w:rsidRPr="00B206F6">
        <w:rPr>
          <w:rFonts w:cstheme="minorHAnsi"/>
        </w:rPr>
        <w:t>get in touch</w:t>
      </w:r>
      <w:r w:rsidRPr="00B206F6">
        <w:rPr>
          <w:rFonts w:cstheme="minorHAnsi"/>
          <w:color w:val="000000"/>
        </w:rPr>
        <w:t xml:space="preserve"> if you are interested in doing this: </w:t>
      </w:r>
      <w:hyperlink r:id="rId14" w:history="1">
        <w:r w:rsidR="00D0542A" w:rsidRPr="00B206F6">
          <w:rPr>
            <w:rStyle w:val="Hyperlink"/>
            <w:rFonts w:cstheme="minorHAnsi"/>
          </w:rPr>
          <w:t>tracker@publishwhatyoufund.org</w:t>
        </w:r>
      </w:hyperlink>
    </w:p>
    <w:p w14:paraId="114B7A6E" w14:textId="77777777" w:rsidR="000B72CC" w:rsidRDefault="000B72CC" w:rsidP="000B72CC">
      <w:pPr>
        <w:pStyle w:val="Heading1"/>
        <w:pBdr>
          <w:bottom w:val="single" w:sz="4" w:space="1" w:color="auto"/>
        </w:pBdr>
        <w:spacing w:before="0" w:line="240" w:lineRule="auto"/>
        <w:rPr>
          <w:sz w:val="36"/>
        </w:rPr>
        <w:sectPr w:rsidR="000B72CC" w:rsidSect="002B2AC5">
          <w:pgSz w:w="16838" w:h="11906" w:orient="landscape"/>
          <w:pgMar w:top="1021" w:right="1021" w:bottom="1021" w:left="1021" w:header="709" w:footer="459" w:gutter="0"/>
          <w:cols w:space="708"/>
          <w:docGrid w:linePitch="360"/>
        </w:sectPr>
      </w:pPr>
    </w:p>
    <w:p w14:paraId="7933A76E" w14:textId="77777777" w:rsidR="006C664F" w:rsidRPr="007D68FE" w:rsidRDefault="006C664F" w:rsidP="00935A49">
      <w:pPr>
        <w:pStyle w:val="Heading4"/>
        <w:spacing w:before="0" w:line="240" w:lineRule="auto"/>
        <w:contextualSpacing/>
        <w:rPr>
          <w:rFonts w:ascii="Cambria" w:eastAsia="Calibri" w:hAnsi="Cambria" w:cs="Times New Roman"/>
          <w:i w:val="0"/>
          <w:iCs w:val="0"/>
          <w:color w:val="4F81BD"/>
          <w:sz w:val="28"/>
          <w:szCs w:val="26"/>
        </w:rPr>
      </w:pPr>
      <w:r w:rsidRPr="007D68FE">
        <w:rPr>
          <w:rFonts w:ascii="Cambria" w:eastAsia="Calibri" w:hAnsi="Cambria" w:cs="Times New Roman"/>
          <w:i w:val="0"/>
          <w:iCs w:val="0"/>
          <w:color w:val="4F81BD"/>
          <w:sz w:val="28"/>
          <w:szCs w:val="26"/>
        </w:rPr>
        <w:t>General scoring guidelines</w:t>
      </w:r>
    </w:p>
    <w:p w14:paraId="4DAB2271" w14:textId="77777777" w:rsidR="007D68FE" w:rsidRDefault="007D68FE" w:rsidP="00935A49">
      <w:pPr>
        <w:pStyle w:val="ListBullet"/>
        <w:numPr>
          <w:ilvl w:val="0"/>
          <w:numId w:val="0"/>
        </w:numPr>
        <w:spacing w:after="0" w:line="240" w:lineRule="auto"/>
        <w:ind w:left="360" w:hanging="360"/>
      </w:pPr>
    </w:p>
    <w:p w14:paraId="39553014" w14:textId="182FADAC" w:rsidR="00E82A6C" w:rsidRPr="0060437E" w:rsidRDefault="00584B39" w:rsidP="00E82A6C">
      <w:pPr>
        <w:pStyle w:val="ListBullet"/>
        <w:spacing w:line="240" w:lineRule="auto"/>
      </w:pPr>
      <w:r w:rsidRPr="00E82A6C">
        <w:rPr>
          <w:b/>
        </w:rPr>
        <w:t>Survey data collection</w:t>
      </w:r>
      <w:r w:rsidRPr="00423FCC">
        <w:t>: All surveys are completed using information pertaining to the country receiving the largest amount of aid by value from th</w:t>
      </w:r>
      <w:r>
        <w:t>e development</w:t>
      </w:r>
      <w:r w:rsidRPr="00423FCC">
        <w:t xml:space="preserve"> </w:t>
      </w:r>
      <w:r>
        <w:t>organisation</w:t>
      </w:r>
      <w:r w:rsidRPr="00423FCC">
        <w:t xml:space="preserve">. The value of aid to recipients is determined by the </w:t>
      </w:r>
      <w:r w:rsidRPr="00641BF3">
        <w:t>201</w:t>
      </w:r>
      <w:r w:rsidR="003330B9" w:rsidRPr="00641BF3">
        <w:t>3</w:t>
      </w:r>
      <w:r>
        <w:t xml:space="preserve"> </w:t>
      </w:r>
      <w:r w:rsidRPr="00423FCC">
        <w:t xml:space="preserve">OECD DAC CRS figures. If this information is not available in the CRS, then the largest recipient is determined using the latest annual report for the </w:t>
      </w:r>
      <w:r>
        <w:t>organisation</w:t>
      </w:r>
      <w:r w:rsidRPr="00423FCC">
        <w:t xml:space="preserve"> or related ministry. To establish that information is consistently</w:t>
      </w:r>
      <w:r>
        <w:t>,</w:t>
      </w:r>
      <w:r w:rsidRPr="00423FCC">
        <w:t xml:space="preserve"> i.e</w:t>
      </w:r>
      <w:r>
        <w:t>.</w:t>
      </w:r>
      <w:r w:rsidRPr="00423FCC">
        <w:t xml:space="preserve"> </w:t>
      </w:r>
      <w:r>
        <w:t>“</w:t>
      </w:r>
      <w:r w:rsidRPr="00423FCC">
        <w:t>always</w:t>
      </w:r>
      <w:r>
        <w:t>”,</w:t>
      </w:r>
      <w:r w:rsidRPr="00423FCC">
        <w:t xml:space="preserve"> published at the activity level, a minimum of five activities are selected within the largest recipient country or thematic sector (if the </w:t>
      </w:r>
      <w:r>
        <w:t xml:space="preserve">organisation </w:t>
      </w:r>
      <w:r w:rsidR="008822C0">
        <w:t>structures</w:t>
      </w:r>
      <w:r w:rsidRPr="00423FCC">
        <w:t xml:space="preserve"> its</w:t>
      </w:r>
      <w:r>
        <w:t xml:space="preserve"> work</w:t>
      </w:r>
      <w:r w:rsidRPr="00423FCC">
        <w:t xml:space="preserve"> along thematic areas or sectors rather than by countries). </w:t>
      </w:r>
      <w:r>
        <w:t xml:space="preserve">If </w:t>
      </w:r>
      <w:r w:rsidR="000D6821">
        <w:t>less than five activities represent the organisation’s total spend in its largest recipient country</w:t>
      </w:r>
      <w:r>
        <w:t xml:space="preserve">, information is cross-checked against </w:t>
      </w:r>
      <w:r w:rsidR="000D6821">
        <w:t xml:space="preserve">four other randomly selected </w:t>
      </w:r>
      <w:r>
        <w:t xml:space="preserve">activities </w:t>
      </w:r>
      <w:r w:rsidR="000D6821">
        <w:t>in other recipient</w:t>
      </w:r>
      <w:r>
        <w:t xml:space="preserve"> countries. For t</w:t>
      </w:r>
      <w:r w:rsidR="008726DD">
        <w:t>wo</w:t>
      </w:r>
      <w:r>
        <w:t xml:space="preserve"> indicators –country/sector strategy and memorandum of understanding – the information is cross-checked for four other randomly selected countries in addition to the largest recipient country in order to establish that the information is “always” published.</w:t>
      </w:r>
      <w:r w:rsidR="00345D43">
        <w:t xml:space="preserve"> </w:t>
      </w:r>
      <w:r w:rsidR="00E82A6C">
        <w:t>Only information that is found to be</w:t>
      </w:r>
      <w:r w:rsidR="00E82A6C" w:rsidRPr="00E82A6C">
        <w:t xml:space="preserve"> </w:t>
      </w:r>
      <w:r w:rsidR="00E82A6C">
        <w:t>“</w:t>
      </w:r>
      <w:r w:rsidR="00E82A6C" w:rsidRPr="00E82A6C">
        <w:t>always</w:t>
      </w:r>
      <w:r w:rsidR="00E82A6C">
        <w:t>”</w:t>
      </w:r>
      <w:r w:rsidR="00E82A6C" w:rsidRPr="00E82A6C">
        <w:t xml:space="preserve"> published</w:t>
      </w:r>
      <w:r w:rsidR="00E82A6C">
        <w:t xml:space="preserve"> is scored in the </w:t>
      </w:r>
      <w:r w:rsidR="002E390B">
        <w:t>Index</w:t>
      </w:r>
      <w:r w:rsidR="00E82A6C" w:rsidRPr="00E82A6C">
        <w:t xml:space="preserve">. </w:t>
      </w:r>
      <w:r w:rsidR="00E82A6C">
        <w:t>Information that is published inconsistently or only for some activities is recorded but not scored.</w:t>
      </w:r>
      <w:r w:rsidR="00BC0D40">
        <w:t xml:space="preserve"> F</w:t>
      </w:r>
      <w:r w:rsidR="00BC0D40" w:rsidRPr="00BC0D40">
        <w:rPr>
          <w:lang w:val="en-GB"/>
        </w:rPr>
        <w:t xml:space="preserve">or aid information to be comparable across donors and recipient countries and for it be useful for different end user groups, it needs to be consistently i.e. always published for all projects. </w:t>
      </w:r>
      <w:r w:rsidR="00BC0D40">
        <w:rPr>
          <w:lang w:val="en-GB"/>
        </w:rPr>
        <w:t>Allocating</w:t>
      </w:r>
      <w:r w:rsidR="00BC0D40" w:rsidRPr="00BC0D40">
        <w:rPr>
          <w:lang w:val="en-GB"/>
        </w:rPr>
        <w:t xml:space="preserve"> points for</w:t>
      </w:r>
      <w:r w:rsidR="00BC0D40">
        <w:rPr>
          <w:lang w:val="en-GB"/>
        </w:rPr>
        <w:t xml:space="preserve"> information that is</w:t>
      </w:r>
      <w:r w:rsidR="00BC0D40" w:rsidRPr="00BC0D40">
        <w:rPr>
          <w:lang w:val="en-GB"/>
        </w:rPr>
        <w:t xml:space="preserve"> “sometimes published” would result </w:t>
      </w:r>
      <w:r w:rsidR="00BC0D40">
        <w:rPr>
          <w:lang w:val="en-GB"/>
        </w:rPr>
        <w:t>in over-rewarding organisations given the small sample of five activities chosen for assessment</w:t>
      </w:r>
      <w:r w:rsidR="00BC0D40" w:rsidRPr="00BC0D40">
        <w:rPr>
          <w:lang w:val="en-GB"/>
        </w:rPr>
        <w:t xml:space="preserve">. </w:t>
      </w:r>
      <w:r w:rsidR="00BC0D40">
        <w:rPr>
          <w:lang w:val="en-GB"/>
        </w:rPr>
        <w:t>D</w:t>
      </w:r>
      <w:r w:rsidR="00BC0D40" w:rsidRPr="00BC0D40">
        <w:rPr>
          <w:lang w:val="en-GB"/>
        </w:rPr>
        <w:t xml:space="preserve">ata on how systematically information is published </w:t>
      </w:r>
      <w:r w:rsidR="00BC0D40">
        <w:rPr>
          <w:lang w:val="en-GB"/>
        </w:rPr>
        <w:t xml:space="preserve">is collected </w:t>
      </w:r>
      <w:r w:rsidR="00BC0D40" w:rsidRPr="00BC0D40">
        <w:rPr>
          <w:lang w:val="en-GB"/>
        </w:rPr>
        <w:t>to highlight and distinguish between information that is sporadically collected and published through existing systems and process and therefore should be easier to publish more consistently, and</w:t>
      </w:r>
      <w:r w:rsidR="00345D43">
        <w:rPr>
          <w:lang w:val="en-GB"/>
        </w:rPr>
        <w:t xml:space="preserve"> </w:t>
      </w:r>
      <w:r w:rsidR="00BC0D40" w:rsidRPr="00BC0D40">
        <w:rPr>
          <w:lang w:val="en-GB"/>
        </w:rPr>
        <w:t xml:space="preserve">that which does not appear to be collected or published at all, indicating systems or </w:t>
      </w:r>
      <w:r w:rsidR="00BC0D40" w:rsidRPr="0060437E">
        <w:rPr>
          <w:lang w:val="en-GB"/>
        </w:rPr>
        <w:t>processes need to be put in place.</w:t>
      </w:r>
    </w:p>
    <w:p w14:paraId="14223FBE" w14:textId="4578AE82" w:rsidR="00584B39" w:rsidRPr="0060437E" w:rsidRDefault="00584B39" w:rsidP="008822C0">
      <w:pPr>
        <w:pStyle w:val="ListBullet"/>
        <w:spacing w:after="0" w:line="240" w:lineRule="auto"/>
      </w:pPr>
      <w:r w:rsidRPr="0060437E">
        <w:rPr>
          <w:b/>
        </w:rPr>
        <w:t xml:space="preserve">Current data: </w:t>
      </w:r>
      <w:r w:rsidRPr="0060437E">
        <w:t>Data for each indicator must be current for an organisation to be able to score on the indicator. “Current” is defined as published within the 12 months immediately prior to the data collection period (</w:t>
      </w:r>
      <w:r w:rsidR="00DD741D">
        <w:t>1 October 2014 – 30 September 2015</w:t>
      </w:r>
      <w:r w:rsidR="00CB18A5" w:rsidRPr="0060437E">
        <w:t>)</w:t>
      </w:r>
      <w:r w:rsidRPr="0060437E">
        <w:t xml:space="preserve">, so information published on 1 </w:t>
      </w:r>
      <w:r w:rsidR="00DD741D">
        <w:t>October</w:t>
      </w:r>
      <w:r w:rsidR="00DD741D" w:rsidRPr="0060437E">
        <w:t xml:space="preserve"> </w:t>
      </w:r>
      <w:r w:rsidRPr="0060437E">
        <w:t>201</w:t>
      </w:r>
      <w:r w:rsidR="00663732" w:rsidRPr="0060437E">
        <w:t>4</w:t>
      </w:r>
      <w:r w:rsidRPr="0060437E">
        <w:t xml:space="preserve"> or later and that relates to that date or later is accepted as current. Information published after 1 </w:t>
      </w:r>
      <w:r w:rsidR="00F628B5">
        <w:t>October</w:t>
      </w:r>
      <w:r w:rsidR="00663732" w:rsidRPr="0060437E">
        <w:t xml:space="preserve"> 2014</w:t>
      </w:r>
      <w:r w:rsidRPr="0060437E">
        <w:t xml:space="preserve"> but relating to a period prior to then, for example 201</w:t>
      </w:r>
      <w:r w:rsidR="00663732" w:rsidRPr="0060437E">
        <w:t>3</w:t>
      </w:r>
      <w:r w:rsidRPr="0060437E">
        <w:t xml:space="preserve"> DAC CRS data, is not accepted as current. Documents that are not current under this definition are accepted only if they are up to date with their regular cycle of publication, for example, annual audits and evaluation reports, or if they have explicit extensions into the current period written into them. </w:t>
      </w:r>
    </w:p>
    <w:p w14:paraId="00F412A6" w14:textId="77777777" w:rsidR="00584B39" w:rsidRDefault="00584B39" w:rsidP="00584B39">
      <w:pPr>
        <w:pStyle w:val="ListBullet"/>
        <w:spacing w:after="0" w:line="240" w:lineRule="auto"/>
        <w:ind w:left="357" w:hanging="357"/>
      </w:pPr>
      <w:r w:rsidRPr="00423FCC">
        <w:rPr>
          <w:b/>
        </w:rPr>
        <w:t>Date information:</w:t>
      </w:r>
      <w:r w:rsidRPr="00423FCC">
        <w:t xml:space="preserve"> For indicators with a date component (e.g. actual dates, planned dates), both the month and the year are required in order to score. </w:t>
      </w:r>
    </w:p>
    <w:p w14:paraId="2E7C2DBE" w14:textId="77777777" w:rsidR="00584B39" w:rsidRDefault="00584B39" w:rsidP="00584B39">
      <w:pPr>
        <w:pStyle w:val="ListBullet"/>
        <w:spacing w:after="0" w:line="240" w:lineRule="auto"/>
        <w:ind w:left="357" w:hanging="357"/>
      </w:pPr>
      <w:r w:rsidRPr="00424B4A">
        <w:rPr>
          <w:b/>
        </w:rPr>
        <w:t>Sampling:</w:t>
      </w:r>
      <w:r>
        <w:t xml:space="preserve"> A total of 14</w:t>
      </w:r>
      <w:r w:rsidRPr="00424B4A">
        <w:t xml:space="preserve"> indicators </w:t>
      </w:r>
      <w:r>
        <w:t>refer</w:t>
      </w:r>
      <w:r w:rsidRPr="00424B4A">
        <w:t xml:space="preserve"> to documents</w:t>
      </w:r>
      <w:r>
        <w:t xml:space="preserve">. These documents are manually checked to verify that they contain the required information to score for the indicator. </w:t>
      </w:r>
      <w:r w:rsidR="008822C0">
        <w:t>A</w:t>
      </w:r>
      <w:r>
        <w:t xml:space="preserve"> minimum of five documents need to meet the required criteria to score for the indicator.</w:t>
      </w:r>
      <w:r>
        <w:rPr>
          <w:rStyle w:val="FootnoteReference"/>
        </w:rPr>
        <w:footnoteReference w:id="4"/>
      </w:r>
      <w:r>
        <w:t xml:space="preserve"> For IATI publishers, the documents</w:t>
      </w:r>
      <w:r w:rsidRPr="00424B4A">
        <w:t xml:space="preserve"> </w:t>
      </w:r>
      <w:r w:rsidR="00B4239F">
        <w:t>are</w:t>
      </w:r>
      <w:r w:rsidR="008822C0">
        <w:t xml:space="preserve"> randomly selected from those projects that pass the tests for the relevant indicator.</w:t>
      </w:r>
      <w:r>
        <w:t xml:space="preserve"> Data published to the IATI Registry on results, sub-national location and conditions </w:t>
      </w:r>
      <w:r w:rsidR="00B4239F">
        <w:t xml:space="preserve">are </w:t>
      </w:r>
      <w:r>
        <w:t xml:space="preserve">also sampled to ensure it meets the criteria for those indicators. </w:t>
      </w:r>
    </w:p>
    <w:p w14:paraId="6CF397C8" w14:textId="77777777" w:rsidR="00584B39" w:rsidRDefault="00584B39" w:rsidP="00584B39">
      <w:pPr>
        <w:pStyle w:val="ListBullet"/>
        <w:spacing w:after="0" w:line="240" w:lineRule="auto"/>
        <w:ind w:left="357" w:hanging="357"/>
      </w:pPr>
      <w:r w:rsidRPr="00423FCC">
        <w:rPr>
          <w:b/>
        </w:rPr>
        <w:t>Multiple sources:</w:t>
      </w:r>
      <w:r w:rsidRPr="00423FCC">
        <w:t xml:space="preserve"> </w:t>
      </w:r>
      <w:r w:rsidRPr="00C75AE3">
        <w:t xml:space="preserve">For organisations which publish information to multiple databases or websites, information from all sources is accepted. For example, data for the EC’s </w:t>
      </w:r>
      <w:r w:rsidRPr="00C75AE3">
        <w:rPr>
          <w:rFonts w:cstheme="minorHAnsi"/>
          <w:shd w:val="clear" w:color="auto" w:fill="FFFFFF"/>
        </w:rPr>
        <w:t xml:space="preserve">Humanitarian Aid and Civil Protection </w:t>
      </w:r>
      <w:r w:rsidRPr="00C75AE3">
        <w:rPr>
          <w:rFonts w:cstheme="minorHAnsi"/>
        </w:rPr>
        <w:t xml:space="preserve">Department (ECHO) </w:t>
      </w:r>
      <w:r w:rsidRPr="00C75AE3">
        <w:t>is published</w:t>
      </w:r>
      <w:r>
        <w:t xml:space="preserve"> to two humanitarian databases, </w:t>
      </w:r>
      <w:r w:rsidRPr="00C75AE3">
        <w:t>the European Disaster Response Information System (EDRIS) and the Financial Tracking</w:t>
      </w:r>
      <w:r>
        <w:t xml:space="preserve"> Service (FTS),</w:t>
      </w:r>
      <w:r w:rsidRPr="00C75AE3">
        <w:t xml:space="preserve"> </w:t>
      </w:r>
      <w:r>
        <w:t>and to IATI. All three sources are accepted.</w:t>
      </w:r>
      <w:r w:rsidRPr="00C75AE3">
        <w:t xml:space="preserve"> If there are differences between the t</w:t>
      </w:r>
      <w:r>
        <w:t>hree</w:t>
      </w:r>
      <w:r w:rsidRPr="00C75AE3">
        <w:t xml:space="preserve"> information sources, </w:t>
      </w:r>
      <w:r>
        <w:t xml:space="preserve">priority is given to the </w:t>
      </w:r>
      <w:r w:rsidRPr="00C75AE3">
        <w:t xml:space="preserve">most recent information </w:t>
      </w:r>
      <w:r>
        <w:t xml:space="preserve">in the most </w:t>
      </w:r>
      <w:r w:rsidRPr="00C75AE3">
        <w:t>accessible</w:t>
      </w:r>
      <w:r>
        <w:t xml:space="preserve"> format.</w:t>
      </w:r>
      <w:r w:rsidR="00C93DA5">
        <w:t xml:space="preserve"> The sources of information must be easily accessible from the organisation’s website. </w:t>
      </w:r>
    </w:p>
    <w:p w14:paraId="5812BD1E" w14:textId="77777777" w:rsidR="00584B39" w:rsidRPr="00423FCC" w:rsidRDefault="00584B39" w:rsidP="00584B39">
      <w:pPr>
        <w:pStyle w:val="ListBullet"/>
        <w:spacing w:after="0" w:line="240" w:lineRule="auto"/>
        <w:ind w:left="357" w:hanging="357"/>
      </w:pPr>
      <w:r w:rsidRPr="00423FCC">
        <w:rPr>
          <w:b/>
        </w:rPr>
        <w:t>Development focused</w:t>
      </w:r>
      <w:r w:rsidRPr="00423FCC">
        <w:t>: For the handful of organisations whose primary mandate is not providing development assistance, the assessment of their aid transparency relates only to the development assistance aspect of their operations and not the transparency of the organisation more broadly.</w:t>
      </w:r>
    </w:p>
    <w:p w14:paraId="61EE07E1" w14:textId="77777777" w:rsidR="009C7D14" w:rsidRDefault="00584B39" w:rsidP="009F49BC">
      <w:pPr>
        <w:pStyle w:val="ListBullet"/>
        <w:spacing w:after="0" w:line="240" w:lineRule="auto"/>
        <w:ind w:left="357" w:hanging="357"/>
      </w:pPr>
      <w:r w:rsidRPr="00423FCC">
        <w:rPr>
          <w:b/>
        </w:rPr>
        <w:t>Parent or subsidiary organisations:</w:t>
      </w:r>
      <w:r w:rsidRPr="00423FCC">
        <w:t xml:space="preserve"> Information for some org</w:t>
      </w:r>
      <w:r w:rsidRPr="00D57B43">
        <w:t>anisations is</w:t>
      </w:r>
      <w:r w:rsidRPr="003C4880">
        <w:t xml:space="preserve"> </w:t>
      </w:r>
      <w:r w:rsidRPr="00423FCC">
        <w:t xml:space="preserve">held or managed by other organisations. In such cases, we look at both organisations for the information, i.e. the primary organisation under assessment as well as the organisation holding/publishing the information. </w:t>
      </w:r>
    </w:p>
    <w:p w14:paraId="03B136BB" w14:textId="77777777" w:rsidR="009F49BC" w:rsidRPr="009F49BC" w:rsidRDefault="009F49BC" w:rsidP="009F49BC">
      <w:pPr>
        <w:pStyle w:val="ListBullet"/>
        <w:numPr>
          <w:ilvl w:val="0"/>
          <w:numId w:val="0"/>
        </w:numPr>
        <w:spacing w:after="0" w:line="240" w:lineRule="auto"/>
        <w:ind w:left="357"/>
      </w:pPr>
    </w:p>
    <w:p w14:paraId="408D5E4E" w14:textId="77777777" w:rsidR="009F2D0F" w:rsidRPr="00D542D9" w:rsidRDefault="007D68FE" w:rsidP="00935A49">
      <w:pPr>
        <w:pStyle w:val="Heading4"/>
        <w:spacing w:before="0" w:line="240" w:lineRule="auto"/>
        <w:contextualSpacing/>
        <w:rPr>
          <w:rFonts w:ascii="Cambria" w:eastAsia="Calibri" w:hAnsi="Cambria" w:cs="Times New Roman"/>
          <w:i w:val="0"/>
          <w:iCs w:val="0"/>
          <w:color w:val="4F81BD"/>
          <w:sz w:val="28"/>
          <w:szCs w:val="26"/>
        </w:rPr>
      </w:pPr>
      <w:r w:rsidRPr="00D542D9">
        <w:rPr>
          <w:rFonts w:ascii="Cambria" w:eastAsia="Calibri" w:hAnsi="Cambria" w:cs="Times New Roman"/>
          <w:i w:val="0"/>
          <w:iCs w:val="0"/>
          <w:color w:val="4F81BD"/>
          <w:sz w:val="28"/>
          <w:szCs w:val="26"/>
        </w:rPr>
        <w:t>Details of scoring approach</w:t>
      </w:r>
    </w:p>
    <w:p w14:paraId="0A679CEC" w14:textId="77777777" w:rsidR="00D542D9" w:rsidRDefault="00D542D9" w:rsidP="00935A49">
      <w:pPr>
        <w:pStyle w:val="ListParagraph"/>
        <w:spacing w:after="0" w:line="240" w:lineRule="auto"/>
        <w:ind w:left="360"/>
      </w:pPr>
    </w:p>
    <w:p w14:paraId="43FBC142" w14:textId="77777777" w:rsidR="00584B39" w:rsidRPr="00423FCC" w:rsidRDefault="00584B39" w:rsidP="00584B39">
      <w:pPr>
        <w:pStyle w:val="ListParagraph"/>
        <w:numPr>
          <w:ilvl w:val="0"/>
          <w:numId w:val="15"/>
        </w:numPr>
        <w:spacing w:after="0" w:line="240" w:lineRule="auto"/>
        <w:ind w:hanging="357"/>
      </w:pPr>
      <w:r w:rsidRPr="00423FCC">
        <w:t>All indicators can score a maximum of 100 points.</w:t>
      </w:r>
    </w:p>
    <w:p w14:paraId="2C31CB4F" w14:textId="77777777" w:rsidR="00584B39" w:rsidRPr="00423FCC" w:rsidRDefault="00584B39" w:rsidP="00584B39">
      <w:pPr>
        <w:pStyle w:val="ListParagraph"/>
        <w:numPr>
          <w:ilvl w:val="0"/>
          <w:numId w:val="15"/>
        </w:numPr>
        <w:spacing w:after="0" w:line="240" w:lineRule="auto"/>
        <w:ind w:hanging="357"/>
      </w:pPr>
      <w:r w:rsidRPr="00423FCC">
        <w:t>For all indicators for which scores are “</w:t>
      </w:r>
      <w:r w:rsidRPr="00423FCC">
        <w:rPr>
          <w:b/>
        </w:rPr>
        <w:t>graduated on the basis of format</w:t>
      </w:r>
      <w:r w:rsidRPr="00423FCC">
        <w:t>”, the information is scored as follows:</w:t>
      </w:r>
    </w:p>
    <w:p w14:paraId="0D51505F" w14:textId="77777777" w:rsidR="00584B39" w:rsidRPr="00423FCC" w:rsidRDefault="00584B39" w:rsidP="00584B39">
      <w:pPr>
        <w:pStyle w:val="ListParagraph"/>
        <w:numPr>
          <w:ilvl w:val="1"/>
          <w:numId w:val="15"/>
        </w:numPr>
        <w:spacing w:after="0" w:line="240" w:lineRule="auto"/>
        <w:ind w:hanging="357"/>
      </w:pPr>
      <w:r w:rsidRPr="00423FCC">
        <w:t>PDF = 16.67 points</w:t>
      </w:r>
    </w:p>
    <w:p w14:paraId="0385089C" w14:textId="77777777" w:rsidR="00584B39" w:rsidRPr="00423FCC" w:rsidRDefault="00584B39" w:rsidP="00584B39">
      <w:pPr>
        <w:pStyle w:val="ListParagraph"/>
        <w:numPr>
          <w:ilvl w:val="1"/>
          <w:numId w:val="15"/>
        </w:numPr>
        <w:spacing w:after="0" w:line="240" w:lineRule="auto"/>
        <w:ind w:hanging="357"/>
      </w:pPr>
      <w:r w:rsidRPr="00423FCC">
        <w:t>Website = 33.33 points</w:t>
      </w:r>
    </w:p>
    <w:p w14:paraId="21A7EFB6" w14:textId="77777777" w:rsidR="00584B39" w:rsidRPr="00423FCC" w:rsidRDefault="00584B39" w:rsidP="00584B39">
      <w:pPr>
        <w:pStyle w:val="ListParagraph"/>
        <w:numPr>
          <w:ilvl w:val="1"/>
          <w:numId w:val="15"/>
        </w:numPr>
        <w:spacing w:after="0" w:line="240" w:lineRule="auto"/>
        <w:ind w:hanging="357"/>
      </w:pPr>
      <w:r w:rsidRPr="004D19B4">
        <w:rPr>
          <w:lang w:val="fr-FR"/>
        </w:rPr>
        <w:t xml:space="preserve">Machine-readable (CSV, Excel, etc.) </w:t>
      </w:r>
      <w:r w:rsidRPr="00423FCC">
        <w:t>= 50.00 points</w:t>
      </w:r>
    </w:p>
    <w:p w14:paraId="42A3E4F2" w14:textId="77777777" w:rsidR="00584B39" w:rsidRPr="00423FCC" w:rsidRDefault="00584B39" w:rsidP="00584B39">
      <w:pPr>
        <w:pStyle w:val="ListParagraph"/>
        <w:numPr>
          <w:ilvl w:val="1"/>
          <w:numId w:val="15"/>
        </w:numPr>
        <w:spacing w:after="0" w:line="240" w:lineRule="auto"/>
        <w:ind w:hanging="357"/>
      </w:pPr>
      <w:r w:rsidRPr="00423FCC">
        <w:t xml:space="preserve">IATI XML = 50–100 points depending on data quality and frequency </w:t>
      </w:r>
    </w:p>
    <w:p w14:paraId="2492EADD" w14:textId="77777777" w:rsidR="00584B39" w:rsidRPr="00423FCC" w:rsidRDefault="00584B39" w:rsidP="00584B39">
      <w:pPr>
        <w:pStyle w:val="ListParagraph"/>
        <w:numPr>
          <w:ilvl w:val="0"/>
          <w:numId w:val="15"/>
        </w:numPr>
        <w:spacing w:after="0" w:line="240" w:lineRule="auto"/>
        <w:ind w:hanging="357"/>
      </w:pPr>
      <w:r>
        <w:t>For organisation-</w:t>
      </w:r>
      <w:r w:rsidRPr="00423FCC">
        <w:t>level indicators for which the scores are “</w:t>
      </w:r>
      <w:r w:rsidRPr="00423FCC">
        <w:rPr>
          <w:b/>
        </w:rPr>
        <w:t>graduated based on accessibility</w:t>
      </w:r>
      <w:r w:rsidRPr="00423FCC">
        <w:t xml:space="preserve">”, information published </w:t>
      </w:r>
      <w:r>
        <w:t>to the IATI Registry</w:t>
      </w:r>
      <w:r w:rsidRPr="00423FCC">
        <w:t xml:space="preserve"> is awarded the total score for the indicator, while information published in all other formats is awarded 50 points of the total possible score of 100</w:t>
      </w:r>
      <w:r>
        <w:t>.</w:t>
      </w:r>
      <w:r w:rsidR="008C7AF5">
        <w:rPr>
          <w:rStyle w:val="FootnoteReference"/>
        </w:rPr>
        <w:footnoteReference w:id="5"/>
      </w:r>
      <w:r w:rsidRPr="00423FCC">
        <w:t xml:space="preserve"> These indicators relate to organisation documents which may be provided in IATI in the form of links to documents with the correct document code from the IATI ‘Organisation Documents Codelist’ specified. This makes them easier to locate and identify than documents available just on the organisation’s website, as they have been categorised according to a common standard; hence they are scored more highly. </w:t>
      </w:r>
    </w:p>
    <w:p w14:paraId="3348D6AF" w14:textId="77777777" w:rsidR="00584B39" w:rsidRPr="00423FCC" w:rsidRDefault="00584B39" w:rsidP="00584B39">
      <w:pPr>
        <w:pStyle w:val="ListParagraph"/>
        <w:numPr>
          <w:ilvl w:val="0"/>
          <w:numId w:val="15"/>
        </w:numPr>
        <w:spacing w:after="0" w:line="240" w:lineRule="auto"/>
        <w:ind w:hanging="357"/>
      </w:pPr>
      <w:r>
        <w:t>For activity-</w:t>
      </w:r>
      <w:r w:rsidRPr="00423FCC">
        <w:t>level indicators for which the scores are “</w:t>
      </w:r>
      <w:r w:rsidRPr="00423FCC">
        <w:rPr>
          <w:b/>
        </w:rPr>
        <w:t>graduated on the basis of accessibility</w:t>
      </w:r>
      <w:r w:rsidRPr="00423FCC">
        <w:t xml:space="preserve">”, information published </w:t>
      </w:r>
      <w:r>
        <w:t>to the IATI Registry</w:t>
      </w:r>
      <w:r w:rsidRPr="00423FCC">
        <w:t xml:space="preserve"> can score </w:t>
      </w:r>
      <w:r w:rsidRPr="00423FCC">
        <w:rPr>
          <w:bCs/>
        </w:rPr>
        <w:t>between 50–</w:t>
      </w:r>
      <w:r w:rsidRPr="00423FCC">
        <w:t>100 points</w:t>
      </w:r>
      <w:r w:rsidRPr="00423FCC">
        <w:rPr>
          <w:bCs/>
        </w:rPr>
        <w:t xml:space="preserve"> </w:t>
      </w:r>
      <w:r w:rsidRPr="00423FCC">
        <w:t xml:space="preserve">for that indicator based on data </w:t>
      </w:r>
      <w:r w:rsidRPr="00423FCC">
        <w:rPr>
          <w:u w:val="single"/>
        </w:rPr>
        <w:t>quality</w:t>
      </w:r>
      <w:r w:rsidRPr="00423FCC">
        <w:t xml:space="preserve"> and </w:t>
      </w:r>
      <w:r w:rsidRPr="00423FCC">
        <w:rPr>
          <w:u w:val="single"/>
        </w:rPr>
        <w:t>frequency</w:t>
      </w:r>
      <w:r w:rsidRPr="00423FCC">
        <w:rPr>
          <w:bCs/>
        </w:rPr>
        <w:t xml:space="preserve"> of publication</w:t>
      </w:r>
      <w:r w:rsidRPr="00423FCC">
        <w:t xml:space="preserve">. Information published in all other formats </w:t>
      </w:r>
      <w:r w:rsidRPr="00423FCC">
        <w:rPr>
          <w:bCs/>
        </w:rPr>
        <w:t>is awarded 5</w:t>
      </w:r>
      <w:r w:rsidRPr="00423FCC">
        <w:t xml:space="preserve">0 points for the indicator. </w:t>
      </w:r>
    </w:p>
    <w:p w14:paraId="0C60CC79" w14:textId="044DA5AB" w:rsidR="00584B39" w:rsidRPr="00423FCC" w:rsidRDefault="00584B39" w:rsidP="00584B39">
      <w:pPr>
        <w:pStyle w:val="ListParagraph"/>
        <w:numPr>
          <w:ilvl w:val="0"/>
          <w:numId w:val="15"/>
        </w:numPr>
        <w:spacing w:after="0" w:line="240" w:lineRule="auto"/>
        <w:ind w:hanging="357"/>
      </w:pPr>
      <w:r w:rsidRPr="00423FCC">
        <w:t>The scoring for the two forward budget indicators at the organisation level is “</w:t>
      </w:r>
      <w:r w:rsidRPr="00423FCC">
        <w:rPr>
          <w:b/>
        </w:rPr>
        <w:t>graduated on the basis of both format and the number of years</w:t>
      </w:r>
      <w:r w:rsidRPr="00423FCC">
        <w:t xml:space="preserve">” for which information is published. </w:t>
      </w:r>
      <w:r w:rsidR="004A3C4E">
        <w:t>Publishing</w:t>
      </w:r>
      <w:r w:rsidRPr="00423FCC">
        <w:t xml:space="preserve"> a budget for </w:t>
      </w:r>
      <w:r w:rsidR="00761EE5">
        <w:t>201</w:t>
      </w:r>
      <w:r w:rsidR="002573E4">
        <w:t>6</w:t>
      </w:r>
      <w:r>
        <w:t xml:space="preserve"> counts as one year forward </w:t>
      </w:r>
      <w:r w:rsidRPr="00423FCC">
        <w:t>looking, 201</w:t>
      </w:r>
      <w:r w:rsidR="002573E4">
        <w:t>7</w:t>
      </w:r>
      <w:r w:rsidRPr="00423FCC">
        <w:t xml:space="preserve"> as two years and 201</w:t>
      </w:r>
      <w:r w:rsidR="002573E4">
        <w:t>8</w:t>
      </w:r>
      <w:r w:rsidRPr="00423FCC">
        <w:t xml:space="preserve"> as three years. Budgets need to run up to a minimum of</w:t>
      </w:r>
      <w:r w:rsidR="006A1357">
        <w:t xml:space="preserve"> 31</w:t>
      </w:r>
      <w:r w:rsidRPr="00423FCC">
        <w:t xml:space="preserve"> December 201</w:t>
      </w:r>
      <w:r w:rsidR="002573E4">
        <w:t>8</w:t>
      </w:r>
      <w:r>
        <w:t xml:space="preserve"> to score for three years. </w:t>
      </w:r>
      <w:r w:rsidR="008D1C5E">
        <w:t>Aggregate</w:t>
      </w:r>
      <w:r w:rsidRPr="00423FCC">
        <w:t xml:space="preserve"> budgets are treated</w:t>
      </w:r>
      <w:r w:rsidR="008822C0">
        <w:t xml:space="preserve"> the same as a one year forward-</w:t>
      </w:r>
      <w:r w:rsidRPr="00423FCC">
        <w:t>looking</w:t>
      </w:r>
      <w:r w:rsidR="008822C0">
        <w:t xml:space="preserve"> budget</w:t>
      </w:r>
      <w:r w:rsidRPr="00423FCC">
        <w:t xml:space="preserve">, i.e. </w:t>
      </w:r>
      <w:r w:rsidR="008D1C5E">
        <w:t>an aggregate</w:t>
      </w:r>
      <w:r w:rsidRPr="00423FCC">
        <w:t xml:space="preserve"> budget for 201</w:t>
      </w:r>
      <w:r w:rsidR="002573E4">
        <w:t>5</w:t>
      </w:r>
      <w:r w:rsidRPr="00423FCC">
        <w:t>–201</w:t>
      </w:r>
      <w:r w:rsidR="002573E4">
        <w:t>7</w:t>
      </w:r>
      <w:r w:rsidRPr="00423FCC">
        <w:t xml:space="preserve"> is treated the same as a one year budget for 201</w:t>
      </w:r>
      <w:r w:rsidR="002573E4">
        <w:t>6</w:t>
      </w:r>
      <w:r w:rsidRPr="00423FCC">
        <w:t>. If a</w:t>
      </w:r>
      <w:r>
        <w:t>n organisation</w:t>
      </w:r>
      <w:r w:rsidRPr="00423FCC">
        <w:t xml:space="preserve"> publishes a budget for 201</w:t>
      </w:r>
      <w:r w:rsidR="002573E4">
        <w:t>6</w:t>
      </w:r>
      <w:r w:rsidRPr="00423FCC">
        <w:t xml:space="preserve"> and then </w:t>
      </w:r>
      <w:r w:rsidR="008D1C5E">
        <w:t>an aggregate</w:t>
      </w:r>
      <w:r w:rsidRPr="00423FCC">
        <w:t xml:space="preserve"> budget for 201</w:t>
      </w:r>
      <w:r w:rsidR="002573E4">
        <w:t>7</w:t>
      </w:r>
      <w:r w:rsidRPr="00423FCC">
        <w:t>–201</w:t>
      </w:r>
      <w:r w:rsidR="002573E4">
        <w:t>8</w:t>
      </w:r>
      <w:r w:rsidRPr="00423FCC">
        <w:t>, then the budget is considered to be two years forward looking. The scores are graduated as follows:</w:t>
      </w:r>
    </w:p>
    <w:p w14:paraId="7890E9B6" w14:textId="77777777" w:rsidR="00584B39" w:rsidRPr="00423FCC" w:rsidRDefault="00584B39" w:rsidP="00584B39">
      <w:pPr>
        <w:pStyle w:val="ListParagraph"/>
        <w:numPr>
          <w:ilvl w:val="1"/>
          <w:numId w:val="15"/>
        </w:numPr>
        <w:spacing w:after="0" w:line="240" w:lineRule="auto"/>
        <w:ind w:hanging="357"/>
      </w:pPr>
      <w:r w:rsidRPr="00423FCC">
        <w:t xml:space="preserve">PDF = 16.67 points </w:t>
      </w:r>
      <w:r>
        <w:t xml:space="preserve">* y/3 </w:t>
      </w:r>
      <w:r w:rsidRPr="00423FCC">
        <w:t>where y is the n</w:t>
      </w:r>
      <w:r>
        <w:t>umber</w:t>
      </w:r>
      <w:r w:rsidRPr="00423FCC">
        <w:t xml:space="preserve"> of years – up to a maximum of 3 years – for which forward</w:t>
      </w:r>
      <w:r>
        <w:t xml:space="preserve"> </w:t>
      </w:r>
      <w:r w:rsidRPr="00423FCC">
        <w:t>looking budget information is published</w:t>
      </w:r>
    </w:p>
    <w:p w14:paraId="6A62EE50" w14:textId="77777777" w:rsidR="00584B39" w:rsidRPr="00423FCC" w:rsidRDefault="00584B39" w:rsidP="00584B39">
      <w:pPr>
        <w:pStyle w:val="ListParagraph"/>
        <w:numPr>
          <w:ilvl w:val="1"/>
          <w:numId w:val="15"/>
        </w:numPr>
        <w:spacing w:after="0" w:line="240" w:lineRule="auto"/>
        <w:ind w:hanging="357"/>
      </w:pPr>
      <w:r w:rsidRPr="00423FCC">
        <w:t xml:space="preserve">Website = 33.33 points </w:t>
      </w:r>
      <w:r>
        <w:t>*</w:t>
      </w:r>
      <w:r w:rsidRPr="00423FCC">
        <w:t xml:space="preserve"> y/3 </w:t>
      </w:r>
    </w:p>
    <w:p w14:paraId="705D755C" w14:textId="77777777" w:rsidR="00584B39" w:rsidRPr="00423FCC" w:rsidRDefault="00584B39" w:rsidP="00584B39">
      <w:pPr>
        <w:pStyle w:val="ListParagraph"/>
        <w:numPr>
          <w:ilvl w:val="1"/>
          <w:numId w:val="15"/>
        </w:numPr>
        <w:spacing w:after="0" w:line="240" w:lineRule="auto"/>
        <w:ind w:hanging="357"/>
        <w:rPr>
          <w:lang w:val="fr-FR"/>
        </w:rPr>
      </w:pPr>
      <w:r w:rsidRPr="00423FCC">
        <w:rPr>
          <w:lang w:val="fr-FR"/>
        </w:rPr>
        <w:t xml:space="preserve">Machine-readable = 50.00 points </w:t>
      </w:r>
      <w:r>
        <w:rPr>
          <w:lang w:val="fr-FR"/>
        </w:rPr>
        <w:t>*</w:t>
      </w:r>
      <w:r w:rsidRPr="00423FCC">
        <w:rPr>
          <w:lang w:val="fr-FR"/>
        </w:rPr>
        <w:t xml:space="preserve"> y/3 </w:t>
      </w:r>
    </w:p>
    <w:p w14:paraId="4C6C45C1" w14:textId="77777777" w:rsidR="00584B39" w:rsidRPr="00423FCC" w:rsidRDefault="00584B39" w:rsidP="00584B39">
      <w:pPr>
        <w:pStyle w:val="ListParagraph"/>
        <w:numPr>
          <w:ilvl w:val="1"/>
          <w:numId w:val="15"/>
        </w:numPr>
        <w:spacing w:after="0" w:line="240" w:lineRule="auto"/>
        <w:ind w:hanging="357"/>
      </w:pPr>
      <w:r w:rsidRPr="00423FCC">
        <w:t xml:space="preserve">IATI XML = 50–100 points depending on data quality and frequency </w:t>
      </w:r>
      <w:r>
        <w:t>*</w:t>
      </w:r>
      <w:r w:rsidRPr="00423FCC">
        <w:t xml:space="preserve"> y/3 </w:t>
      </w:r>
    </w:p>
    <w:p w14:paraId="70BCD65A" w14:textId="77777777" w:rsidR="00913ED9" w:rsidRDefault="00584B39" w:rsidP="00584B39">
      <w:pPr>
        <w:pStyle w:val="ListParagraph"/>
        <w:numPr>
          <w:ilvl w:val="1"/>
          <w:numId w:val="15"/>
        </w:numPr>
        <w:spacing w:after="0" w:line="240" w:lineRule="auto"/>
        <w:ind w:hanging="357"/>
      </w:pPr>
      <w:r w:rsidRPr="00423FCC">
        <w:t xml:space="preserve">Aggregate budgets of between 2–3 years </w:t>
      </w:r>
      <w:r w:rsidR="00B4239F">
        <w:t>are</w:t>
      </w:r>
      <w:r w:rsidRPr="00423FCC">
        <w:t xml:space="preserve"> scored the same as 1 year forward budgets</w:t>
      </w:r>
    </w:p>
    <w:p w14:paraId="1778215A" w14:textId="77777777" w:rsidR="0072445E" w:rsidRDefault="0072445E" w:rsidP="0072445E">
      <w:pPr>
        <w:spacing w:after="0" w:line="240" w:lineRule="auto"/>
      </w:pPr>
    </w:p>
    <w:p w14:paraId="76A42779" w14:textId="77777777" w:rsidR="009F49BC" w:rsidRDefault="009F49BC" w:rsidP="0072445E">
      <w:pPr>
        <w:spacing w:after="0" w:line="240" w:lineRule="auto"/>
      </w:pPr>
    </w:p>
    <w:p w14:paraId="297DA5AD" w14:textId="1D98EC65" w:rsidR="0072445E" w:rsidRPr="00D0542A" w:rsidRDefault="00163163" w:rsidP="00D0542A">
      <w:pPr>
        <w:rPr>
          <w:rFonts w:ascii="Cambria" w:eastAsia="Calibri" w:hAnsi="Cambria" w:cs="Times New Roman"/>
          <w:b/>
          <w:bCs/>
          <w:color w:val="4F81BD"/>
          <w:sz w:val="28"/>
          <w:szCs w:val="26"/>
        </w:rPr>
      </w:pPr>
      <w:r>
        <w:rPr>
          <w:rFonts w:ascii="Cambria" w:eastAsia="Calibri" w:hAnsi="Cambria" w:cs="Times New Roman"/>
          <w:i/>
          <w:iCs/>
          <w:color w:val="4F81BD"/>
          <w:sz w:val="28"/>
          <w:szCs w:val="26"/>
        </w:rPr>
        <w:br w:type="page"/>
      </w:r>
    </w:p>
    <w:p w14:paraId="544994C5" w14:textId="77777777" w:rsidR="009F2D0F" w:rsidRPr="007D68FE" w:rsidRDefault="009F2D0F" w:rsidP="00935A49">
      <w:pPr>
        <w:pStyle w:val="Heading4"/>
        <w:spacing w:before="0" w:line="240" w:lineRule="auto"/>
        <w:contextualSpacing/>
        <w:rPr>
          <w:rFonts w:ascii="Cambria" w:eastAsia="Calibri" w:hAnsi="Cambria" w:cs="Times New Roman"/>
          <w:i w:val="0"/>
          <w:iCs w:val="0"/>
          <w:color w:val="4F81BD"/>
          <w:sz w:val="28"/>
          <w:szCs w:val="26"/>
        </w:rPr>
      </w:pPr>
      <w:r w:rsidRPr="007D68FE">
        <w:rPr>
          <w:rFonts w:ascii="Cambria" w:eastAsia="Calibri" w:hAnsi="Cambria" w:cs="Times New Roman"/>
          <w:i w:val="0"/>
          <w:iCs w:val="0"/>
          <w:color w:val="4F81BD"/>
          <w:sz w:val="28"/>
          <w:szCs w:val="26"/>
        </w:rPr>
        <w:t>Measuring quality and frequency for IATI XML data</w:t>
      </w:r>
    </w:p>
    <w:p w14:paraId="25DD28E1" w14:textId="77777777" w:rsidR="007D68FE" w:rsidRPr="007D68FE" w:rsidRDefault="007D68FE" w:rsidP="00935A49">
      <w:pPr>
        <w:spacing w:after="0" w:line="240" w:lineRule="auto"/>
        <w:contextualSpacing/>
        <w:rPr>
          <w:rStyle w:val="SubtitleChar"/>
          <w:rFonts w:asciiTheme="minorHAnsi" w:hAnsiTheme="minorHAnsi"/>
          <w:i w:val="0"/>
          <w:color w:val="auto"/>
          <w:sz w:val="22"/>
          <w:szCs w:val="22"/>
        </w:rPr>
      </w:pPr>
    </w:p>
    <w:p w14:paraId="3075F503" w14:textId="77777777" w:rsidR="003B57E4" w:rsidRDefault="00584B39" w:rsidP="00A50516">
      <w:pPr>
        <w:spacing w:after="0" w:line="240" w:lineRule="auto"/>
        <w:contextualSpacing/>
      </w:pPr>
      <w:r w:rsidRPr="00584B39">
        <w:rPr>
          <w:rStyle w:val="SubtitleChar"/>
          <w:rFonts w:asciiTheme="minorHAnsi" w:hAnsiTheme="minorHAnsi"/>
          <w:b/>
          <w:i w:val="0"/>
          <w:color w:val="auto"/>
        </w:rPr>
        <w:t>Quality:</w:t>
      </w:r>
      <w:r w:rsidRPr="00806749">
        <w:rPr>
          <w:rStyle w:val="SubtitleChar"/>
          <w:b/>
        </w:rPr>
        <w:t xml:space="preserve"> </w:t>
      </w:r>
      <w:r w:rsidR="00A50516" w:rsidRPr="00A50516">
        <w:rPr>
          <w:iCs/>
        </w:rPr>
        <w:t xml:space="preserve">The </w:t>
      </w:r>
      <w:r w:rsidR="00A50516" w:rsidRPr="00423FCC">
        <w:t>quality of data published in IATI XML is assessed by running a series of tests on all activity and organisation data packages being published</w:t>
      </w:r>
      <w:r w:rsidR="00A50516">
        <w:t xml:space="preserve"> to the IATI Registry</w:t>
      </w:r>
      <w:r w:rsidR="00A50516" w:rsidRPr="00423FCC">
        <w:t xml:space="preserve">. These tests have been designed to assess the availability, comprehensiveness and comparability of aid information and to determine whether an organisation’s </w:t>
      </w:r>
      <w:r w:rsidR="00563C3D">
        <w:t>IATI data conforms to the IATI S</w:t>
      </w:r>
      <w:r w:rsidR="00A50516" w:rsidRPr="00423FCC">
        <w:t xml:space="preserve">tandard appropriately. Most of the tests have been derived directly from the IATI schemas which provide formats for reporting data on various fields to the IATI Registry. Some additional tests have been designed to check that data published in IATI XML is presented in a manner which allows for comparison across organisations. </w:t>
      </w:r>
    </w:p>
    <w:p w14:paraId="3845538D" w14:textId="77777777" w:rsidR="003B57E4" w:rsidRDefault="003B57E4" w:rsidP="00A50516">
      <w:pPr>
        <w:spacing w:after="0" w:line="240" w:lineRule="auto"/>
        <w:contextualSpacing/>
      </w:pPr>
    </w:p>
    <w:p w14:paraId="56A30B6F" w14:textId="77777777" w:rsidR="00A50516" w:rsidRDefault="00A50516" w:rsidP="00A50516">
      <w:pPr>
        <w:spacing w:after="0" w:line="240" w:lineRule="auto"/>
        <w:contextualSpacing/>
      </w:pPr>
      <w:r w:rsidRPr="001A66FE">
        <w:t>Tests are run against</w:t>
      </w:r>
      <w:r>
        <w:t xml:space="preserve"> the following:</w:t>
      </w:r>
    </w:p>
    <w:p w14:paraId="47FA788A" w14:textId="77777777" w:rsidR="00A50516" w:rsidRDefault="00A50516" w:rsidP="00A50516">
      <w:pPr>
        <w:pStyle w:val="ListParagraph"/>
        <w:numPr>
          <w:ilvl w:val="0"/>
          <w:numId w:val="41"/>
        </w:numPr>
        <w:spacing w:after="0" w:line="240" w:lineRule="auto"/>
      </w:pPr>
      <w:r>
        <w:t>Ongoing activities;</w:t>
      </w:r>
    </w:p>
    <w:p w14:paraId="6EEF3074" w14:textId="77777777" w:rsidR="00A50516" w:rsidRDefault="00A50516" w:rsidP="00A50516">
      <w:pPr>
        <w:pStyle w:val="ListParagraph"/>
        <w:numPr>
          <w:ilvl w:val="0"/>
          <w:numId w:val="41"/>
        </w:numPr>
        <w:spacing w:after="0" w:line="240" w:lineRule="auto"/>
      </w:pPr>
      <w:r>
        <w:t xml:space="preserve">Activities with planned or actual end dates within the previous 12 months; </w:t>
      </w:r>
    </w:p>
    <w:p w14:paraId="6922C8AD" w14:textId="77777777" w:rsidR="00A50516" w:rsidRDefault="00A50516" w:rsidP="00A50516">
      <w:pPr>
        <w:pStyle w:val="ListParagraph"/>
        <w:numPr>
          <w:ilvl w:val="0"/>
          <w:numId w:val="41"/>
        </w:numPr>
        <w:spacing w:after="0" w:line="240" w:lineRule="auto"/>
      </w:pPr>
      <w:r>
        <w:t>Activities with disbursement or expenditure transaction dates within the previous 12 months.</w:t>
      </w:r>
      <w:r>
        <w:rPr>
          <w:rStyle w:val="FootnoteReference"/>
        </w:rPr>
        <w:footnoteReference w:id="6"/>
      </w:r>
    </w:p>
    <w:p w14:paraId="76797C78" w14:textId="77777777" w:rsidR="00A50516" w:rsidRDefault="00A50516" w:rsidP="00A50516">
      <w:pPr>
        <w:spacing w:after="0" w:line="240" w:lineRule="auto"/>
        <w:contextualSpacing/>
      </w:pPr>
    </w:p>
    <w:p w14:paraId="2DA90FD1" w14:textId="77777777" w:rsidR="00A50516" w:rsidRPr="00423FCC" w:rsidRDefault="00A50516" w:rsidP="00A50516">
      <w:pPr>
        <w:spacing w:after="0" w:line="240" w:lineRule="auto"/>
        <w:ind w:left="720"/>
        <w:contextualSpacing/>
      </w:pPr>
      <w:r w:rsidRPr="00423FCC">
        <w:t>Example: The following data quality tests are run to determine the quality of information for the indicator</w:t>
      </w:r>
      <w:r>
        <w:t xml:space="preserve"> 18</w:t>
      </w:r>
      <w:r w:rsidRPr="00423FCC">
        <w:t xml:space="preserve"> “current status”: </w:t>
      </w:r>
    </w:p>
    <w:p w14:paraId="49D08118" w14:textId="77777777" w:rsidR="00A50516" w:rsidRPr="00DA2A30" w:rsidRDefault="00A50516" w:rsidP="00A50516">
      <w:pPr>
        <w:spacing w:after="0" w:line="240" w:lineRule="auto"/>
        <w:ind w:left="720"/>
        <w:contextualSpacing/>
        <w:rPr>
          <w:sz w:val="10"/>
          <w:szCs w:val="10"/>
          <w:highlight w:val="yellow"/>
        </w:rPr>
      </w:pPr>
    </w:p>
    <w:tbl>
      <w:tblPr>
        <w:tblStyle w:val="TableGrid"/>
        <w:tblW w:w="0" w:type="auto"/>
        <w:jc w:val="center"/>
        <w:tblLook w:val="04A0" w:firstRow="1" w:lastRow="0" w:firstColumn="1" w:lastColumn="0" w:noHBand="0" w:noVBand="1"/>
      </w:tblPr>
      <w:tblGrid>
        <w:gridCol w:w="3583"/>
        <w:gridCol w:w="4107"/>
      </w:tblGrid>
      <w:tr w:rsidR="00A50516" w:rsidRPr="00423FCC" w14:paraId="34C96522" w14:textId="77777777" w:rsidTr="00A50516">
        <w:trPr>
          <w:trHeight w:val="256"/>
          <w:jc w:val="center"/>
        </w:trPr>
        <w:tc>
          <w:tcPr>
            <w:tcW w:w="3583" w:type="dxa"/>
            <w:shd w:val="clear" w:color="auto" w:fill="8DB3E2"/>
          </w:tcPr>
          <w:p w14:paraId="5EF54A16" w14:textId="77777777" w:rsidR="00A50516" w:rsidRPr="00423FCC" w:rsidRDefault="00A50516" w:rsidP="009E0C58">
            <w:pPr>
              <w:pStyle w:val="NoSpacing"/>
              <w:jc w:val="center"/>
              <w:rPr>
                <w:b/>
              </w:rPr>
            </w:pPr>
            <w:r w:rsidRPr="00423FCC">
              <w:rPr>
                <w:b/>
              </w:rPr>
              <w:t>Test</w:t>
            </w:r>
          </w:p>
        </w:tc>
        <w:tc>
          <w:tcPr>
            <w:tcW w:w="4107" w:type="dxa"/>
            <w:shd w:val="clear" w:color="auto" w:fill="8DB3E2"/>
          </w:tcPr>
          <w:p w14:paraId="03281C11" w14:textId="77777777" w:rsidR="00A50516" w:rsidRPr="00423FCC" w:rsidRDefault="00A50516" w:rsidP="009E0C58">
            <w:pPr>
              <w:pStyle w:val="NoSpacing"/>
              <w:jc w:val="center"/>
              <w:rPr>
                <w:b/>
              </w:rPr>
            </w:pPr>
            <w:r w:rsidRPr="00423FCC">
              <w:rPr>
                <w:b/>
              </w:rPr>
              <w:t>Test Description</w:t>
            </w:r>
          </w:p>
        </w:tc>
      </w:tr>
      <w:tr w:rsidR="00A50516" w:rsidRPr="00423FCC" w14:paraId="2D5F0485" w14:textId="77777777" w:rsidTr="00A50516">
        <w:trPr>
          <w:trHeight w:val="227"/>
          <w:jc w:val="center"/>
        </w:trPr>
        <w:tc>
          <w:tcPr>
            <w:tcW w:w="3583" w:type="dxa"/>
            <w:shd w:val="clear" w:color="auto" w:fill="auto"/>
          </w:tcPr>
          <w:p w14:paraId="2D39A298" w14:textId="77777777" w:rsidR="00A50516" w:rsidRPr="00423FCC" w:rsidRDefault="00A50516" w:rsidP="009E0C58">
            <w:pPr>
              <w:pStyle w:val="NoSpacing"/>
            </w:pPr>
            <w:r w:rsidRPr="00445EF6">
              <w:t>activity-status exists?</w:t>
            </w:r>
          </w:p>
        </w:tc>
        <w:tc>
          <w:tcPr>
            <w:tcW w:w="4107" w:type="dxa"/>
            <w:shd w:val="clear" w:color="auto" w:fill="auto"/>
          </w:tcPr>
          <w:p w14:paraId="171F7883" w14:textId="77777777" w:rsidR="00A50516" w:rsidRPr="00423FCC" w:rsidRDefault="00A50516" w:rsidP="009E0C58">
            <w:pPr>
              <w:pStyle w:val="NoSpacing"/>
            </w:pPr>
            <w:r>
              <w:t>Does the activity status exist?</w:t>
            </w:r>
          </w:p>
        </w:tc>
      </w:tr>
      <w:tr w:rsidR="00A50516" w:rsidRPr="00423FCC" w14:paraId="1B8E3467" w14:textId="77777777" w:rsidTr="00A50516">
        <w:trPr>
          <w:trHeight w:val="559"/>
          <w:jc w:val="center"/>
        </w:trPr>
        <w:tc>
          <w:tcPr>
            <w:tcW w:w="3583" w:type="dxa"/>
            <w:shd w:val="clear" w:color="auto" w:fill="auto"/>
          </w:tcPr>
          <w:p w14:paraId="313D2E5F" w14:textId="77777777" w:rsidR="00A50516" w:rsidRPr="00423FCC" w:rsidRDefault="00A50516" w:rsidP="009E0C58">
            <w:pPr>
              <w:pStyle w:val="NoSpacing"/>
            </w:pPr>
            <w:r w:rsidRPr="00445EF6">
              <w:t>activity-status/@code is on list ActivityStatus?</w:t>
            </w:r>
          </w:p>
        </w:tc>
        <w:tc>
          <w:tcPr>
            <w:tcW w:w="4107" w:type="dxa"/>
            <w:shd w:val="clear" w:color="auto" w:fill="auto"/>
          </w:tcPr>
          <w:p w14:paraId="1328B401" w14:textId="77777777" w:rsidR="00A50516" w:rsidRPr="00423FCC" w:rsidRDefault="00A50516" w:rsidP="009E0C58">
            <w:pPr>
              <w:pStyle w:val="NoSpacing"/>
            </w:pPr>
            <w:r>
              <w:t>Is the activity status code on the ActivityStatus codelist?</w:t>
            </w:r>
          </w:p>
        </w:tc>
      </w:tr>
    </w:tbl>
    <w:p w14:paraId="397D0313" w14:textId="77777777" w:rsidR="00A50516" w:rsidRPr="00DA2A30" w:rsidRDefault="00A50516" w:rsidP="00A50516">
      <w:pPr>
        <w:spacing w:after="0" w:line="240" w:lineRule="auto"/>
        <w:rPr>
          <w:sz w:val="10"/>
          <w:szCs w:val="10"/>
        </w:rPr>
      </w:pPr>
    </w:p>
    <w:p w14:paraId="0BEBB776" w14:textId="41CB83DF" w:rsidR="00A50516" w:rsidRPr="004963A5" w:rsidRDefault="00A50516" w:rsidP="00A50516">
      <w:pPr>
        <w:pStyle w:val="Subtitle"/>
        <w:spacing w:after="0" w:line="240" w:lineRule="auto"/>
        <w:rPr>
          <w:rFonts w:asciiTheme="minorHAnsi" w:eastAsiaTheme="minorHAnsi" w:hAnsiTheme="minorHAnsi" w:cs="Times New Roman"/>
          <w:bCs/>
          <w:i w:val="0"/>
          <w:iCs w:val="0"/>
          <w:color w:val="auto"/>
          <w:spacing w:val="0"/>
          <w:kern w:val="36"/>
          <w:sz w:val="22"/>
          <w:szCs w:val="22"/>
          <w:lang w:val="en-GB"/>
        </w:rPr>
      </w:pPr>
      <w:r w:rsidRPr="004963A5">
        <w:rPr>
          <w:rFonts w:asciiTheme="minorHAnsi" w:eastAsiaTheme="minorHAnsi" w:hAnsiTheme="minorHAnsi" w:cs="Times New Roman"/>
          <w:bCs/>
          <w:i w:val="0"/>
          <w:iCs w:val="0"/>
          <w:color w:val="auto"/>
          <w:spacing w:val="0"/>
          <w:kern w:val="36"/>
          <w:sz w:val="22"/>
          <w:szCs w:val="22"/>
          <w:lang w:val="en-GB"/>
        </w:rPr>
        <w:t xml:space="preserve">The tests return a “pass” or “fail” result for each activity (or organisation file </w:t>
      </w:r>
      <w:r>
        <w:rPr>
          <w:rFonts w:asciiTheme="minorHAnsi" w:eastAsiaTheme="minorHAnsi" w:hAnsiTheme="minorHAnsi" w:cs="Times New Roman"/>
          <w:bCs/>
          <w:i w:val="0"/>
          <w:iCs w:val="0"/>
          <w:color w:val="auto"/>
          <w:spacing w:val="0"/>
          <w:kern w:val="36"/>
          <w:sz w:val="22"/>
          <w:szCs w:val="22"/>
          <w:lang w:val="en-GB"/>
        </w:rPr>
        <w:t>depending</w:t>
      </w:r>
      <w:r w:rsidRPr="004963A5">
        <w:rPr>
          <w:rFonts w:asciiTheme="minorHAnsi" w:eastAsiaTheme="minorHAnsi" w:hAnsiTheme="minorHAnsi" w:cs="Times New Roman"/>
          <w:bCs/>
          <w:i w:val="0"/>
          <w:iCs w:val="0"/>
          <w:color w:val="auto"/>
          <w:spacing w:val="0"/>
          <w:kern w:val="36"/>
          <w:sz w:val="22"/>
          <w:szCs w:val="22"/>
          <w:lang w:val="en-GB"/>
        </w:rPr>
        <w:t xml:space="preserve"> on the indicator being measured) included in organisations’ data packages that meet the current data requirement. A complete list of the tests run against data published to the IATI Registry for the </w:t>
      </w:r>
      <w:r w:rsidR="002E390B">
        <w:rPr>
          <w:rFonts w:asciiTheme="minorHAnsi" w:eastAsiaTheme="minorHAnsi" w:hAnsiTheme="minorHAnsi" w:cs="Times New Roman"/>
          <w:bCs/>
          <w:i w:val="0"/>
          <w:iCs w:val="0"/>
          <w:color w:val="auto"/>
          <w:spacing w:val="0"/>
          <w:kern w:val="36"/>
          <w:sz w:val="22"/>
          <w:szCs w:val="22"/>
          <w:lang w:val="en-GB"/>
        </w:rPr>
        <w:t>Index</w:t>
      </w:r>
      <w:r w:rsidRPr="004963A5">
        <w:rPr>
          <w:rFonts w:asciiTheme="minorHAnsi" w:eastAsiaTheme="minorHAnsi" w:hAnsiTheme="minorHAnsi" w:cs="Times New Roman"/>
          <w:bCs/>
          <w:i w:val="0"/>
          <w:iCs w:val="0"/>
          <w:color w:val="auto"/>
          <w:spacing w:val="0"/>
          <w:kern w:val="36"/>
          <w:sz w:val="22"/>
          <w:szCs w:val="22"/>
          <w:lang w:val="en-GB"/>
        </w:rPr>
        <w:t xml:space="preserve"> is available in </w:t>
      </w:r>
      <w:r w:rsidR="006A1357">
        <w:rPr>
          <w:rFonts w:asciiTheme="minorHAnsi" w:eastAsiaTheme="minorHAnsi" w:hAnsiTheme="minorHAnsi" w:cs="Times New Roman"/>
          <w:bCs/>
          <w:i w:val="0"/>
          <w:iCs w:val="0"/>
          <w:color w:val="auto"/>
          <w:spacing w:val="0"/>
          <w:kern w:val="36"/>
          <w:sz w:val="22"/>
          <w:szCs w:val="22"/>
          <w:lang w:val="en-GB"/>
        </w:rPr>
        <w:t>annex 2</w:t>
      </w:r>
      <w:r w:rsidRPr="004963A5">
        <w:rPr>
          <w:rFonts w:asciiTheme="minorHAnsi" w:eastAsiaTheme="minorHAnsi" w:hAnsiTheme="minorHAnsi" w:cs="Times New Roman"/>
          <w:bCs/>
          <w:i w:val="0"/>
          <w:iCs w:val="0"/>
          <w:color w:val="auto"/>
          <w:spacing w:val="0"/>
          <w:kern w:val="36"/>
          <w:sz w:val="22"/>
          <w:szCs w:val="22"/>
          <w:lang w:val="en-GB"/>
        </w:rPr>
        <w:t xml:space="preserve">. These tests </w:t>
      </w:r>
      <w:r w:rsidR="00641BF3">
        <w:rPr>
          <w:rFonts w:asciiTheme="minorHAnsi" w:eastAsiaTheme="minorHAnsi" w:hAnsiTheme="minorHAnsi" w:cs="Times New Roman"/>
          <w:bCs/>
          <w:i w:val="0"/>
          <w:iCs w:val="0"/>
          <w:color w:val="auto"/>
          <w:spacing w:val="0"/>
          <w:kern w:val="36"/>
          <w:sz w:val="22"/>
          <w:szCs w:val="22"/>
          <w:lang w:val="en-GB"/>
        </w:rPr>
        <w:t>were</w:t>
      </w:r>
      <w:r w:rsidRPr="004963A5">
        <w:rPr>
          <w:rFonts w:asciiTheme="minorHAnsi" w:eastAsiaTheme="minorHAnsi" w:hAnsiTheme="minorHAnsi" w:cs="Times New Roman"/>
          <w:bCs/>
          <w:i w:val="0"/>
          <w:iCs w:val="0"/>
          <w:color w:val="auto"/>
          <w:spacing w:val="0"/>
          <w:kern w:val="36"/>
          <w:sz w:val="22"/>
          <w:szCs w:val="22"/>
          <w:lang w:val="en-GB"/>
        </w:rPr>
        <w:t xml:space="preserve"> developed in </w:t>
      </w:r>
      <w:r w:rsidR="00373CD4">
        <w:rPr>
          <w:rFonts w:asciiTheme="minorHAnsi" w:eastAsiaTheme="minorHAnsi" w:hAnsiTheme="minorHAnsi" w:cs="Times New Roman"/>
          <w:bCs/>
          <w:i w:val="0"/>
          <w:iCs w:val="0"/>
          <w:color w:val="auto"/>
          <w:spacing w:val="0"/>
          <w:kern w:val="36"/>
          <w:sz w:val="22"/>
          <w:szCs w:val="22"/>
          <w:lang w:val="en-GB"/>
        </w:rPr>
        <w:t xml:space="preserve">an open </w:t>
      </w:r>
      <w:r w:rsidRPr="004963A5">
        <w:rPr>
          <w:rFonts w:asciiTheme="minorHAnsi" w:eastAsiaTheme="minorHAnsi" w:hAnsiTheme="minorHAnsi" w:cs="Times New Roman"/>
          <w:bCs/>
          <w:i w:val="0"/>
          <w:iCs w:val="0"/>
          <w:color w:val="auto"/>
          <w:spacing w:val="0"/>
          <w:kern w:val="36"/>
          <w:sz w:val="22"/>
          <w:szCs w:val="22"/>
          <w:lang w:val="en-GB"/>
        </w:rPr>
        <w:t xml:space="preserve">consultation with </w:t>
      </w:r>
      <w:r w:rsidR="00E5138E">
        <w:rPr>
          <w:rFonts w:asciiTheme="minorHAnsi" w:eastAsiaTheme="minorHAnsi" w:hAnsiTheme="minorHAnsi" w:cs="Times New Roman"/>
          <w:bCs/>
          <w:i w:val="0"/>
          <w:iCs w:val="0"/>
          <w:color w:val="auto"/>
          <w:spacing w:val="0"/>
          <w:kern w:val="36"/>
          <w:sz w:val="22"/>
          <w:szCs w:val="22"/>
          <w:lang w:val="en-GB"/>
        </w:rPr>
        <w:t xml:space="preserve">2014 </w:t>
      </w:r>
      <w:r w:rsidRPr="004963A5">
        <w:rPr>
          <w:rFonts w:asciiTheme="minorHAnsi" w:eastAsiaTheme="minorHAnsi" w:hAnsiTheme="minorHAnsi" w:cs="Times New Roman"/>
          <w:bCs/>
          <w:i w:val="0"/>
          <w:iCs w:val="0"/>
          <w:color w:val="auto"/>
          <w:spacing w:val="0"/>
          <w:kern w:val="36"/>
          <w:sz w:val="22"/>
          <w:szCs w:val="22"/>
          <w:lang w:val="en-GB"/>
        </w:rPr>
        <w:t>Index peer reviewers</w:t>
      </w:r>
      <w:r w:rsidR="004D19B4">
        <w:rPr>
          <w:rFonts w:asciiTheme="minorHAnsi" w:eastAsiaTheme="minorHAnsi" w:hAnsiTheme="minorHAnsi" w:cs="Times New Roman"/>
          <w:bCs/>
          <w:i w:val="0"/>
          <w:iCs w:val="0"/>
          <w:color w:val="auto"/>
          <w:spacing w:val="0"/>
          <w:kern w:val="36"/>
          <w:sz w:val="22"/>
          <w:szCs w:val="22"/>
          <w:lang w:val="en-GB"/>
        </w:rPr>
        <w:t xml:space="preserve"> </w:t>
      </w:r>
      <w:r w:rsidRPr="004963A5">
        <w:rPr>
          <w:rFonts w:asciiTheme="minorHAnsi" w:eastAsiaTheme="minorHAnsi" w:hAnsiTheme="minorHAnsi" w:cs="Times New Roman"/>
          <w:bCs/>
          <w:i w:val="0"/>
          <w:iCs w:val="0"/>
          <w:color w:val="auto"/>
          <w:spacing w:val="0"/>
          <w:kern w:val="36"/>
          <w:sz w:val="22"/>
          <w:szCs w:val="22"/>
          <w:lang w:val="en-GB"/>
        </w:rPr>
        <w:t>and current IATI publishers</w:t>
      </w:r>
      <w:r w:rsidR="003B57E4">
        <w:rPr>
          <w:rFonts w:asciiTheme="minorHAnsi" w:eastAsiaTheme="minorHAnsi" w:hAnsiTheme="minorHAnsi" w:cs="Times New Roman"/>
          <w:bCs/>
          <w:i w:val="0"/>
          <w:iCs w:val="0"/>
          <w:color w:val="auto"/>
          <w:spacing w:val="0"/>
          <w:kern w:val="36"/>
          <w:sz w:val="22"/>
          <w:szCs w:val="22"/>
          <w:lang w:val="en-GB"/>
        </w:rPr>
        <w:t>. W</w:t>
      </w:r>
      <w:r w:rsidRPr="004963A5">
        <w:rPr>
          <w:rFonts w:asciiTheme="minorHAnsi" w:eastAsiaTheme="minorHAnsi" w:hAnsiTheme="minorHAnsi" w:cs="Times New Roman"/>
          <w:bCs/>
          <w:i w:val="0"/>
          <w:iCs w:val="0"/>
          <w:color w:val="auto"/>
          <w:spacing w:val="0"/>
          <w:kern w:val="36"/>
          <w:sz w:val="22"/>
          <w:szCs w:val="22"/>
          <w:lang w:val="en-GB"/>
        </w:rPr>
        <w:t>e welcome feedback on them.</w:t>
      </w:r>
      <w:r w:rsidRPr="004963A5">
        <w:rPr>
          <w:rFonts w:asciiTheme="minorHAnsi" w:eastAsiaTheme="minorHAnsi" w:hAnsiTheme="minorHAnsi" w:cs="Times New Roman"/>
          <w:bCs/>
          <w:i w:val="0"/>
          <w:iCs w:val="0"/>
          <w:color w:val="auto"/>
          <w:spacing w:val="0"/>
          <w:kern w:val="36"/>
          <w:sz w:val="22"/>
          <w:szCs w:val="22"/>
          <w:vertAlign w:val="superscript"/>
          <w:lang w:val="en-GB"/>
        </w:rPr>
        <w:footnoteReference w:id="7"/>
      </w:r>
    </w:p>
    <w:p w14:paraId="6CE9EF40" w14:textId="77777777" w:rsidR="00A50516" w:rsidRPr="004963A5" w:rsidRDefault="00A50516" w:rsidP="00A50516">
      <w:pPr>
        <w:pStyle w:val="Subtitle"/>
        <w:spacing w:after="0" w:line="240" w:lineRule="auto"/>
        <w:rPr>
          <w:rFonts w:asciiTheme="minorHAnsi" w:eastAsiaTheme="minorHAnsi" w:hAnsiTheme="minorHAnsi" w:cs="Times New Roman"/>
          <w:bCs/>
          <w:i w:val="0"/>
          <w:iCs w:val="0"/>
          <w:color w:val="auto"/>
          <w:spacing w:val="0"/>
          <w:kern w:val="36"/>
          <w:sz w:val="22"/>
          <w:szCs w:val="22"/>
          <w:lang w:val="en-GB"/>
        </w:rPr>
      </w:pPr>
    </w:p>
    <w:p w14:paraId="658C4BBB" w14:textId="77777777" w:rsidR="00A50516" w:rsidRPr="004963A5" w:rsidRDefault="00A50516" w:rsidP="00A50516">
      <w:pPr>
        <w:pStyle w:val="Subtitle"/>
        <w:spacing w:after="0" w:line="240" w:lineRule="auto"/>
        <w:rPr>
          <w:rFonts w:asciiTheme="minorHAnsi" w:eastAsiaTheme="minorHAnsi" w:hAnsiTheme="minorHAnsi" w:cs="Times New Roman"/>
          <w:bCs/>
          <w:i w:val="0"/>
          <w:iCs w:val="0"/>
          <w:color w:val="auto"/>
          <w:spacing w:val="0"/>
          <w:kern w:val="36"/>
          <w:sz w:val="22"/>
          <w:szCs w:val="22"/>
          <w:lang w:val="en-GB"/>
        </w:rPr>
      </w:pPr>
      <w:r w:rsidRPr="004963A5">
        <w:rPr>
          <w:rFonts w:asciiTheme="minorHAnsi" w:eastAsiaTheme="minorHAnsi" w:hAnsiTheme="minorHAnsi" w:cs="Times New Roman"/>
          <w:bCs/>
          <w:i w:val="0"/>
          <w:iCs w:val="0"/>
          <w:color w:val="auto"/>
          <w:spacing w:val="0"/>
          <w:kern w:val="36"/>
          <w:sz w:val="22"/>
          <w:szCs w:val="22"/>
          <w:lang w:val="en-GB"/>
        </w:rPr>
        <w:t xml:space="preserve">Data quality is determined by the percentage of an </w:t>
      </w:r>
      <w:r w:rsidR="006A1357" w:rsidRPr="004963A5">
        <w:rPr>
          <w:rFonts w:asciiTheme="minorHAnsi" w:eastAsiaTheme="minorHAnsi" w:hAnsiTheme="minorHAnsi" w:cs="Times New Roman"/>
          <w:bCs/>
          <w:i w:val="0"/>
          <w:iCs w:val="0"/>
          <w:color w:val="auto"/>
          <w:spacing w:val="0"/>
          <w:kern w:val="36"/>
          <w:sz w:val="22"/>
          <w:szCs w:val="22"/>
          <w:lang w:val="en-GB"/>
        </w:rPr>
        <w:t xml:space="preserve">organisation’s </w:t>
      </w:r>
      <w:r w:rsidR="006A1357">
        <w:rPr>
          <w:rFonts w:asciiTheme="minorHAnsi" w:eastAsiaTheme="minorHAnsi" w:hAnsiTheme="minorHAnsi" w:cs="Times New Roman"/>
          <w:bCs/>
          <w:i w:val="0"/>
          <w:iCs w:val="0"/>
          <w:color w:val="auto"/>
          <w:spacing w:val="0"/>
          <w:kern w:val="36"/>
          <w:sz w:val="22"/>
          <w:szCs w:val="22"/>
          <w:lang w:val="en-GB"/>
        </w:rPr>
        <w:t xml:space="preserve">total </w:t>
      </w:r>
      <w:r w:rsidRPr="004963A5">
        <w:rPr>
          <w:rFonts w:asciiTheme="minorHAnsi" w:eastAsiaTheme="minorHAnsi" w:hAnsiTheme="minorHAnsi" w:cs="Times New Roman"/>
          <w:bCs/>
          <w:i w:val="0"/>
          <w:iCs w:val="0"/>
          <w:color w:val="auto"/>
          <w:spacing w:val="0"/>
          <w:kern w:val="36"/>
          <w:sz w:val="22"/>
          <w:szCs w:val="22"/>
          <w:lang w:val="en-GB"/>
        </w:rPr>
        <w:t xml:space="preserve">current activities published to IATI </w:t>
      </w:r>
      <w:r w:rsidR="006A1357">
        <w:rPr>
          <w:rFonts w:asciiTheme="minorHAnsi" w:eastAsiaTheme="minorHAnsi" w:hAnsiTheme="minorHAnsi" w:cs="Times New Roman"/>
          <w:bCs/>
          <w:i w:val="0"/>
          <w:iCs w:val="0"/>
          <w:color w:val="auto"/>
          <w:spacing w:val="0"/>
          <w:kern w:val="36"/>
          <w:sz w:val="22"/>
          <w:szCs w:val="22"/>
          <w:lang w:val="en-GB"/>
        </w:rPr>
        <w:t xml:space="preserve">that </w:t>
      </w:r>
      <w:r w:rsidRPr="004963A5">
        <w:rPr>
          <w:rFonts w:asciiTheme="minorHAnsi" w:eastAsiaTheme="minorHAnsi" w:hAnsiTheme="minorHAnsi" w:cs="Times New Roman"/>
          <w:bCs/>
          <w:i w:val="0"/>
          <w:iCs w:val="0"/>
          <w:color w:val="auto"/>
          <w:spacing w:val="0"/>
          <w:kern w:val="36"/>
          <w:sz w:val="22"/>
          <w:szCs w:val="22"/>
          <w:lang w:val="en-GB"/>
        </w:rPr>
        <w:t>pass the data quality tests. Organisations are awarded the first 50 points of the total possible score of 100 for at least one “pass” result on the data quality tests for the indicator and the remaining 50 points based on data quality and frequency of publication.</w:t>
      </w:r>
    </w:p>
    <w:p w14:paraId="52422AE9" w14:textId="77777777" w:rsidR="00A50516" w:rsidRPr="004963A5" w:rsidRDefault="00A50516" w:rsidP="00A50516">
      <w:pPr>
        <w:spacing w:after="0" w:line="240" w:lineRule="auto"/>
        <w:rPr>
          <w:rFonts w:eastAsiaTheme="minorHAnsi"/>
        </w:rPr>
      </w:pPr>
    </w:p>
    <w:p w14:paraId="4F750EA6" w14:textId="77777777" w:rsidR="00A50516" w:rsidRPr="00423FCC" w:rsidRDefault="00A50516" w:rsidP="00A50516">
      <w:pPr>
        <w:spacing w:after="0" w:line="240" w:lineRule="auto"/>
        <w:rPr>
          <w:highlight w:val="yellow"/>
        </w:rPr>
      </w:pPr>
      <w:r w:rsidRPr="00A50516">
        <w:rPr>
          <w:rStyle w:val="SubtitleChar"/>
          <w:rFonts w:asciiTheme="minorHAnsi" w:hAnsiTheme="minorHAnsi"/>
          <w:b/>
          <w:i w:val="0"/>
          <w:color w:val="auto"/>
        </w:rPr>
        <w:t>Frequency:</w:t>
      </w:r>
      <w:r w:rsidRPr="004963A5">
        <w:rPr>
          <w:b/>
          <w:i/>
        </w:rPr>
        <w:t xml:space="preserve"> </w:t>
      </w:r>
      <w:r w:rsidRPr="004963A5">
        <w:t>Frequency refers to how</w:t>
      </w:r>
      <w:r w:rsidRPr="00CC0BEE">
        <w:t xml:space="preserve"> often organisations publish activity</w:t>
      </w:r>
      <w:r w:rsidR="006A1357">
        <w:t>-</w:t>
      </w:r>
      <w:r w:rsidRPr="00CC0BEE">
        <w:t xml:space="preserve">level information to IATI. </w:t>
      </w:r>
      <w:r w:rsidRPr="00CC0BEE">
        <w:rPr>
          <w:rFonts w:eastAsiaTheme="minorHAnsi" w:cs="Times New Roman"/>
          <w:bCs/>
          <w:kern w:val="36"/>
        </w:rPr>
        <w:t>For the activity level indicators, IATI publishers are awarded the first 50 points for at least one “pass” result on the data quality tests and the remaining 50 points based on the coverage</w:t>
      </w:r>
      <w:r w:rsidRPr="00CC0BEE">
        <w:rPr>
          <w:rFonts w:cs="Times New Roman"/>
          <w:bCs/>
          <w:kern w:val="36"/>
        </w:rPr>
        <w:t xml:space="preserve"> and frequency of publication. Publishing monthly allows an organisation to achieve the maximum </w:t>
      </w:r>
      <w:r>
        <w:rPr>
          <w:rFonts w:cs="Times New Roman"/>
          <w:bCs/>
          <w:kern w:val="36"/>
        </w:rPr>
        <w:t xml:space="preserve">indicator </w:t>
      </w:r>
      <w:r w:rsidRPr="00CC0BEE">
        <w:rPr>
          <w:rFonts w:cs="Times New Roman"/>
          <w:bCs/>
          <w:kern w:val="36"/>
        </w:rPr>
        <w:t>score of 100 points; publishing quarterly up to 95 points; and publishing less than quarterly up to 75 points.</w:t>
      </w:r>
      <w:r w:rsidR="00345D43">
        <w:rPr>
          <w:rFonts w:cs="Times New Roman"/>
          <w:bCs/>
          <w:kern w:val="36"/>
        </w:rPr>
        <w:t xml:space="preserve"> </w:t>
      </w:r>
      <w:r>
        <w:rPr>
          <w:rFonts w:cs="Times New Roman"/>
          <w:bCs/>
          <w:kern w:val="36"/>
        </w:rPr>
        <w:t xml:space="preserve"> </w:t>
      </w:r>
    </w:p>
    <w:p w14:paraId="58BFE69F" w14:textId="77777777" w:rsidR="00A50516" w:rsidRDefault="00A50516" w:rsidP="00A50516">
      <w:pPr>
        <w:spacing w:after="0" w:line="240" w:lineRule="auto"/>
      </w:pPr>
    </w:p>
    <w:p w14:paraId="54FF4651" w14:textId="77777777" w:rsidR="00A50516" w:rsidRDefault="00A50516" w:rsidP="00A50516">
      <w:pPr>
        <w:spacing w:after="0" w:line="240" w:lineRule="auto"/>
      </w:pPr>
      <w:r w:rsidRPr="00423FCC">
        <w:t xml:space="preserve">Example: An organisation that publishes </w:t>
      </w:r>
      <w:r>
        <w:t xml:space="preserve">current data </w:t>
      </w:r>
      <w:r w:rsidRPr="00423FCC">
        <w:t xml:space="preserve">to IATI </w:t>
      </w:r>
      <w:r>
        <w:t>every quarter</w:t>
      </w:r>
      <w:r w:rsidRPr="00423FCC">
        <w:t xml:space="preserve">, with 80% of </w:t>
      </w:r>
      <w:r>
        <w:t>that current data</w:t>
      </w:r>
      <w:r w:rsidRPr="00423FCC">
        <w:t xml:space="preserve"> passing the tests for </w:t>
      </w:r>
      <w:r>
        <w:t xml:space="preserve">an </w:t>
      </w:r>
      <w:r w:rsidRPr="00423FCC">
        <w:t>indicator, receive</w:t>
      </w:r>
      <w:r w:rsidR="006A1357">
        <w:t>s</w:t>
      </w:r>
      <w:r w:rsidRPr="00423FCC">
        <w:t xml:space="preserve"> the following score for that indi</w:t>
      </w:r>
      <w:r>
        <w:t>cator: 50 points + (80*</w:t>
      </w:r>
      <w:r w:rsidRPr="00423FCC">
        <w:t xml:space="preserve">0.9)/2 = 86 points. </w:t>
      </w:r>
      <w:r>
        <w:t>(</w:t>
      </w:r>
      <w:r w:rsidRPr="00423FCC">
        <w:t>If the</w:t>
      </w:r>
      <w:r>
        <w:t xml:space="preserve"> organisation</w:t>
      </w:r>
      <w:r w:rsidRPr="00423FCC">
        <w:t xml:space="preserve"> publishe</w:t>
      </w:r>
      <w:r>
        <w:t>s monthly</w:t>
      </w:r>
      <w:r w:rsidRPr="00423FCC">
        <w:t xml:space="preserve">, </w:t>
      </w:r>
      <w:r>
        <w:t>it</w:t>
      </w:r>
      <w:r w:rsidRPr="00423FCC">
        <w:t xml:space="preserve"> receive</w:t>
      </w:r>
      <w:r w:rsidR="006A1357">
        <w:t>s</w:t>
      </w:r>
      <w:r w:rsidRPr="00423FCC">
        <w:t xml:space="preserve"> a </w:t>
      </w:r>
      <w:r>
        <w:t xml:space="preserve">score of 50 + </w:t>
      </w:r>
      <w:r w:rsidR="00373CD4">
        <w:t>(</w:t>
      </w:r>
      <w:r>
        <w:t>80</w:t>
      </w:r>
      <w:r w:rsidR="00373CD4">
        <w:t>*1.0)</w:t>
      </w:r>
      <w:r>
        <w:t xml:space="preserve">/2 = 90 points.) </w:t>
      </w:r>
    </w:p>
    <w:p w14:paraId="6039621F" w14:textId="77777777" w:rsidR="00A50516" w:rsidRDefault="00A50516" w:rsidP="00A50516">
      <w:pPr>
        <w:spacing w:after="0" w:line="240" w:lineRule="auto"/>
      </w:pPr>
    </w:p>
    <w:p w14:paraId="14763128" w14:textId="77777777" w:rsidR="004B26A7" w:rsidRDefault="004B26A7" w:rsidP="004B26A7">
      <w:pPr>
        <w:spacing w:after="0" w:line="240" w:lineRule="auto"/>
        <w:rPr>
          <w:rFonts w:cs="Times New Roman"/>
          <w:bCs/>
          <w:kern w:val="36"/>
        </w:rPr>
      </w:pPr>
      <w:r w:rsidRPr="0060437E">
        <w:t xml:space="preserve">The frequency of publication is calculated based </w:t>
      </w:r>
      <w:r w:rsidR="00F263BE" w:rsidRPr="0060437E">
        <w:t xml:space="preserve">on the methodology used by the IATI Dashboard. Details of the methodology and the frequency of publication for existing publishers can be found </w:t>
      </w:r>
      <w:r w:rsidR="0060437E">
        <w:t>at</w:t>
      </w:r>
      <w:r w:rsidR="00F263BE" w:rsidRPr="0060437E">
        <w:t>:</w:t>
      </w:r>
      <w:r w:rsidR="00461C1D" w:rsidRPr="0060437E">
        <w:t xml:space="preserve"> </w:t>
      </w:r>
      <w:hyperlink r:id="rId15" w:history="1">
        <w:r w:rsidR="00F263BE" w:rsidRPr="0060437E">
          <w:rPr>
            <w:rStyle w:val="Hyperlink"/>
            <w:rFonts w:cstheme="minorBidi"/>
          </w:rPr>
          <w:t>http://dashboard.iatistandard.org/timeliness.html</w:t>
        </w:r>
      </w:hyperlink>
      <w:r w:rsidR="00F263BE">
        <w:t xml:space="preserve"> </w:t>
      </w:r>
    </w:p>
    <w:p w14:paraId="1548829B" w14:textId="77777777" w:rsidR="004B26A7" w:rsidRDefault="004B26A7" w:rsidP="00A50516">
      <w:pPr>
        <w:spacing w:after="0" w:line="240" w:lineRule="auto"/>
      </w:pPr>
    </w:p>
    <w:p w14:paraId="19C73B32" w14:textId="77777777" w:rsidR="00A50516" w:rsidRDefault="00A50516" w:rsidP="00A50516">
      <w:pPr>
        <w:spacing w:after="0" w:line="240" w:lineRule="auto"/>
      </w:pPr>
      <w:r>
        <w:t xml:space="preserve">Note that only IATI data is scored on frequency. Publishing information to IATI allows an organisation to score more points than publishing information in other formats. Because there are clear machine-readable logs of when this data changed, it is also possible to assess frequency – which is rarely possible for data published in other formats because the information is not always time-stamped. </w:t>
      </w:r>
    </w:p>
    <w:p w14:paraId="0B369A33" w14:textId="77777777" w:rsidR="00A50516" w:rsidRDefault="00A50516" w:rsidP="00A50516">
      <w:pPr>
        <w:spacing w:after="0" w:line="240" w:lineRule="auto"/>
      </w:pPr>
    </w:p>
    <w:p w14:paraId="48C6505F" w14:textId="77777777" w:rsidR="00652983" w:rsidRPr="00A50516" w:rsidRDefault="00652983" w:rsidP="00A50516">
      <w:pPr>
        <w:spacing w:after="0" w:line="240" w:lineRule="auto"/>
      </w:pPr>
    </w:p>
    <w:p w14:paraId="7B062F0A" w14:textId="77777777" w:rsidR="00652983" w:rsidRDefault="00652983" w:rsidP="00A75829">
      <w:pPr>
        <w:spacing w:after="0" w:line="240" w:lineRule="auto"/>
      </w:pPr>
    </w:p>
    <w:p w14:paraId="7DF9884B" w14:textId="77777777" w:rsidR="00F628B5" w:rsidRDefault="00F628B5">
      <w:pPr>
        <w:rPr>
          <w:rFonts w:asciiTheme="majorHAnsi" w:eastAsiaTheme="majorEastAsia" w:hAnsiTheme="majorHAnsi" w:cstheme="majorBidi"/>
          <w:b/>
          <w:bCs/>
          <w:color w:val="365F91" w:themeColor="accent1" w:themeShade="BF"/>
          <w:sz w:val="36"/>
          <w:szCs w:val="28"/>
        </w:rPr>
      </w:pPr>
      <w:bookmarkStart w:id="13" w:name="_Toc416100912"/>
      <w:r>
        <w:rPr>
          <w:sz w:val="36"/>
        </w:rPr>
        <w:br w:type="page"/>
      </w:r>
    </w:p>
    <w:p w14:paraId="4F071701" w14:textId="76ED0584" w:rsidR="00637F3A" w:rsidRPr="000445AB" w:rsidRDefault="00F95552" w:rsidP="00F95552">
      <w:pPr>
        <w:pStyle w:val="Heading1"/>
        <w:pBdr>
          <w:bottom w:val="single" w:sz="4" w:space="1" w:color="auto"/>
        </w:pBdr>
        <w:spacing w:before="0" w:line="240" w:lineRule="auto"/>
        <w:rPr>
          <w:sz w:val="36"/>
        </w:rPr>
      </w:pPr>
      <w:r>
        <w:rPr>
          <w:sz w:val="36"/>
        </w:rPr>
        <w:t xml:space="preserve">Section 3. </w:t>
      </w:r>
      <w:r w:rsidR="00EF4F98">
        <w:rPr>
          <w:sz w:val="36"/>
        </w:rPr>
        <w:t>Weighting</w:t>
      </w:r>
      <w:bookmarkEnd w:id="13"/>
      <w:r w:rsidR="00EF4F98">
        <w:rPr>
          <w:sz w:val="36"/>
        </w:rPr>
        <w:t xml:space="preserve"> </w:t>
      </w:r>
    </w:p>
    <w:p w14:paraId="5E0A629E" w14:textId="77777777" w:rsidR="000B21F7" w:rsidRPr="00423FCC" w:rsidRDefault="000B21F7" w:rsidP="00935A49">
      <w:pPr>
        <w:spacing w:after="0" w:line="240" w:lineRule="auto"/>
        <w:contextualSpacing/>
      </w:pPr>
    </w:p>
    <w:p w14:paraId="4F763EC2" w14:textId="337DE26D" w:rsidR="00637F3A" w:rsidRDefault="002C06F6" w:rsidP="00935A49">
      <w:pPr>
        <w:spacing w:after="0" w:line="240" w:lineRule="auto"/>
        <w:contextualSpacing/>
      </w:pPr>
      <w:r w:rsidRPr="00423FCC">
        <w:t xml:space="preserve">As </w:t>
      </w:r>
      <w:r w:rsidR="00676A8E">
        <w:t>detailed in Section 2</w:t>
      </w:r>
      <w:r w:rsidR="005C4B56">
        <w:t xml:space="preserve"> abov</w:t>
      </w:r>
      <w:r w:rsidR="00676A8E">
        <w:t>e</w:t>
      </w:r>
      <w:r w:rsidRPr="00423FCC">
        <w:t>,</w:t>
      </w:r>
      <w:r w:rsidR="00E82A6C">
        <w:t xml:space="preserve"> 2</w:t>
      </w:r>
      <w:r w:rsidR="00A83FB6">
        <w:t>2</w:t>
      </w:r>
      <w:r w:rsidRPr="00423FCC">
        <w:t xml:space="preserve"> indicators are scored based on format, while 14 are scored based on accessibility. In effect, this means that 50% of each indicator is scored on whether </w:t>
      </w:r>
      <w:r w:rsidR="005C4B56">
        <w:t>the organisation</w:t>
      </w:r>
      <w:r w:rsidRPr="00423FCC">
        <w:t xml:space="preserve"> publishes the information in IATI XML format </w:t>
      </w:r>
      <w:r w:rsidR="005C4B56">
        <w:t xml:space="preserve">to the IATI Registry </w:t>
      </w:r>
      <w:r w:rsidRPr="00423FCC">
        <w:t>or links documents to their IATI files</w:t>
      </w:r>
      <w:r w:rsidR="001939B3">
        <w:t>,</w:t>
      </w:r>
      <w:r w:rsidR="008A4217" w:rsidRPr="00423FCC">
        <w:t xml:space="preserve"> i.e</w:t>
      </w:r>
      <w:r w:rsidR="00744441" w:rsidRPr="00423FCC">
        <w:t>.</w:t>
      </w:r>
      <w:r w:rsidR="008A4217" w:rsidRPr="00423FCC">
        <w:t xml:space="preserve"> the format of a donor’s publication, together with the weight ascribed to indicators it scores on, determines its overall performance </w:t>
      </w:r>
      <w:r w:rsidR="001939B3">
        <w:t>i</w:t>
      </w:r>
      <w:r w:rsidR="00563C3D">
        <w:t xml:space="preserve">n the </w:t>
      </w:r>
      <w:r w:rsidR="002E390B">
        <w:t>Index</w:t>
      </w:r>
      <w:r w:rsidRPr="00423FCC">
        <w:t xml:space="preserve">. </w:t>
      </w:r>
    </w:p>
    <w:p w14:paraId="06527FE2" w14:textId="77777777" w:rsidR="00913ED9" w:rsidRPr="00423FCC" w:rsidRDefault="00913ED9" w:rsidP="00935A49">
      <w:pPr>
        <w:spacing w:after="0" w:line="240" w:lineRule="auto"/>
        <w:contextualSpacing/>
      </w:pPr>
    </w:p>
    <w:p w14:paraId="2600A7B1" w14:textId="77777777" w:rsidR="002C06F6" w:rsidRDefault="008A4217" w:rsidP="00935A49">
      <w:pPr>
        <w:spacing w:after="0" w:line="240" w:lineRule="auto"/>
        <w:contextualSpacing/>
        <w:rPr>
          <w:rFonts w:eastAsia="Times New Roman" w:cs="Times New Roman"/>
        </w:rPr>
      </w:pPr>
      <w:r w:rsidRPr="00423FCC">
        <w:t>E</w:t>
      </w:r>
      <w:r w:rsidR="002C06F6" w:rsidRPr="00423FCC">
        <w:t>ach indicator dif</w:t>
      </w:r>
      <w:r w:rsidR="009D07D1" w:rsidRPr="00423FCC">
        <w:t xml:space="preserve">fers in weight based on its category </w:t>
      </w:r>
      <w:r w:rsidR="00F65021" w:rsidRPr="00423FCC">
        <w:t>and</w:t>
      </w:r>
      <w:r w:rsidR="009D07D1" w:rsidRPr="00423FCC">
        <w:t xml:space="preserve"> sub-group. </w:t>
      </w:r>
      <w:r w:rsidRPr="00423FCC">
        <w:rPr>
          <w:rFonts w:eastAsia="Times New Roman" w:cs="Times New Roman"/>
        </w:rPr>
        <w:t xml:space="preserve">The commitment category indicators account for 10% of the overall weight. Publication accounts for 90% of the overall weight. The organisation-level indicators account for 25% of the overall weight, while the </w:t>
      </w:r>
      <w:r w:rsidR="003C7051" w:rsidRPr="00423FCC">
        <w:rPr>
          <w:rFonts w:eastAsia="Times New Roman" w:cs="Times New Roman"/>
        </w:rPr>
        <w:t>activity-level</w:t>
      </w:r>
      <w:r w:rsidRPr="00423FCC">
        <w:rPr>
          <w:rFonts w:eastAsia="Times New Roman" w:cs="Times New Roman"/>
        </w:rPr>
        <w:t xml:space="preserve"> indicators account for 65%.</w:t>
      </w:r>
      <w:r w:rsidR="00AA27AE" w:rsidRPr="00423FCC">
        <w:rPr>
          <w:rFonts w:eastAsia="Times New Roman" w:cs="Times New Roman"/>
        </w:rPr>
        <w:t xml:space="preserve"> Within these categories, the indicator sub-groups are equally weighted.</w:t>
      </w:r>
    </w:p>
    <w:p w14:paraId="022DF9B0" w14:textId="77777777" w:rsidR="00913ED9" w:rsidRPr="00423FCC" w:rsidRDefault="00913ED9" w:rsidP="00935A49">
      <w:pPr>
        <w:spacing w:after="0" w:line="240" w:lineRule="auto"/>
        <w:contextualSpacing/>
      </w:pPr>
    </w:p>
    <w:p w14:paraId="38D073E2" w14:textId="77777777" w:rsidR="009D07D1" w:rsidRDefault="00B37DD6" w:rsidP="00935A49">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Table 3</w:t>
      </w:r>
      <w:r w:rsidR="009D07D1" w:rsidRPr="00913ED9">
        <w:rPr>
          <w:rFonts w:ascii="Cambria" w:eastAsia="Calibri" w:hAnsi="Cambria" w:cs="Times New Roman"/>
          <w:b/>
          <w:bCs/>
          <w:color w:val="4F81BD"/>
          <w:sz w:val="24"/>
        </w:rPr>
        <w:t xml:space="preserve">: </w:t>
      </w:r>
      <w:r w:rsidR="008A4217" w:rsidRPr="00913ED9">
        <w:rPr>
          <w:rFonts w:ascii="Cambria" w:eastAsia="Calibri" w:hAnsi="Cambria" w:cs="Times New Roman"/>
          <w:b/>
          <w:bCs/>
          <w:color w:val="4F81BD"/>
          <w:sz w:val="24"/>
        </w:rPr>
        <w:t>Categories, sub</w:t>
      </w:r>
      <w:r w:rsidR="00A660F4">
        <w:rPr>
          <w:rFonts w:ascii="Cambria" w:eastAsia="Calibri" w:hAnsi="Cambria" w:cs="Times New Roman"/>
          <w:b/>
          <w:bCs/>
          <w:color w:val="4F81BD"/>
          <w:sz w:val="24"/>
        </w:rPr>
        <w:t>-</w:t>
      </w:r>
      <w:r w:rsidR="008A4217" w:rsidRPr="00913ED9">
        <w:rPr>
          <w:rFonts w:ascii="Cambria" w:eastAsia="Calibri" w:hAnsi="Cambria" w:cs="Times New Roman"/>
          <w:b/>
          <w:bCs/>
          <w:color w:val="4F81BD"/>
          <w:sz w:val="24"/>
        </w:rPr>
        <w:t>groups and weighting</w:t>
      </w:r>
    </w:p>
    <w:p w14:paraId="2FFA7F9E" w14:textId="77777777" w:rsidR="00913ED9" w:rsidRPr="00913ED9" w:rsidRDefault="00913ED9" w:rsidP="00935A49">
      <w:pPr>
        <w:spacing w:after="0" w:line="240" w:lineRule="auto"/>
        <w:rPr>
          <w:rFonts w:ascii="Cambria" w:eastAsia="Calibri" w:hAnsi="Cambria" w:cs="Times New Roman"/>
          <w:b/>
          <w:bCs/>
          <w:color w:val="4F81BD"/>
          <w:sz w:val="24"/>
        </w:rPr>
      </w:pPr>
    </w:p>
    <w:tbl>
      <w:tblPr>
        <w:tblStyle w:val="GridTable1Light-Accent11"/>
        <w:tblW w:w="104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3"/>
        <w:gridCol w:w="3118"/>
        <w:gridCol w:w="2509"/>
      </w:tblGrid>
      <w:tr w:rsidR="009D07D1" w:rsidRPr="007D68FE" w14:paraId="34C5168F" w14:textId="77777777" w:rsidTr="007D3871">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127" w:type="dxa"/>
            <w:tcBorders>
              <w:bottom w:val="none" w:sz="0" w:space="0" w:color="auto"/>
            </w:tcBorders>
            <w:shd w:val="clear" w:color="auto" w:fill="8DB3E2"/>
          </w:tcPr>
          <w:p w14:paraId="37FEAB10" w14:textId="77777777" w:rsidR="009D07D1" w:rsidRPr="007D68FE" w:rsidRDefault="009D07D1" w:rsidP="001939B3">
            <w:r w:rsidRPr="007D68FE">
              <w:t>Top-level category</w:t>
            </w:r>
          </w:p>
        </w:tc>
        <w:tc>
          <w:tcPr>
            <w:tcW w:w="2693" w:type="dxa"/>
            <w:tcBorders>
              <w:bottom w:val="none" w:sz="0" w:space="0" w:color="auto"/>
            </w:tcBorders>
            <w:shd w:val="clear" w:color="auto" w:fill="8DB3E2"/>
          </w:tcPr>
          <w:p w14:paraId="3FF55669" w14:textId="77777777" w:rsidR="009D07D1" w:rsidRPr="007D68FE" w:rsidRDefault="009D07D1" w:rsidP="001939B3">
            <w:pPr>
              <w:cnfStyle w:val="100000000000" w:firstRow="1" w:lastRow="0" w:firstColumn="0" w:lastColumn="0" w:oddVBand="0" w:evenVBand="0" w:oddHBand="0" w:evenHBand="0" w:firstRowFirstColumn="0" w:firstRowLastColumn="0" w:lastRowFirstColumn="0" w:lastRowLastColumn="0"/>
            </w:pPr>
            <w:r w:rsidRPr="007D68FE">
              <w:t>Category</w:t>
            </w:r>
          </w:p>
        </w:tc>
        <w:tc>
          <w:tcPr>
            <w:tcW w:w="3118" w:type="dxa"/>
            <w:tcBorders>
              <w:bottom w:val="none" w:sz="0" w:space="0" w:color="auto"/>
            </w:tcBorders>
            <w:shd w:val="clear" w:color="auto" w:fill="8DB3E2"/>
          </w:tcPr>
          <w:p w14:paraId="4200CC91" w14:textId="77777777" w:rsidR="00C31AC6" w:rsidRPr="007D68FE" w:rsidRDefault="009D07D1" w:rsidP="001939B3">
            <w:pPr>
              <w:cnfStyle w:val="100000000000" w:firstRow="1" w:lastRow="0" w:firstColumn="0" w:lastColumn="0" w:oddVBand="0" w:evenVBand="0" w:oddHBand="0" w:evenHBand="0" w:firstRowFirstColumn="0" w:firstRowLastColumn="0" w:lastRowFirstColumn="0" w:lastRowLastColumn="0"/>
            </w:pPr>
            <w:r w:rsidRPr="007D68FE">
              <w:t>Sub-group</w:t>
            </w:r>
          </w:p>
        </w:tc>
        <w:tc>
          <w:tcPr>
            <w:tcW w:w="2509" w:type="dxa"/>
            <w:tcBorders>
              <w:bottom w:val="none" w:sz="0" w:space="0" w:color="auto"/>
            </w:tcBorders>
            <w:shd w:val="clear" w:color="auto" w:fill="8DB3E2"/>
          </w:tcPr>
          <w:p w14:paraId="33B4A906" w14:textId="77777777" w:rsidR="009D07D1" w:rsidRPr="007D68FE" w:rsidRDefault="009D07D1" w:rsidP="001939B3">
            <w:pPr>
              <w:cnfStyle w:val="100000000000" w:firstRow="1" w:lastRow="0" w:firstColumn="0" w:lastColumn="0" w:oddVBand="0" w:evenVBand="0" w:oddHBand="0" w:evenHBand="0" w:firstRowFirstColumn="0" w:firstRowLastColumn="0" w:lastRowFirstColumn="0" w:lastRowLastColumn="0"/>
            </w:pPr>
            <w:r w:rsidRPr="007D68FE">
              <w:t>Number of indicators</w:t>
            </w:r>
          </w:p>
        </w:tc>
      </w:tr>
      <w:tr w:rsidR="009D07D1" w:rsidRPr="007D68FE" w14:paraId="585C75B0" w14:textId="77777777" w:rsidTr="00D542D9">
        <w:trPr>
          <w:trHeight w:val="439"/>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tcPr>
          <w:p w14:paraId="07FF3B74" w14:textId="77777777" w:rsidR="009D07D1" w:rsidRPr="007D68FE" w:rsidRDefault="009D07D1" w:rsidP="001939B3">
            <w:pPr>
              <w:rPr>
                <w:b w:val="0"/>
              </w:rPr>
            </w:pPr>
            <w:r w:rsidRPr="007D68FE">
              <w:rPr>
                <w:b w:val="0"/>
              </w:rPr>
              <w:t>Commitment = 10%</w:t>
            </w:r>
          </w:p>
        </w:tc>
        <w:tc>
          <w:tcPr>
            <w:tcW w:w="2693" w:type="dxa"/>
            <w:shd w:val="clear" w:color="auto" w:fill="auto"/>
          </w:tcPr>
          <w:p w14:paraId="659879E6"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Commitment = 10%</w:t>
            </w:r>
          </w:p>
        </w:tc>
        <w:tc>
          <w:tcPr>
            <w:tcW w:w="3118" w:type="dxa"/>
            <w:shd w:val="clear" w:color="auto" w:fill="auto"/>
          </w:tcPr>
          <w:p w14:paraId="25896591"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Commitment = 10% </w:t>
            </w:r>
          </w:p>
        </w:tc>
        <w:tc>
          <w:tcPr>
            <w:tcW w:w="2509" w:type="dxa"/>
            <w:shd w:val="clear" w:color="auto" w:fill="auto"/>
          </w:tcPr>
          <w:p w14:paraId="230A2C91"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3 indicators = 3.3% each</w:t>
            </w:r>
          </w:p>
        </w:tc>
      </w:tr>
      <w:tr w:rsidR="009D07D1" w:rsidRPr="007D68FE" w14:paraId="122B8899" w14:textId="77777777" w:rsidTr="00D542D9">
        <w:trPr>
          <w:trHeight w:val="423"/>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auto"/>
          </w:tcPr>
          <w:p w14:paraId="6E1BD7EC" w14:textId="77777777" w:rsidR="009D07D1" w:rsidRPr="007D68FE" w:rsidRDefault="009D07D1" w:rsidP="001939B3">
            <w:pPr>
              <w:rPr>
                <w:b w:val="0"/>
              </w:rPr>
            </w:pPr>
            <w:r w:rsidRPr="007D68FE">
              <w:rPr>
                <w:b w:val="0"/>
              </w:rPr>
              <w:t>Publication = 90%</w:t>
            </w:r>
          </w:p>
        </w:tc>
        <w:tc>
          <w:tcPr>
            <w:tcW w:w="2693" w:type="dxa"/>
            <w:vMerge w:val="restart"/>
            <w:shd w:val="clear" w:color="auto" w:fill="auto"/>
          </w:tcPr>
          <w:p w14:paraId="3D3763A8" w14:textId="77777777" w:rsidR="009D07D1" w:rsidRPr="007D68FE" w:rsidRDefault="009D07D1" w:rsidP="00643E95">
            <w:pPr>
              <w:cnfStyle w:val="000000000000" w:firstRow="0" w:lastRow="0" w:firstColumn="0" w:lastColumn="0" w:oddVBand="0" w:evenVBand="0" w:oddHBand="0" w:evenHBand="0" w:firstRowFirstColumn="0" w:firstRowLastColumn="0" w:lastRowFirstColumn="0" w:lastRowLastColumn="0"/>
            </w:pPr>
            <w:r w:rsidRPr="007D68FE">
              <w:t>Organisation level = 25%</w:t>
            </w:r>
          </w:p>
        </w:tc>
        <w:tc>
          <w:tcPr>
            <w:tcW w:w="3118" w:type="dxa"/>
            <w:shd w:val="clear" w:color="auto" w:fill="auto"/>
          </w:tcPr>
          <w:p w14:paraId="10F705AA"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Organisation </w:t>
            </w:r>
            <w:r w:rsidR="007D3871">
              <w:t>–</w:t>
            </w:r>
            <w:r w:rsidRPr="007D68FE">
              <w:t xml:space="preserve"> Planning = 12.5%</w:t>
            </w:r>
          </w:p>
        </w:tc>
        <w:tc>
          <w:tcPr>
            <w:tcW w:w="2509" w:type="dxa"/>
            <w:shd w:val="clear" w:color="auto" w:fill="auto"/>
          </w:tcPr>
          <w:p w14:paraId="6FA1183B"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5 indicators = 2.5% each</w:t>
            </w:r>
          </w:p>
        </w:tc>
      </w:tr>
      <w:tr w:rsidR="009D07D1" w:rsidRPr="007D68FE" w14:paraId="2209E939" w14:textId="77777777" w:rsidTr="00D542D9">
        <w:trPr>
          <w:trHeight w:val="41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14:paraId="2B23FE1F" w14:textId="77777777" w:rsidR="009D07D1" w:rsidRPr="007D68FE" w:rsidRDefault="009D07D1" w:rsidP="001939B3"/>
        </w:tc>
        <w:tc>
          <w:tcPr>
            <w:tcW w:w="2693" w:type="dxa"/>
            <w:vMerge/>
            <w:shd w:val="clear" w:color="auto" w:fill="auto"/>
          </w:tcPr>
          <w:p w14:paraId="1ED8A901"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14:paraId="78D8589C"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Organisation </w:t>
            </w:r>
            <w:r w:rsidR="007D3871">
              <w:t xml:space="preserve">– </w:t>
            </w:r>
            <w:r w:rsidRPr="007D68FE">
              <w:t>Financial = 12.5%</w:t>
            </w:r>
          </w:p>
        </w:tc>
        <w:tc>
          <w:tcPr>
            <w:tcW w:w="2509" w:type="dxa"/>
            <w:shd w:val="clear" w:color="auto" w:fill="auto"/>
          </w:tcPr>
          <w:p w14:paraId="1ECC634B"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3 indicators = 4.2% each</w:t>
            </w:r>
          </w:p>
        </w:tc>
      </w:tr>
      <w:tr w:rsidR="009D07D1" w:rsidRPr="007D68FE" w14:paraId="35B7DB2A" w14:textId="77777777" w:rsidTr="00D542D9">
        <w:trPr>
          <w:trHeight w:val="422"/>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14:paraId="7144F34A" w14:textId="77777777" w:rsidR="009D07D1" w:rsidRPr="007D68FE" w:rsidRDefault="009D07D1" w:rsidP="001939B3"/>
        </w:tc>
        <w:tc>
          <w:tcPr>
            <w:tcW w:w="2693" w:type="dxa"/>
            <w:vMerge w:val="restart"/>
            <w:shd w:val="clear" w:color="auto" w:fill="auto"/>
          </w:tcPr>
          <w:p w14:paraId="7D3657F0" w14:textId="77777777" w:rsidR="009D07D1" w:rsidRPr="007D68FE" w:rsidRDefault="003C7051" w:rsidP="001939B3">
            <w:pPr>
              <w:cnfStyle w:val="000000000000" w:firstRow="0" w:lastRow="0" w:firstColumn="0" w:lastColumn="0" w:oddVBand="0" w:evenVBand="0" w:oddHBand="0" w:evenHBand="0" w:firstRowFirstColumn="0" w:firstRowLastColumn="0" w:lastRowFirstColumn="0" w:lastRowLastColumn="0"/>
            </w:pPr>
            <w:r w:rsidRPr="007D68FE">
              <w:t>Activity</w:t>
            </w:r>
            <w:r w:rsidR="001939B3">
              <w:t xml:space="preserve"> </w:t>
            </w:r>
            <w:r w:rsidRPr="007D68FE">
              <w:t>level</w:t>
            </w:r>
            <w:r w:rsidR="009D07D1" w:rsidRPr="007D68FE">
              <w:t xml:space="preserve"> = 65%</w:t>
            </w:r>
          </w:p>
        </w:tc>
        <w:tc>
          <w:tcPr>
            <w:tcW w:w="3118" w:type="dxa"/>
            <w:shd w:val="clear" w:color="auto" w:fill="auto"/>
          </w:tcPr>
          <w:p w14:paraId="28D88E58"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Basic activity information = 13%</w:t>
            </w:r>
          </w:p>
        </w:tc>
        <w:tc>
          <w:tcPr>
            <w:tcW w:w="2509" w:type="dxa"/>
            <w:shd w:val="clear" w:color="auto" w:fill="auto"/>
          </w:tcPr>
          <w:p w14:paraId="16D99F10"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8 indicators = 1.6% each</w:t>
            </w:r>
          </w:p>
        </w:tc>
      </w:tr>
      <w:tr w:rsidR="009D07D1" w:rsidRPr="007D68FE" w14:paraId="64A751EA" w14:textId="77777777" w:rsidTr="00D542D9">
        <w:trPr>
          <w:trHeight w:val="41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14:paraId="695FB67E" w14:textId="77777777" w:rsidR="009D07D1" w:rsidRPr="007D68FE" w:rsidRDefault="009D07D1" w:rsidP="001939B3"/>
        </w:tc>
        <w:tc>
          <w:tcPr>
            <w:tcW w:w="2693" w:type="dxa"/>
            <w:vMerge/>
            <w:shd w:val="clear" w:color="auto" w:fill="auto"/>
          </w:tcPr>
          <w:p w14:paraId="17E8F09E"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14:paraId="5E63A601"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Classifications = 13%</w:t>
            </w:r>
          </w:p>
        </w:tc>
        <w:tc>
          <w:tcPr>
            <w:tcW w:w="2509" w:type="dxa"/>
            <w:shd w:val="clear" w:color="auto" w:fill="auto"/>
          </w:tcPr>
          <w:p w14:paraId="2FE44E94"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7 indicators = 1.9% each</w:t>
            </w:r>
          </w:p>
        </w:tc>
      </w:tr>
      <w:tr w:rsidR="009D07D1" w:rsidRPr="007D68FE" w14:paraId="5487248B" w14:textId="77777777" w:rsidTr="00D542D9">
        <w:trPr>
          <w:trHeight w:val="419"/>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14:paraId="01FE6929" w14:textId="77777777" w:rsidR="009D07D1" w:rsidRPr="007D68FE" w:rsidRDefault="009D07D1" w:rsidP="001939B3"/>
        </w:tc>
        <w:tc>
          <w:tcPr>
            <w:tcW w:w="2693" w:type="dxa"/>
            <w:vMerge/>
            <w:shd w:val="clear" w:color="auto" w:fill="auto"/>
          </w:tcPr>
          <w:p w14:paraId="1814F3A2"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14:paraId="76D347FF"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Related documents</w:t>
            </w:r>
            <w:r w:rsidR="00643E95">
              <w:t xml:space="preserve"> </w:t>
            </w:r>
            <w:r w:rsidRPr="007D68FE">
              <w:t>= 13%</w:t>
            </w:r>
          </w:p>
        </w:tc>
        <w:tc>
          <w:tcPr>
            <w:tcW w:w="2509" w:type="dxa"/>
            <w:shd w:val="clear" w:color="auto" w:fill="auto"/>
          </w:tcPr>
          <w:p w14:paraId="227DF0AF"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6 indicators = 2.2% each</w:t>
            </w:r>
          </w:p>
        </w:tc>
      </w:tr>
      <w:tr w:rsidR="009D07D1" w:rsidRPr="007D68FE" w14:paraId="2B8F88AF" w14:textId="77777777" w:rsidTr="00D542D9">
        <w:trPr>
          <w:trHeight w:val="41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14:paraId="5F91C076" w14:textId="77777777" w:rsidR="009D07D1" w:rsidRPr="007D68FE" w:rsidRDefault="009D07D1" w:rsidP="001939B3"/>
        </w:tc>
        <w:tc>
          <w:tcPr>
            <w:tcW w:w="2693" w:type="dxa"/>
            <w:vMerge/>
            <w:shd w:val="clear" w:color="auto" w:fill="auto"/>
          </w:tcPr>
          <w:p w14:paraId="75915225"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14:paraId="63094921"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Financial = 13%</w:t>
            </w:r>
          </w:p>
        </w:tc>
        <w:tc>
          <w:tcPr>
            <w:tcW w:w="2509" w:type="dxa"/>
            <w:shd w:val="clear" w:color="auto" w:fill="auto"/>
          </w:tcPr>
          <w:p w14:paraId="76476235"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4 indicators = 3.3% each </w:t>
            </w:r>
          </w:p>
        </w:tc>
      </w:tr>
      <w:tr w:rsidR="009D07D1" w:rsidRPr="007D68FE" w14:paraId="30A9FF86" w14:textId="77777777" w:rsidTr="00D542D9">
        <w:trPr>
          <w:trHeight w:val="40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14:paraId="3C7B7E1C" w14:textId="77777777" w:rsidR="009D07D1" w:rsidRPr="007D68FE" w:rsidRDefault="009D07D1" w:rsidP="001939B3"/>
        </w:tc>
        <w:tc>
          <w:tcPr>
            <w:tcW w:w="2693" w:type="dxa"/>
            <w:vMerge/>
            <w:shd w:val="clear" w:color="auto" w:fill="auto"/>
          </w:tcPr>
          <w:p w14:paraId="68A1DE86"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14:paraId="24E2992B"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Performance = 13%</w:t>
            </w:r>
          </w:p>
        </w:tc>
        <w:tc>
          <w:tcPr>
            <w:tcW w:w="2509" w:type="dxa"/>
            <w:shd w:val="clear" w:color="auto" w:fill="auto"/>
          </w:tcPr>
          <w:p w14:paraId="241ABBF9"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3 indicators = 4.3% each</w:t>
            </w:r>
          </w:p>
        </w:tc>
      </w:tr>
      <w:tr w:rsidR="009D07D1" w:rsidRPr="007D68FE" w14:paraId="09A7488D" w14:textId="77777777" w:rsidTr="00D542D9">
        <w:tc>
          <w:tcPr>
            <w:cnfStyle w:val="001000000000" w:firstRow="0" w:lastRow="0" w:firstColumn="1" w:lastColumn="0" w:oddVBand="0" w:evenVBand="0" w:oddHBand="0" w:evenHBand="0" w:firstRowFirstColumn="0" w:firstRowLastColumn="0" w:lastRowFirstColumn="0" w:lastRowLastColumn="0"/>
            <w:tcW w:w="2127" w:type="dxa"/>
            <w:shd w:val="clear" w:color="auto" w:fill="auto"/>
          </w:tcPr>
          <w:p w14:paraId="04BC76C6" w14:textId="77777777" w:rsidR="009D07D1" w:rsidRPr="007D68FE" w:rsidRDefault="009D07D1" w:rsidP="001939B3">
            <w:r w:rsidRPr="007D68FE">
              <w:t>Total</w:t>
            </w:r>
          </w:p>
        </w:tc>
        <w:tc>
          <w:tcPr>
            <w:tcW w:w="2693" w:type="dxa"/>
            <w:shd w:val="clear" w:color="auto" w:fill="auto"/>
          </w:tcPr>
          <w:p w14:paraId="4D253B28"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rPr>
                <w:b/>
              </w:rPr>
            </w:pPr>
          </w:p>
        </w:tc>
        <w:tc>
          <w:tcPr>
            <w:tcW w:w="3118" w:type="dxa"/>
            <w:shd w:val="clear" w:color="auto" w:fill="auto"/>
          </w:tcPr>
          <w:p w14:paraId="285B5456"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rPr>
                <w:b/>
              </w:rPr>
            </w:pPr>
          </w:p>
        </w:tc>
        <w:tc>
          <w:tcPr>
            <w:tcW w:w="2509" w:type="dxa"/>
            <w:shd w:val="clear" w:color="auto" w:fill="auto"/>
          </w:tcPr>
          <w:p w14:paraId="52BF22CF" w14:textId="77777777"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rPr>
                <w:b/>
              </w:rPr>
            </w:pPr>
            <w:r w:rsidRPr="007D68FE">
              <w:rPr>
                <w:b/>
              </w:rPr>
              <w:t>39 indicators = 100%</w:t>
            </w:r>
          </w:p>
        </w:tc>
      </w:tr>
    </w:tbl>
    <w:p w14:paraId="71970B88" w14:textId="77777777" w:rsidR="00637F3A" w:rsidRPr="00423FCC" w:rsidRDefault="00637F3A" w:rsidP="00935A49">
      <w:pPr>
        <w:spacing w:after="0" w:line="240" w:lineRule="auto"/>
      </w:pPr>
    </w:p>
    <w:p w14:paraId="4AA25718" w14:textId="77777777" w:rsidR="00FE2E28" w:rsidRDefault="001939B3" w:rsidP="00935A49">
      <w:pPr>
        <w:spacing w:after="0" w:line="240" w:lineRule="auto"/>
      </w:pPr>
      <w:r>
        <w:t>As in previous years</w:t>
      </w:r>
      <w:r w:rsidR="005A51CF" w:rsidRPr="00423FCC">
        <w:t>, c</w:t>
      </w:r>
      <w:r w:rsidR="0055426C" w:rsidRPr="00423FCC">
        <w:t xml:space="preserve">ommitment to </w:t>
      </w:r>
      <w:r>
        <w:t xml:space="preserve">aid </w:t>
      </w:r>
      <w:r w:rsidR="0055426C" w:rsidRPr="00423FCC">
        <w:t xml:space="preserve">transparency remains important, but the aid transparency agenda </w:t>
      </w:r>
      <w:r>
        <w:t>is</w:t>
      </w:r>
      <w:r w:rsidR="0055426C" w:rsidRPr="00423FCC">
        <w:t xml:space="preserve"> sufficiently well-established for organisations to be primarily </w:t>
      </w:r>
      <w:r>
        <w:t>assessed</w:t>
      </w:r>
      <w:r w:rsidR="0055426C" w:rsidRPr="00423FCC">
        <w:t xml:space="preserve"> on </w:t>
      </w:r>
      <w:r>
        <w:t>their</w:t>
      </w:r>
      <w:r w:rsidR="0055426C" w:rsidRPr="00423FCC">
        <w:t xml:space="preserve"> actual publication. </w:t>
      </w:r>
      <w:r w:rsidR="005D1BE7">
        <w:t>Although o</w:t>
      </w:r>
      <w:r w:rsidR="006F2947" w:rsidRPr="00423FCC">
        <w:t>rganisation-</w:t>
      </w:r>
      <w:r w:rsidR="0055426C" w:rsidRPr="00423FCC">
        <w:t xml:space="preserve">level publications such as annual reports </w:t>
      </w:r>
      <w:r w:rsidR="006F2947" w:rsidRPr="00423FCC">
        <w:t>are important, activity-</w:t>
      </w:r>
      <w:r w:rsidR="0055426C" w:rsidRPr="00423FCC">
        <w:t>level information is critical in order for information to be useful to recipient country governments</w:t>
      </w:r>
      <w:r w:rsidR="006F2947" w:rsidRPr="00423FCC">
        <w:t>, civil society</w:t>
      </w:r>
      <w:r w:rsidR="0055426C" w:rsidRPr="00423FCC">
        <w:t xml:space="preserve"> and </w:t>
      </w:r>
      <w:r w:rsidR="006F2947" w:rsidRPr="00423FCC">
        <w:t>other</w:t>
      </w:r>
      <w:r w:rsidR="00EB6175" w:rsidRPr="00423FCC">
        <w:t xml:space="preserve"> stakeholders. This is reflected in </w:t>
      </w:r>
      <w:r w:rsidR="005D1BE7">
        <w:t xml:space="preserve">the </w:t>
      </w:r>
      <w:r w:rsidR="005A51CF" w:rsidRPr="00423FCC">
        <w:t>decision to assign he</w:t>
      </w:r>
      <w:r w:rsidR="005D1BE7">
        <w:t xml:space="preserve">avier weighting to the activity </w:t>
      </w:r>
      <w:r w:rsidR="005A51CF" w:rsidRPr="00423FCC">
        <w:t>level</w:t>
      </w:r>
      <w:r w:rsidR="00EB6175" w:rsidRPr="00423FCC">
        <w:t>.</w:t>
      </w:r>
      <w:r w:rsidR="00643E95">
        <w:t xml:space="preserve"> </w:t>
      </w:r>
      <w:r w:rsidR="0055426C" w:rsidRPr="00423FCC">
        <w:t>Within these levels, the various sub</w:t>
      </w:r>
      <w:r w:rsidR="00A660F4">
        <w:t>-</w:t>
      </w:r>
      <w:r w:rsidR="0055426C" w:rsidRPr="00423FCC">
        <w:t>groups of information type are weighted equally.</w:t>
      </w:r>
      <w:r w:rsidR="00744441" w:rsidRPr="00423FCC">
        <w:rPr>
          <w:rStyle w:val="FootnoteReference"/>
        </w:rPr>
        <w:t xml:space="preserve"> </w:t>
      </w:r>
      <w:r w:rsidR="005A51CF" w:rsidRPr="00423FCC">
        <w:t>Organisation-</w:t>
      </w:r>
      <w:r w:rsidR="0055426C" w:rsidRPr="00423FCC">
        <w:t>level information is split into two equal sub</w:t>
      </w:r>
      <w:r w:rsidR="00A660F4">
        <w:t>-</w:t>
      </w:r>
      <w:r w:rsidR="0055426C" w:rsidRPr="00423FCC">
        <w:t>groups of planning information (12.5%) and financial information (12.5%). A</w:t>
      </w:r>
      <w:r w:rsidR="005A51CF" w:rsidRPr="00423FCC">
        <w:t>ctivity-</w:t>
      </w:r>
      <w:r w:rsidR="0055426C" w:rsidRPr="00423FCC">
        <w:t>level information is split into five equal sub</w:t>
      </w:r>
      <w:r w:rsidR="00A660F4">
        <w:t>-</w:t>
      </w:r>
      <w:r w:rsidR="0055426C" w:rsidRPr="00423FCC">
        <w:t>groups as</w:t>
      </w:r>
      <w:r w:rsidR="005A51CF" w:rsidRPr="00423FCC">
        <w:t xml:space="preserve"> described</w:t>
      </w:r>
      <w:r w:rsidR="0055426C" w:rsidRPr="00423FCC">
        <w:t xml:space="preserve"> above. </w:t>
      </w:r>
      <w:r w:rsidR="00F935B3" w:rsidRPr="001B3A49">
        <w:t>As the number of indicators in each sub-group varies, individual indicators within each category carry different weights.</w:t>
      </w:r>
      <w:r w:rsidR="00345D43">
        <w:t xml:space="preserve"> </w:t>
      </w:r>
      <w:r w:rsidR="00FE2E28" w:rsidRPr="00423FCC">
        <w:t xml:space="preserve">Individual indicator weights are set out in Table </w:t>
      </w:r>
      <w:r w:rsidR="00A660F4">
        <w:t>4</w:t>
      </w:r>
      <w:r w:rsidR="007D3871">
        <w:t xml:space="preserve"> below.</w:t>
      </w:r>
    </w:p>
    <w:p w14:paraId="50F402C4" w14:textId="77777777" w:rsidR="00913ED9" w:rsidRPr="00423FCC" w:rsidRDefault="00913ED9" w:rsidP="00935A49">
      <w:pPr>
        <w:spacing w:after="0" w:line="240" w:lineRule="auto"/>
      </w:pPr>
    </w:p>
    <w:p w14:paraId="3C1B0B3F" w14:textId="77832E8C" w:rsidR="00FE2E28" w:rsidRDefault="00A660F4" w:rsidP="00935A49">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Table 4</w:t>
      </w:r>
      <w:r w:rsidR="00FE2E28" w:rsidRPr="00913ED9">
        <w:rPr>
          <w:rFonts w:ascii="Cambria" w:eastAsia="Calibri" w:hAnsi="Cambria" w:cs="Times New Roman"/>
          <w:b/>
          <w:bCs/>
          <w:color w:val="4F81BD"/>
          <w:sz w:val="24"/>
        </w:rPr>
        <w:t xml:space="preserve">: Indicator weighting in </w:t>
      </w:r>
      <w:r w:rsidR="004D26DF">
        <w:rPr>
          <w:rFonts w:ascii="Cambria" w:eastAsia="Calibri" w:hAnsi="Cambria" w:cs="Times New Roman"/>
          <w:b/>
          <w:bCs/>
          <w:color w:val="4F81BD"/>
          <w:sz w:val="24"/>
        </w:rPr>
        <w:t>2016</w:t>
      </w:r>
    </w:p>
    <w:p w14:paraId="748B34E5" w14:textId="77777777" w:rsidR="00913ED9" w:rsidRDefault="00913ED9" w:rsidP="00935A49">
      <w:pPr>
        <w:spacing w:after="0" w:line="240" w:lineRule="auto"/>
        <w:rPr>
          <w:rFonts w:ascii="Cambria" w:eastAsia="Calibri" w:hAnsi="Cambria" w:cs="Times New Roman"/>
          <w:b/>
          <w:bCs/>
          <w:color w:val="4F81BD"/>
          <w:sz w:val="24"/>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3402"/>
        <w:gridCol w:w="6520"/>
        <w:gridCol w:w="1276"/>
      </w:tblGrid>
      <w:tr w:rsidR="005D1BE7" w:rsidRPr="00423FCC" w14:paraId="166DB079" w14:textId="77777777" w:rsidTr="00460AF2">
        <w:trPr>
          <w:trHeight w:val="225"/>
        </w:trPr>
        <w:tc>
          <w:tcPr>
            <w:tcW w:w="1701" w:type="dxa"/>
            <w:tcBorders>
              <w:bottom w:val="single" w:sz="4" w:space="0" w:color="auto"/>
            </w:tcBorders>
            <w:shd w:val="clear" w:color="auto" w:fill="auto"/>
            <w:hideMark/>
          </w:tcPr>
          <w:p w14:paraId="1B791A33" w14:textId="77777777" w:rsidR="005D1BE7" w:rsidRPr="00423FCC" w:rsidRDefault="005D1BE7" w:rsidP="00BB68EC">
            <w:pPr>
              <w:spacing w:after="0" w:line="240" w:lineRule="auto"/>
              <w:contextualSpacing/>
              <w:jc w:val="center"/>
              <w:rPr>
                <w:rFonts w:eastAsia="Calibri" w:cs="Times New Roman"/>
                <w:b/>
                <w:bCs/>
                <w:sz w:val="20"/>
                <w:szCs w:val="20"/>
              </w:rPr>
            </w:pPr>
            <w:r w:rsidRPr="00423FCC">
              <w:rPr>
                <w:rFonts w:eastAsia="Calibri" w:cs="Times New Roman"/>
                <w:b/>
                <w:bCs/>
                <w:sz w:val="20"/>
                <w:szCs w:val="20"/>
              </w:rPr>
              <w:t>Category</w:t>
            </w:r>
          </w:p>
        </w:tc>
        <w:tc>
          <w:tcPr>
            <w:tcW w:w="1418" w:type="dxa"/>
            <w:tcBorders>
              <w:bottom w:val="single" w:sz="4" w:space="0" w:color="auto"/>
            </w:tcBorders>
            <w:shd w:val="clear" w:color="auto" w:fill="auto"/>
          </w:tcPr>
          <w:p w14:paraId="0FEEC450" w14:textId="77777777" w:rsidR="005D1BE7" w:rsidRPr="00423FCC" w:rsidRDefault="005D1BE7" w:rsidP="00BB68EC">
            <w:pPr>
              <w:spacing w:after="0" w:line="240" w:lineRule="auto"/>
              <w:contextualSpacing/>
              <w:jc w:val="center"/>
              <w:rPr>
                <w:rFonts w:eastAsia="Calibri" w:cs="Times New Roman"/>
                <w:b/>
                <w:bCs/>
                <w:sz w:val="20"/>
                <w:szCs w:val="20"/>
              </w:rPr>
            </w:pPr>
            <w:r w:rsidRPr="00423FCC">
              <w:rPr>
                <w:rFonts w:eastAsia="Calibri" w:cs="Times New Roman"/>
                <w:b/>
                <w:bCs/>
                <w:sz w:val="20"/>
                <w:szCs w:val="20"/>
              </w:rPr>
              <w:t>Sub</w:t>
            </w:r>
            <w:r>
              <w:rPr>
                <w:rFonts w:eastAsia="Calibri" w:cs="Times New Roman"/>
                <w:b/>
                <w:bCs/>
                <w:sz w:val="20"/>
                <w:szCs w:val="20"/>
              </w:rPr>
              <w:t>-</w:t>
            </w:r>
            <w:r w:rsidRPr="00423FCC">
              <w:rPr>
                <w:rFonts w:eastAsia="Calibri" w:cs="Times New Roman"/>
                <w:b/>
                <w:bCs/>
                <w:sz w:val="20"/>
                <w:szCs w:val="20"/>
              </w:rPr>
              <w:t>group</w:t>
            </w:r>
          </w:p>
        </w:tc>
        <w:tc>
          <w:tcPr>
            <w:tcW w:w="3402" w:type="dxa"/>
            <w:tcBorders>
              <w:bottom w:val="single" w:sz="4" w:space="0" w:color="auto"/>
            </w:tcBorders>
            <w:shd w:val="clear" w:color="auto" w:fill="auto"/>
            <w:noWrap/>
            <w:hideMark/>
          </w:tcPr>
          <w:p w14:paraId="55EDE3DD" w14:textId="77777777" w:rsidR="005D1BE7" w:rsidRPr="00423FCC" w:rsidRDefault="005D1BE7" w:rsidP="00BB68EC">
            <w:pPr>
              <w:spacing w:after="0" w:line="240" w:lineRule="auto"/>
              <w:contextualSpacing/>
              <w:jc w:val="center"/>
              <w:rPr>
                <w:rFonts w:eastAsia="Calibri" w:cs="Times New Roman"/>
                <w:b/>
                <w:bCs/>
                <w:sz w:val="20"/>
                <w:szCs w:val="20"/>
              </w:rPr>
            </w:pPr>
            <w:r w:rsidRPr="00423FCC">
              <w:rPr>
                <w:rFonts w:eastAsia="Calibri" w:cs="Times New Roman"/>
                <w:b/>
                <w:bCs/>
                <w:sz w:val="20"/>
                <w:szCs w:val="20"/>
              </w:rPr>
              <w:t>Indicator</w:t>
            </w:r>
          </w:p>
        </w:tc>
        <w:tc>
          <w:tcPr>
            <w:tcW w:w="6520" w:type="dxa"/>
            <w:tcBorders>
              <w:bottom w:val="single" w:sz="4" w:space="0" w:color="auto"/>
            </w:tcBorders>
          </w:tcPr>
          <w:p w14:paraId="224B74F9" w14:textId="77777777" w:rsidR="005D1BE7" w:rsidRPr="00423FCC" w:rsidRDefault="005D1BE7" w:rsidP="00BB68EC">
            <w:pPr>
              <w:spacing w:after="0" w:line="240" w:lineRule="auto"/>
              <w:contextualSpacing/>
              <w:jc w:val="center"/>
              <w:rPr>
                <w:b/>
                <w:bCs/>
                <w:sz w:val="20"/>
                <w:szCs w:val="20"/>
              </w:rPr>
            </w:pPr>
            <w:r w:rsidRPr="00423FCC">
              <w:rPr>
                <w:b/>
                <w:bCs/>
                <w:sz w:val="20"/>
                <w:szCs w:val="20"/>
              </w:rPr>
              <w:t>Scoring Approach</w:t>
            </w:r>
          </w:p>
        </w:tc>
        <w:tc>
          <w:tcPr>
            <w:tcW w:w="1276" w:type="dxa"/>
            <w:tcBorders>
              <w:bottom w:val="single" w:sz="4" w:space="0" w:color="auto"/>
            </w:tcBorders>
          </w:tcPr>
          <w:p w14:paraId="43D32636" w14:textId="77777777" w:rsidR="005D1BE7" w:rsidRPr="00423FCC" w:rsidRDefault="005D1BE7" w:rsidP="00BB68EC">
            <w:pPr>
              <w:spacing w:after="0" w:line="240" w:lineRule="auto"/>
              <w:contextualSpacing/>
              <w:jc w:val="center"/>
              <w:rPr>
                <w:b/>
                <w:bCs/>
                <w:sz w:val="20"/>
                <w:szCs w:val="20"/>
              </w:rPr>
            </w:pPr>
            <w:r>
              <w:rPr>
                <w:b/>
                <w:bCs/>
                <w:sz w:val="20"/>
                <w:szCs w:val="20"/>
              </w:rPr>
              <w:t>Weight</w:t>
            </w:r>
          </w:p>
        </w:tc>
      </w:tr>
      <w:tr w:rsidR="00460AF2" w:rsidRPr="00423FCC" w14:paraId="6246E462" w14:textId="77777777" w:rsidTr="00460AF2">
        <w:trPr>
          <w:trHeight w:val="225"/>
        </w:trPr>
        <w:tc>
          <w:tcPr>
            <w:tcW w:w="1701" w:type="dxa"/>
            <w:vMerge w:val="restart"/>
            <w:shd w:val="clear" w:color="auto" w:fill="8DB3E2"/>
            <w:noWrap/>
          </w:tcPr>
          <w:p w14:paraId="0917D70B"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Commitment to aid transparency</w:t>
            </w:r>
          </w:p>
        </w:tc>
        <w:tc>
          <w:tcPr>
            <w:tcW w:w="1418" w:type="dxa"/>
            <w:vMerge w:val="restart"/>
            <w:shd w:val="clear" w:color="auto" w:fill="8DB3E2"/>
          </w:tcPr>
          <w:p w14:paraId="72A1869A"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Commitment</w:t>
            </w:r>
          </w:p>
          <w:p w14:paraId="39B5B855"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8DB3E2"/>
            <w:noWrap/>
            <w:hideMark/>
          </w:tcPr>
          <w:p w14:paraId="0B6D6E6C"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Quality of FOI legislation</w:t>
            </w:r>
          </w:p>
        </w:tc>
        <w:tc>
          <w:tcPr>
            <w:tcW w:w="6520" w:type="dxa"/>
            <w:shd w:val="clear" w:color="auto" w:fill="8DB3E2"/>
          </w:tcPr>
          <w:p w14:paraId="0031DB0A" w14:textId="77777777" w:rsidR="005D1BE7" w:rsidRPr="00423FCC" w:rsidRDefault="005D1BE7" w:rsidP="00BB68EC">
            <w:pPr>
              <w:spacing w:after="0" w:line="240" w:lineRule="auto"/>
              <w:rPr>
                <w:sz w:val="20"/>
                <w:szCs w:val="20"/>
              </w:rPr>
            </w:pPr>
            <w:r w:rsidRPr="00423FCC">
              <w:rPr>
                <w:sz w:val="20"/>
                <w:szCs w:val="20"/>
              </w:rPr>
              <w:t xml:space="preserve">Graduated based on the score given in </w:t>
            </w:r>
            <w:r>
              <w:rPr>
                <w:sz w:val="20"/>
                <w:szCs w:val="20"/>
              </w:rPr>
              <w:t>Right To Information (</w:t>
            </w:r>
            <w:r w:rsidRPr="00423FCC">
              <w:rPr>
                <w:sz w:val="20"/>
                <w:szCs w:val="20"/>
              </w:rPr>
              <w:t>RTI</w:t>
            </w:r>
            <w:r>
              <w:rPr>
                <w:sz w:val="20"/>
                <w:szCs w:val="20"/>
              </w:rPr>
              <w:t>)</w:t>
            </w:r>
            <w:r w:rsidRPr="00423FCC">
              <w:rPr>
                <w:sz w:val="20"/>
                <w:szCs w:val="20"/>
              </w:rPr>
              <w:t xml:space="preserve"> Rating.</w:t>
            </w:r>
            <w:r>
              <w:rPr>
                <w:rStyle w:val="FootnoteReference"/>
                <w:sz w:val="20"/>
                <w:szCs w:val="20"/>
              </w:rPr>
              <w:footnoteReference w:id="8"/>
            </w:r>
          </w:p>
        </w:tc>
        <w:tc>
          <w:tcPr>
            <w:tcW w:w="1276" w:type="dxa"/>
            <w:shd w:val="clear" w:color="auto" w:fill="8DB3E2"/>
          </w:tcPr>
          <w:p w14:paraId="13ACABC8" w14:textId="77777777" w:rsidR="005D1BE7" w:rsidRPr="00423FCC" w:rsidRDefault="005D1BE7" w:rsidP="00BB68EC">
            <w:pPr>
              <w:spacing w:after="0" w:line="240" w:lineRule="auto"/>
              <w:rPr>
                <w:sz w:val="20"/>
                <w:szCs w:val="20"/>
              </w:rPr>
            </w:pPr>
            <w:r>
              <w:rPr>
                <w:sz w:val="20"/>
                <w:szCs w:val="20"/>
              </w:rPr>
              <w:t>3.33%</w:t>
            </w:r>
          </w:p>
        </w:tc>
      </w:tr>
      <w:tr w:rsidR="00460AF2" w:rsidRPr="00423FCC" w14:paraId="2D0445C6" w14:textId="77777777" w:rsidTr="00460AF2">
        <w:trPr>
          <w:trHeight w:val="225"/>
        </w:trPr>
        <w:tc>
          <w:tcPr>
            <w:tcW w:w="1701" w:type="dxa"/>
            <w:vMerge/>
            <w:shd w:val="clear" w:color="auto" w:fill="8DB3E2"/>
            <w:noWrap/>
            <w:hideMark/>
          </w:tcPr>
          <w:p w14:paraId="54B46BCF"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8DB3E2"/>
          </w:tcPr>
          <w:p w14:paraId="2898B8F2"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8DB3E2"/>
            <w:noWrap/>
            <w:hideMark/>
          </w:tcPr>
          <w:p w14:paraId="05FBE01A"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Implementation schedules</w:t>
            </w:r>
          </w:p>
        </w:tc>
        <w:tc>
          <w:tcPr>
            <w:tcW w:w="6520" w:type="dxa"/>
            <w:shd w:val="clear" w:color="auto" w:fill="8DB3E2"/>
          </w:tcPr>
          <w:p w14:paraId="2AD10429" w14:textId="77777777" w:rsidR="005D1BE7" w:rsidRPr="00423FCC" w:rsidRDefault="005D1BE7" w:rsidP="00BB68EC">
            <w:pPr>
              <w:spacing w:after="0" w:line="240" w:lineRule="auto"/>
              <w:rPr>
                <w:sz w:val="20"/>
                <w:szCs w:val="20"/>
              </w:rPr>
            </w:pPr>
            <w:r w:rsidRPr="00423FCC">
              <w:rPr>
                <w:sz w:val="20"/>
                <w:szCs w:val="20"/>
              </w:rPr>
              <w:t>Graduated based on the total score received out of 100 based on analysis of Busan common standard/IATI implementation schedules.</w:t>
            </w:r>
          </w:p>
        </w:tc>
        <w:tc>
          <w:tcPr>
            <w:tcW w:w="1276" w:type="dxa"/>
            <w:shd w:val="clear" w:color="auto" w:fill="8DB3E2"/>
          </w:tcPr>
          <w:p w14:paraId="2F997402" w14:textId="77777777" w:rsidR="005D1BE7" w:rsidRPr="00423FCC" w:rsidRDefault="005D1BE7" w:rsidP="00BB68EC">
            <w:pPr>
              <w:spacing w:after="0" w:line="240" w:lineRule="auto"/>
              <w:rPr>
                <w:sz w:val="20"/>
                <w:szCs w:val="20"/>
              </w:rPr>
            </w:pPr>
            <w:r>
              <w:rPr>
                <w:sz w:val="20"/>
                <w:szCs w:val="20"/>
              </w:rPr>
              <w:t>3.33%</w:t>
            </w:r>
          </w:p>
        </w:tc>
      </w:tr>
      <w:tr w:rsidR="00460AF2" w:rsidRPr="00423FCC" w14:paraId="11FBF665" w14:textId="77777777" w:rsidTr="00460AF2">
        <w:trPr>
          <w:trHeight w:val="225"/>
        </w:trPr>
        <w:tc>
          <w:tcPr>
            <w:tcW w:w="1701" w:type="dxa"/>
            <w:vMerge/>
            <w:tcBorders>
              <w:bottom w:val="single" w:sz="4" w:space="0" w:color="auto"/>
            </w:tcBorders>
            <w:shd w:val="clear" w:color="auto" w:fill="8DB3E2"/>
            <w:noWrap/>
            <w:hideMark/>
          </w:tcPr>
          <w:p w14:paraId="17F576A1"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8DB3E2"/>
          </w:tcPr>
          <w:p w14:paraId="3ED4ACB8" w14:textId="77777777" w:rsidR="005D1BE7" w:rsidRPr="00423FCC" w:rsidRDefault="005D1BE7" w:rsidP="00BB68EC">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8DB3E2"/>
            <w:noWrap/>
            <w:hideMark/>
          </w:tcPr>
          <w:p w14:paraId="7FF2EB74"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 xml:space="preserve">Accessibility </w:t>
            </w:r>
          </w:p>
        </w:tc>
        <w:tc>
          <w:tcPr>
            <w:tcW w:w="6520" w:type="dxa"/>
            <w:tcBorders>
              <w:bottom w:val="single" w:sz="4" w:space="0" w:color="auto"/>
            </w:tcBorders>
            <w:shd w:val="clear" w:color="auto" w:fill="8DB3E2"/>
          </w:tcPr>
          <w:p w14:paraId="253FAE77" w14:textId="77777777" w:rsidR="005D1BE7" w:rsidRPr="00423FCC" w:rsidRDefault="005D1BE7" w:rsidP="00BB68EC">
            <w:pPr>
              <w:tabs>
                <w:tab w:val="left" w:pos="3577"/>
              </w:tabs>
              <w:spacing w:after="0" w:line="240" w:lineRule="auto"/>
              <w:ind w:right="34"/>
              <w:rPr>
                <w:sz w:val="20"/>
                <w:szCs w:val="20"/>
              </w:rPr>
            </w:pPr>
            <w:r w:rsidRPr="00423FCC">
              <w:rPr>
                <w:sz w:val="20"/>
                <w:szCs w:val="20"/>
              </w:rPr>
              <w:t xml:space="preserve">Graduated </w:t>
            </w:r>
            <w:r>
              <w:rPr>
                <w:sz w:val="20"/>
                <w:szCs w:val="20"/>
              </w:rPr>
              <w:t>b</w:t>
            </w:r>
            <w:r w:rsidRPr="00423FCC">
              <w:rPr>
                <w:sz w:val="20"/>
                <w:szCs w:val="20"/>
              </w:rPr>
              <w:t xml:space="preserve">ased on three criteria: allows free bulk export of data; provides disaggregated, detailed data on activities; and data is released under an open licence. </w:t>
            </w:r>
          </w:p>
        </w:tc>
        <w:tc>
          <w:tcPr>
            <w:tcW w:w="1276" w:type="dxa"/>
            <w:tcBorders>
              <w:bottom w:val="single" w:sz="4" w:space="0" w:color="auto"/>
            </w:tcBorders>
            <w:shd w:val="clear" w:color="auto" w:fill="8DB3E2"/>
          </w:tcPr>
          <w:p w14:paraId="1714BF4F" w14:textId="77777777" w:rsidR="005D1BE7" w:rsidRPr="00423FCC" w:rsidRDefault="005D1BE7" w:rsidP="00BB68EC">
            <w:pPr>
              <w:tabs>
                <w:tab w:val="left" w:pos="3577"/>
              </w:tabs>
              <w:spacing w:after="0" w:line="240" w:lineRule="auto"/>
              <w:ind w:right="34"/>
              <w:rPr>
                <w:sz w:val="20"/>
                <w:szCs w:val="20"/>
              </w:rPr>
            </w:pPr>
            <w:r>
              <w:rPr>
                <w:sz w:val="20"/>
                <w:szCs w:val="20"/>
              </w:rPr>
              <w:t>3.33%</w:t>
            </w:r>
          </w:p>
        </w:tc>
      </w:tr>
      <w:tr w:rsidR="00460AF2" w:rsidRPr="00423FCC" w14:paraId="6DD39AA3" w14:textId="77777777" w:rsidTr="00460AF2">
        <w:trPr>
          <w:trHeight w:val="225"/>
        </w:trPr>
        <w:tc>
          <w:tcPr>
            <w:tcW w:w="1701" w:type="dxa"/>
            <w:vMerge w:val="restart"/>
            <w:shd w:val="clear" w:color="auto" w:fill="C6D9F1"/>
            <w:noWrap/>
          </w:tcPr>
          <w:p w14:paraId="0A28391E" w14:textId="77777777" w:rsidR="005D1BE7" w:rsidRPr="00423FCC" w:rsidRDefault="005D1BE7" w:rsidP="00BB68EC">
            <w:pPr>
              <w:spacing w:after="0" w:line="240" w:lineRule="auto"/>
              <w:contextualSpacing/>
              <w:rPr>
                <w:rFonts w:eastAsia="Calibri" w:cs="Times New Roman"/>
                <w:sz w:val="20"/>
                <w:szCs w:val="20"/>
              </w:rPr>
            </w:pPr>
            <w:r w:rsidRPr="00423FCC">
              <w:rPr>
                <w:sz w:val="20"/>
                <w:szCs w:val="20"/>
              </w:rPr>
              <w:t>Publication –</w:t>
            </w:r>
            <w:r w:rsidRPr="00423FCC">
              <w:rPr>
                <w:rFonts w:eastAsia="Calibri" w:cs="Times New Roman"/>
                <w:sz w:val="20"/>
                <w:szCs w:val="20"/>
              </w:rPr>
              <w:t xml:space="preserve"> Organisation level</w:t>
            </w:r>
          </w:p>
        </w:tc>
        <w:tc>
          <w:tcPr>
            <w:tcW w:w="1418" w:type="dxa"/>
            <w:vMerge w:val="restart"/>
            <w:shd w:val="clear" w:color="auto" w:fill="C6D9F1"/>
          </w:tcPr>
          <w:p w14:paraId="4423DEC2"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Planning</w:t>
            </w:r>
          </w:p>
          <w:p w14:paraId="2F258E6C"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4ED585D2"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Strategy</w:t>
            </w:r>
          </w:p>
        </w:tc>
        <w:tc>
          <w:tcPr>
            <w:tcW w:w="6520" w:type="dxa"/>
            <w:shd w:val="clear" w:color="auto" w:fill="C6D9F1"/>
          </w:tcPr>
          <w:p w14:paraId="707BB928"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14:paraId="557B14A3" w14:textId="77777777" w:rsidR="005D1BE7" w:rsidRPr="00423FCC" w:rsidRDefault="005D1BE7" w:rsidP="00BB68EC">
            <w:pPr>
              <w:spacing w:after="0" w:line="240" w:lineRule="auto"/>
              <w:rPr>
                <w:sz w:val="20"/>
                <w:szCs w:val="20"/>
              </w:rPr>
            </w:pPr>
            <w:r>
              <w:rPr>
                <w:sz w:val="20"/>
                <w:szCs w:val="20"/>
              </w:rPr>
              <w:t>2.50%</w:t>
            </w:r>
          </w:p>
        </w:tc>
      </w:tr>
      <w:tr w:rsidR="00460AF2" w:rsidRPr="00423FCC" w14:paraId="3ADACB7A" w14:textId="77777777" w:rsidTr="00460AF2">
        <w:trPr>
          <w:trHeight w:val="225"/>
        </w:trPr>
        <w:tc>
          <w:tcPr>
            <w:tcW w:w="1701" w:type="dxa"/>
            <w:vMerge/>
            <w:shd w:val="clear" w:color="auto" w:fill="C6D9F1"/>
            <w:noWrap/>
            <w:hideMark/>
          </w:tcPr>
          <w:p w14:paraId="69E04EDB"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14:paraId="5D3E1A46"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3282CCCB"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Annual report</w:t>
            </w:r>
          </w:p>
        </w:tc>
        <w:tc>
          <w:tcPr>
            <w:tcW w:w="6520" w:type="dxa"/>
            <w:shd w:val="clear" w:color="auto" w:fill="C6D9F1"/>
          </w:tcPr>
          <w:p w14:paraId="5EF747A9"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14:paraId="4F84F5E9" w14:textId="77777777" w:rsidR="005D1BE7" w:rsidRPr="00423FCC" w:rsidRDefault="005D1BE7" w:rsidP="00BB68EC">
            <w:pPr>
              <w:spacing w:after="0" w:line="240" w:lineRule="auto"/>
              <w:rPr>
                <w:sz w:val="20"/>
                <w:szCs w:val="20"/>
              </w:rPr>
            </w:pPr>
            <w:r>
              <w:rPr>
                <w:sz w:val="20"/>
                <w:szCs w:val="20"/>
              </w:rPr>
              <w:t>2.50%</w:t>
            </w:r>
          </w:p>
        </w:tc>
      </w:tr>
      <w:tr w:rsidR="00460AF2" w:rsidRPr="00423FCC" w14:paraId="0ED96DEB" w14:textId="77777777" w:rsidTr="00460AF2">
        <w:trPr>
          <w:trHeight w:val="225"/>
        </w:trPr>
        <w:tc>
          <w:tcPr>
            <w:tcW w:w="1701" w:type="dxa"/>
            <w:vMerge/>
            <w:shd w:val="clear" w:color="auto" w:fill="C6D9F1"/>
            <w:noWrap/>
            <w:hideMark/>
          </w:tcPr>
          <w:p w14:paraId="76BCED5F"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14:paraId="48EB3E7C"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03C90752"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Allocation policy</w:t>
            </w:r>
          </w:p>
        </w:tc>
        <w:tc>
          <w:tcPr>
            <w:tcW w:w="6520" w:type="dxa"/>
            <w:shd w:val="clear" w:color="auto" w:fill="C6D9F1"/>
          </w:tcPr>
          <w:p w14:paraId="522A9A52"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14:paraId="476F2B35" w14:textId="77777777" w:rsidR="005D1BE7" w:rsidRPr="00423FCC" w:rsidRDefault="005D1BE7" w:rsidP="00BB68EC">
            <w:pPr>
              <w:spacing w:after="0" w:line="240" w:lineRule="auto"/>
              <w:rPr>
                <w:sz w:val="20"/>
                <w:szCs w:val="20"/>
              </w:rPr>
            </w:pPr>
            <w:r>
              <w:rPr>
                <w:sz w:val="20"/>
                <w:szCs w:val="20"/>
              </w:rPr>
              <w:t>2.50%</w:t>
            </w:r>
          </w:p>
        </w:tc>
      </w:tr>
      <w:tr w:rsidR="00460AF2" w:rsidRPr="00423FCC" w14:paraId="08DC2C78" w14:textId="77777777" w:rsidTr="00460AF2">
        <w:trPr>
          <w:trHeight w:val="225"/>
        </w:trPr>
        <w:tc>
          <w:tcPr>
            <w:tcW w:w="1701" w:type="dxa"/>
            <w:vMerge/>
            <w:shd w:val="clear" w:color="auto" w:fill="C6D9F1"/>
            <w:noWrap/>
            <w:hideMark/>
          </w:tcPr>
          <w:p w14:paraId="465A85CB"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14:paraId="19CBAA25"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354B0869"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Procurement policy</w:t>
            </w:r>
          </w:p>
        </w:tc>
        <w:tc>
          <w:tcPr>
            <w:tcW w:w="6520" w:type="dxa"/>
            <w:shd w:val="clear" w:color="auto" w:fill="C6D9F1"/>
          </w:tcPr>
          <w:p w14:paraId="1A8E7C1D"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14:paraId="673C2173" w14:textId="77777777" w:rsidR="005D1BE7" w:rsidRPr="00423FCC" w:rsidRDefault="005D1BE7" w:rsidP="00BB68EC">
            <w:pPr>
              <w:spacing w:after="0" w:line="240" w:lineRule="auto"/>
              <w:rPr>
                <w:sz w:val="20"/>
                <w:szCs w:val="20"/>
              </w:rPr>
            </w:pPr>
            <w:r>
              <w:rPr>
                <w:sz w:val="20"/>
                <w:szCs w:val="20"/>
              </w:rPr>
              <w:t>2.50%</w:t>
            </w:r>
          </w:p>
        </w:tc>
      </w:tr>
      <w:tr w:rsidR="00460AF2" w:rsidRPr="00423FCC" w14:paraId="3393783C" w14:textId="77777777" w:rsidTr="00460AF2">
        <w:trPr>
          <w:trHeight w:val="225"/>
        </w:trPr>
        <w:tc>
          <w:tcPr>
            <w:tcW w:w="1701" w:type="dxa"/>
            <w:vMerge/>
            <w:shd w:val="clear" w:color="auto" w:fill="C6D9F1"/>
            <w:noWrap/>
            <w:hideMark/>
          </w:tcPr>
          <w:p w14:paraId="01A2BC75"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14:paraId="5B248535"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23171EA5"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Strategy (country</w:t>
            </w:r>
            <w:r w:rsidR="008822C0" w:rsidRPr="004D19B4">
              <w:rPr>
                <w:sz w:val="20"/>
                <w:szCs w:val="20"/>
              </w:rPr>
              <w:t xml:space="preserve"> / sector</w:t>
            </w:r>
            <w:r w:rsidRPr="004D19B4">
              <w:rPr>
                <w:sz w:val="20"/>
                <w:szCs w:val="20"/>
              </w:rPr>
              <w:t>)</w:t>
            </w:r>
          </w:p>
        </w:tc>
        <w:tc>
          <w:tcPr>
            <w:tcW w:w="6520" w:type="dxa"/>
            <w:shd w:val="clear" w:color="auto" w:fill="C6D9F1"/>
          </w:tcPr>
          <w:p w14:paraId="48FF5D75"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14:paraId="07B13038" w14:textId="77777777" w:rsidR="005D1BE7" w:rsidRPr="00423FCC" w:rsidRDefault="005D1BE7" w:rsidP="00BB68EC">
            <w:pPr>
              <w:spacing w:after="0" w:line="240" w:lineRule="auto"/>
              <w:rPr>
                <w:sz w:val="20"/>
                <w:szCs w:val="20"/>
              </w:rPr>
            </w:pPr>
            <w:r>
              <w:rPr>
                <w:sz w:val="20"/>
                <w:szCs w:val="20"/>
              </w:rPr>
              <w:t>2.50%</w:t>
            </w:r>
          </w:p>
        </w:tc>
      </w:tr>
      <w:tr w:rsidR="00460AF2" w:rsidRPr="00423FCC" w14:paraId="2A379FA1" w14:textId="77777777" w:rsidTr="00460AF2">
        <w:trPr>
          <w:trHeight w:val="225"/>
        </w:trPr>
        <w:tc>
          <w:tcPr>
            <w:tcW w:w="1701" w:type="dxa"/>
            <w:vMerge/>
            <w:shd w:val="clear" w:color="auto" w:fill="C6D9F1"/>
            <w:noWrap/>
          </w:tcPr>
          <w:p w14:paraId="3B786FDC"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C6D9F1"/>
          </w:tcPr>
          <w:p w14:paraId="16683180"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Financial</w:t>
            </w:r>
          </w:p>
          <w:p w14:paraId="363FC887"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47FCB264"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Total organisation budget</w:t>
            </w:r>
          </w:p>
        </w:tc>
        <w:tc>
          <w:tcPr>
            <w:tcW w:w="6520" w:type="dxa"/>
            <w:shd w:val="clear" w:color="auto" w:fill="C6D9F1"/>
          </w:tcPr>
          <w:p w14:paraId="44548DE1" w14:textId="77777777" w:rsidR="005D1BE7" w:rsidRPr="00423FCC" w:rsidRDefault="005D1BE7" w:rsidP="00BB68EC">
            <w:pPr>
              <w:spacing w:after="0" w:line="240" w:lineRule="auto"/>
              <w:rPr>
                <w:sz w:val="20"/>
                <w:szCs w:val="20"/>
              </w:rPr>
            </w:pPr>
            <w:r w:rsidRPr="00423FCC">
              <w:rPr>
                <w:sz w:val="20"/>
                <w:szCs w:val="20"/>
              </w:rPr>
              <w:t>Graduated based on format and number of years for which data is provided</w:t>
            </w:r>
          </w:p>
        </w:tc>
        <w:tc>
          <w:tcPr>
            <w:tcW w:w="1276" w:type="dxa"/>
            <w:shd w:val="clear" w:color="auto" w:fill="C6D9F1"/>
          </w:tcPr>
          <w:p w14:paraId="7AD3CB9F" w14:textId="77777777" w:rsidR="005D1BE7" w:rsidRPr="00423FCC" w:rsidRDefault="005D1BE7" w:rsidP="00BB68EC">
            <w:pPr>
              <w:spacing w:after="0" w:line="240" w:lineRule="auto"/>
              <w:rPr>
                <w:sz w:val="20"/>
                <w:szCs w:val="20"/>
              </w:rPr>
            </w:pPr>
            <w:r>
              <w:rPr>
                <w:sz w:val="20"/>
                <w:szCs w:val="20"/>
              </w:rPr>
              <w:t>4.17%</w:t>
            </w:r>
          </w:p>
        </w:tc>
      </w:tr>
      <w:tr w:rsidR="00460AF2" w:rsidRPr="00423FCC" w14:paraId="61AEEC78" w14:textId="77777777" w:rsidTr="00460AF2">
        <w:trPr>
          <w:trHeight w:val="225"/>
        </w:trPr>
        <w:tc>
          <w:tcPr>
            <w:tcW w:w="1701" w:type="dxa"/>
            <w:vMerge/>
            <w:shd w:val="clear" w:color="auto" w:fill="C6D9F1"/>
            <w:noWrap/>
            <w:hideMark/>
          </w:tcPr>
          <w:p w14:paraId="32F3A98C"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14:paraId="48BC3354"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14:paraId="770A04B0"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Disaggregated budget</w:t>
            </w:r>
          </w:p>
        </w:tc>
        <w:tc>
          <w:tcPr>
            <w:tcW w:w="6520" w:type="dxa"/>
            <w:shd w:val="clear" w:color="auto" w:fill="C6D9F1"/>
          </w:tcPr>
          <w:p w14:paraId="5662D8B6" w14:textId="77777777" w:rsidR="005D1BE7" w:rsidRPr="00423FCC" w:rsidRDefault="005D1BE7" w:rsidP="00BB68EC">
            <w:pPr>
              <w:spacing w:after="0" w:line="240" w:lineRule="auto"/>
              <w:rPr>
                <w:sz w:val="20"/>
                <w:szCs w:val="20"/>
              </w:rPr>
            </w:pPr>
            <w:r w:rsidRPr="00423FCC">
              <w:rPr>
                <w:sz w:val="20"/>
                <w:szCs w:val="20"/>
              </w:rPr>
              <w:t>Graduated based on format and number of years for which data is provided</w:t>
            </w:r>
          </w:p>
        </w:tc>
        <w:tc>
          <w:tcPr>
            <w:tcW w:w="1276" w:type="dxa"/>
            <w:shd w:val="clear" w:color="auto" w:fill="C6D9F1"/>
          </w:tcPr>
          <w:p w14:paraId="292092DD" w14:textId="77777777" w:rsidR="005D1BE7" w:rsidRPr="00423FCC" w:rsidRDefault="005D1BE7" w:rsidP="00BB68EC">
            <w:pPr>
              <w:spacing w:after="0" w:line="240" w:lineRule="auto"/>
              <w:rPr>
                <w:sz w:val="20"/>
                <w:szCs w:val="20"/>
              </w:rPr>
            </w:pPr>
            <w:r>
              <w:rPr>
                <w:sz w:val="20"/>
                <w:szCs w:val="20"/>
              </w:rPr>
              <w:t>4.17%</w:t>
            </w:r>
          </w:p>
        </w:tc>
      </w:tr>
      <w:tr w:rsidR="00460AF2" w:rsidRPr="00423FCC" w14:paraId="7E209A7E" w14:textId="77777777" w:rsidTr="00460AF2">
        <w:trPr>
          <w:trHeight w:val="225"/>
        </w:trPr>
        <w:tc>
          <w:tcPr>
            <w:tcW w:w="1701" w:type="dxa"/>
            <w:vMerge/>
            <w:tcBorders>
              <w:bottom w:val="single" w:sz="4" w:space="0" w:color="auto"/>
            </w:tcBorders>
            <w:shd w:val="clear" w:color="auto" w:fill="C6D9F1"/>
            <w:noWrap/>
          </w:tcPr>
          <w:p w14:paraId="0EB29CAD"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C6D9F1"/>
          </w:tcPr>
          <w:p w14:paraId="75314D98" w14:textId="77777777" w:rsidR="005D1BE7" w:rsidRPr="00423FCC" w:rsidRDefault="005D1BE7" w:rsidP="00BB68EC">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C6D9F1"/>
            <w:noWrap/>
          </w:tcPr>
          <w:p w14:paraId="7F7ABB9F"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Audit</w:t>
            </w:r>
          </w:p>
        </w:tc>
        <w:tc>
          <w:tcPr>
            <w:tcW w:w="6520" w:type="dxa"/>
            <w:tcBorders>
              <w:bottom w:val="single" w:sz="4" w:space="0" w:color="auto"/>
            </w:tcBorders>
            <w:shd w:val="clear" w:color="auto" w:fill="C6D9F1"/>
          </w:tcPr>
          <w:p w14:paraId="227CC943"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tcBorders>
              <w:bottom w:val="single" w:sz="4" w:space="0" w:color="auto"/>
            </w:tcBorders>
            <w:shd w:val="clear" w:color="auto" w:fill="C6D9F1"/>
          </w:tcPr>
          <w:p w14:paraId="2841C49E" w14:textId="77777777" w:rsidR="005D1BE7" w:rsidRPr="00423FCC" w:rsidRDefault="005D1BE7" w:rsidP="00BB68EC">
            <w:pPr>
              <w:spacing w:after="0" w:line="240" w:lineRule="auto"/>
              <w:rPr>
                <w:sz w:val="20"/>
                <w:szCs w:val="20"/>
              </w:rPr>
            </w:pPr>
            <w:r>
              <w:rPr>
                <w:sz w:val="20"/>
                <w:szCs w:val="20"/>
              </w:rPr>
              <w:t>4.17%</w:t>
            </w:r>
          </w:p>
        </w:tc>
      </w:tr>
      <w:tr w:rsidR="00460AF2" w:rsidRPr="00423FCC" w14:paraId="640F94F1" w14:textId="77777777" w:rsidTr="00460AF2">
        <w:trPr>
          <w:trHeight w:val="225"/>
        </w:trPr>
        <w:tc>
          <w:tcPr>
            <w:tcW w:w="1701" w:type="dxa"/>
            <w:vMerge w:val="restart"/>
            <w:shd w:val="clear" w:color="auto" w:fill="DBE5F1"/>
            <w:noWrap/>
          </w:tcPr>
          <w:p w14:paraId="43D3BD59"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 xml:space="preserve">Publication – Activity level </w:t>
            </w:r>
          </w:p>
        </w:tc>
        <w:tc>
          <w:tcPr>
            <w:tcW w:w="1418" w:type="dxa"/>
            <w:vMerge w:val="restart"/>
            <w:shd w:val="clear" w:color="auto" w:fill="DBE5F1"/>
          </w:tcPr>
          <w:p w14:paraId="2D13D6A0" w14:textId="77777777" w:rsidR="005D1BE7" w:rsidRPr="00423FCC" w:rsidRDefault="005D1BE7" w:rsidP="00BB68EC">
            <w:pPr>
              <w:spacing w:after="0" w:line="240" w:lineRule="auto"/>
              <w:contextualSpacing/>
              <w:rPr>
                <w:rFonts w:eastAsia="Calibri" w:cs="Times New Roman"/>
                <w:sz w:val="20"/>
                <w:szCs w:val="20"/>
              </w:rPr>
            </w:pPr>
            <w:r w:rsidRPr="00423FCC">
              <w:rPr>
                <w:sz w:val="20"/>
                <w:szCs w:val="20"/>
              </w:rPr>
              <w:t>Basic activity i</w:t>
            </w:r>
            <w:r w:rsidRPr="00423FCC">
              <w:rPr>
                <w:rFonts w:eastAsia="Calibri" w:cs="Times New Roman"/>
                <w:sz w:val="20"/>
                <w:szCs w:val="20"/>
              </w:rPr>
              <w:t>nformation</w:t>
            </w:r>
          </w:p>
        </w:tc>
        <w:tc>
          <w:tcPr>
            <w:tcW w:w="3402" w:type="dxa"/>
            <w:shd w:val="clear" w:color="auto" w:fill="DBE5F1"/>
            <w:noWrap/>
          </w:tcPr>
          <w:p w14:paraId="6D1D830D"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Implementer</w:t>
            </w:r>
          </w:p>
        </w:tc>
        <w:tc>
          <w:tcPr>
            <w:tcW w:w="6520" w:type="dxa"/>
            <w:shd w:val="clear" w:color="auto" w:fill="DBE5F1"/>
          </w:tcPr>
          <w:p w14:paraId="20397C24"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585C32A4" w14:textId="77777777" w:rsidR="005D1BE7" w:rsidRPr="00423FCC" w:rsidRDefault="005D1BE7" w:rsidP="00BB68EC">
            <w:pPr>
              <w:spacing w:after="0" w:line="240" w:lineRule="auto"/>
              <w:rPr>
                <w:sz w:val="20"/>
                <w:szCs w:val="20"/>
              </w:rPr>
            </w:pPr>
            <w:r>
              <w:rPr>
                <w:sz w:val="20"/>
                <w:szCs w:val="20"/>
              </w:rPr>
              <w:t>1.63%</w:t>
            </w:r>
          </w:p>
        </w:tc>
      </w:tr>
      <w:tr w:rsidR="00460AF2" w:rsidRPr="00423FCC" w14:paraId="2D49FC99" w14:textId="77777777" w:rsidTr="00460AF2">
        <w:trPr>
          <w:trHeight w:val="290"/>
        </w:trPr>
        <w:tc>
          <w:tcPr>
            <w:tcW w:w="1701" w:type="dxa"/>
            <w:vMerge/>
            <w:shd w:val="clear" w:color="auto" w:fill="DBE5F1"/>
            <w:noWrap/>
            <w:hideMark/>
          </w:tcPr>
          <w:p w14:paraId="44D1D9D0"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419DC87E"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5D2171FF"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Unique ID</w:t>
            </w:r>
          </w:p>
        </w:tc>
        <w:tc>
          <w:tcPr>
            <w:tcW w:w="6520" w:type="dxa"/>
            <w:shd w:val="clear" w:color="auto" w:fill="DBE5F1"/>
          </w:tcPr>
          <w:p w14:paraId="671F36E0"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33891727"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402FF581" w14:textId="77777777" w:rsidTr="00460AF2">
        <w:trPr>
          <w:trHeight w:val="225"/>
        </w:trPr>
        <w:tc>
          <w:tcPr>
            <w:tcW w:w="1701" w:type="dxa"/>
            <w:vMerge/>
            <w:shd w:val="clear" w:color="auto" w:fill="DBE5F1"/>
            <w:noWrap/>
            <w:hideMark/>
          </w:tcPr>
          <w:p w14:paraId="0A6C53B9"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78D4A763"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1126703D"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Title</w:t>
            </w:r>
          </w:p>
        </w:tc>
        <w:tc>
          <w:tcPr>
            <w:tcW w:w="6520" w:type="dxa"/>
            <w:shd w:val="clear" w:color="auto" w:fill="DBE5F1"/>
          </w:tcPr>
          <w:p w14:paraId="0AAC7D99"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165B1B38"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5B085107" w14:textId="77777777" w:rsidTr="00460AF2">
        <w:trPr>
          <w:trHeight w:val="225"/>
        </w:trPr>
        <w:tc>
          <w:tcPr>
            <w:tcW w:w="1701" w:type="dxa"/>
            <w:vMerge/>
            <w:shd w:val="clear" w:color="auto" w:fill="DBE5F1"/>
            <w:noWrap/>
            <w:hideMark/>
          </w:tcPr>
          <w:p w14:paraId="0AEA3E9E"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5770E453"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20F43572"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Description</w:t>
            </w:r>
          </w:p>
        </w:tc>
        <w:tc>
          <w:tcPr>
            <w:tcW w:w="6520" w:type="dxa"/>
            <w:shd w:val="clear" w:color="auto" w:fill="DBE5F1"/>
          </w:tcPr>
          <w:p w14:paraId="53B32277"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1A3E1715"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6546CA80" w14:textId="77777777" w:rsidTr="00460AF2">
        <w:trPr>
          <w:trHeight w:val="225"/>
        </w:trPr>
        <w:tc>
          <w:tcPr>
            <w:tcW w:w="1701" w:type="dxa"/>
            <w:vMerge/>
            <w:shd w:val="clear" w:color="auto" w:fill="DBE5F1"/>
            <w:noWrap/>
            <w:hideMark/>
          </w:tcPr>
          <w:p w14:paraId="69194F8F"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0B0E0EDF"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355D4665"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Planned dates</w:t>
            </w:r>
          </w:p>
        </w:tc>
        <w:tc>
          <w:tcPr>
            <w:tcW w:w="6520" w:type="dxa"/>
            <w:shd w:val="clear" w:color="auto" w:fill="DBE5F1"/>
          </w:tcPr>
          <w:p w14:paraId="5662722C"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19C2E7E4"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021E1357" w14:textId="77777777" w:rsidTr="00460AF2">
        <w:trPr>
          <w:trHeight w:val="225"/>
        </w:trPr>
        <w:tc>
          <w:tcPr>
            <w:tcW w:w="1701" w:type="dxa"/>
            <w:vMerge/>
            <w:shd w:val="clear" w:color="auto" w:fill="DBE5F1"/>
            <w:noWrap/>
            <w:hideMark/>
          </w:tcPr>
          <w:p w14:paraId="67D384F0"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389FCF5E"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65E31D5E"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Actual dates</w:t>
            </w:r>
          </w:p>
        </w:tc>
        <w:tc>
          <w:tcPr>
            <w:tcW w:w="6520" w:type="dxa"/>
            <w:shd w:val="clear" w:color="auto" w:fill="DBE5F1"/>
          </w:tcPr>
          <w:p w14:paraId="54EA7F48"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4321C8B8"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518AE8CE" w14:textId="77777777" w:rsidTr="00460AF2">
        <w:trPr>
          <w:trHeight w:val="225"/>
        </w:trPr>
        <w:tc>
          <w:tcPr>
            <w:tcW w:w="1701" w:type="dxa"/>
            <w:vMerge/>
            <w:shd w:val="clear" w:color="auto" w:fill="DBE5F1"/>
            <w:noWrap/>
            <w:hideMark/>
          </w:tcPr>
          <w:p w14:paraId="56D89193"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4D558B3F"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65CBCE5F"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Current status</w:t>
            </w:r>
          </w:p>
        </w:tc>
        <w:tc>
          <w:tcPr>
            <w:tcW w:w="6520" w:type="dxa"/>
            <w:shd w:val="clear" w:color="auto" w:fill="DBE5F1"/>
          </w:tcPr>
          <w:p w14:paraId="56B8EE39"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0F97E723"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721FCA0B" w14:textId="77777777" w:rsidTr="00460AF2">
        <w:trPr>
          <w:trHeight w:val="225"/>
        </w:trPr>
        <w:tc>
          <w:tcPr>
            <w:tcW w:w="1701" w:type="dxa"/>
            <w:vMerge/>
            <w:shd w:val="clear" w:color="auto" w:fill="DBE5F1"/>
            <w:noWrap/>
            <w:hideMark/>
          </w:tcPr>
          <w:p w14:paraId="5911FE6D"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225A8267"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054964FD"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Contact details</w:t>
            </w:r>
          </w:p>
        </w:tc>
        <w:tc>
          <w:tcPr>
            <w:tcW w:w="6520" w:type="dxa"/>
            <w:shd w:val="clear" w:color="auto" w:fill="DBE5F1"/>
          </w:tcPr>
          <w:p w14:paraId="6BB400E5"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739339DD" w14:textId="77777777" w:rsidR="005D1BE7" w:rsidRPr="0091214C" w:rsidRDefault="005D1BE7" w:rsidP="00BB68EC">
            <w:pPr>
              <w:spacing w:after="0" w:line="240" w:lineRule="auto"/>
              <w:rPr>
                <w:sz w:val="20"/>
                <w:szCs w:val="20"/>
              </w:rPr>
            </w:pPr>
            <w:r w:rsidRPr="001012F0">
              <w:rPr>
                <w:sz w:val="20"/>
                <w:szCs w:val="20"/>
              </w:rPr>
              <w:t>1.63%</w:t>
            </w:r>
          </w:p>
        </w:tc>
      </w:tr>
      <w:tr w:rsidR="00460AF2" w:rsidRPr="00423FCC" w14:paraId="1E140069" w14:textId="77777777" w:rsidTr="00460AF2">
        <w:trPr>
          <w:trHeight w:val="225"/>
        </w:trPr>
        <w:tc>
          <w:tcPr>
            <w:tcW w:w="1701" w:type="dxa"/>
            <w:vMerge/>
            <w:shd w:val="clear" w:color="auto" w:fill="DBE5F1"/>
            <w:noWrap/>
            <w:hideMark/>
          </w:tcPr>
          <w:p w14:paraId="48970474"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14:paraId="6492A4BD"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Classifications</w:t>
            </w:r>
          </w:p>
          <w:p w14:paraId="68C6D541"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2EEFFC5A"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Collaboration type</w:t>
            </w:r>
          </w:p>
        </w:tc>
        <w:tc>
          <w:tcPr>
            <w:tcW w:w="6520" w:type="dxa"/>
            <w:shd w:val="clear" w:color="auto" w:fill="DBE5F1"/>
          </w:tcPr>
          <w:p w14:paraId="47B0C516"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6385C644" w14:textId="77777777" w:rsidR="005D1BE7" w:rsidRPr="00423FCC" w:rsidRDefault="005D1BE7" w:rsidP="00BB68EC">
            <w:pPr>
              <w:spacing w:after="0" w:line="240" w:lineRule="auto"/>
              <w:rPr>
                <w:sz w:val="20"/>
                <w:szCs w:val="20"/>
              </w:rPr>
            </w:pPr>
            <w:r>
              <w:rPr>
                <w:sz w:val="20"/>
                <w:szCs w:val="20"/>
              </w:rPr>
              <w:t>1.86%</w:t>
            </w:r>
          </w:p>
        </w:tc>
      </w:tr>
      <w:tr w:rsidR="00460AF2" w:rsidRPr="00423FCC" w14:paraId="4EAF968A" w14:textId="77777777" w:rsidTr="00460AF2">
        <w:trPr>
          <w:trHeight w:val="225"/>
        </w:trPr>
        <w:tc>
          <w:tcPr>
            <w:tcW w:w="1701" w:type="dxa"/>
            <w:vMerge/>
            <w:shd w:val="clear" w:color="auto" w:fill="DBE5F1"/>
            <w:noWrap/>
            <w:hideMark/>
          </w:tcPr>
          <w:p w14:paraId="00609098"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1397BF89"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3F9B939B"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Flow type</w:t>
            </w:r>
          </w:p>
        </w:tc>
        <w:tc>
          <w:tcPr>
            <w:tcW w:w="6520" w:type="dxa"/>
            <w:shd w:val="clear" w:color="auto" w:fill="DBE5F1"/>
          </w:tcPr>
          <w:p w14:paraId="4E7A894A"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4DF1C216" w14:textId="77777777" w:rsidR="005D1BE7" w:rsidRPr="0091214C" w:rsidRDefault="005D1BE7" w:rsidP="00BB68EC">
            <w:pPr>
              <w:spacing w:after="0" w:line="240" w:lineRule="auto"/>
              <w:rPr>
                <w:sz w:val="20"/>
                <w:szCs w:val="20"/>
              </w:rPr>
            </w:pPr>
            <w:r w:rsidRPr="00075C22">
              <w:rPr>
                <w:sz w:val="20"/>
                <w:szCs w:val="20"/>
              </w:rPr>
              <w:t>1.86%</w:t>
            </w:r>
          </w:p>
        </w:tc>
      </w:tr>
      <w:tr w:rsidR="00460AF2" w:rsidRPr="00423FCC" w14:paraId="3472A0E5" w14:textId="77777777" w:rsidTr="00460AF2">
        <w:trPr>
          <w:trHeight w:val="225"/>
        </w:trPr>
        <w:tc>
          <w:tcPr>
            <w:tcW w:w="1701" w:type="dxa"/>
            <w:vMerge/>
            <w:shd w:val="clear" w:color="auto" w:fill="DBE5F1"/>
            <w:noWrap/>
            <w:hideMark/>
          </w:tcPr>
          <w:p w14:paraId="412F1016"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458901AB"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3411E99E"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Aid type</w:t>
            </w:r>
          </w:p>
        </w:tc>
        <w:tc>
          <w:tcPr>
            <w:tcW w:w="6520" w:type="dxa"/>
            <w:shd w:val="clear" w:color="auto" w:fill="DBE5F1"/>
          </w:tcPr>
          <w:p w14:paraId="2E3C2CD7"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5590F0CC" w14:textId="77777777" w:rsidR="005D1BE7" w:rsidRPr="0091214C" w:rsidRDefault="005D1BE7" w:rsidP="00BB68EC">
            <w:pPr>
              <w:spacing w:after="0" w:line="240" w:lineRule="auto"/>
              <w:rPr>
                <w:sz w:val="20"/>
                <w:szCs w:val="20"/>
              </w:rPr>
            </w:pPr>
            <w:r w:rsidRPr="00075C22">
              <w:rPr>
                <w:sz w:val="20"/>
                <w:szCs w:val="20"/>
              </w:rPr>
              <w:t>1.86%</w:t>
            </w:r>
          </w:p>
        </w:tc>
      </w:tr>
      <w:tr w:rsidR="00460AF2" w:rsidRPr="00423FCC" w14:paraId="4E523D2B" w14:textId="77777777" w:rsidTr="00460AF2">
        <w:trPr>
          <w:trHeight w:val="225"/>
        </w:trPr>
        <w:tc>
          <w:tcPr>
            <w:tcW w:w="1701" w:type="dxa"/>
            <w:vMerge/>
            <w:shd w:val="clear" w:color="auto" w:fill="DBE5F1"/>
            <w:noWrap/>
            <w:hideMark/>
          </w:tcPr>
          <w:p w14:paraId="2C93426A"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2867B274"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2D35CCBB"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Finance type</w:t>
            </w:r>
          </w:p>
        </w:tc>
        <w:tc>
          <w:tcPr>
            <w:tcW w:w="6520" w:type="dxa"/>
            <w:shd w:val="clear" w:color="auto" w:fill="DBE5F1"/>
          </w:tcPr>
          <w:p w14:paraId="03FBEB71"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728408CB" w14:textId="77777777" w:rsidR="005D1BE7" w:rsidRPr="0091214C" w:rsidRDefault="005D1BE7" w:rsidP="00BB68EC">
            <w:pPr>
              <w:spacing w:after="0" w:line="240" w:lineRule="auto"/>
              <w:rPr>
                <w:sz w:val="20"/>
                <w:szCs w:val="20"/>
              </w:rPr>
            </w:pPr>
            <w:r w:rsidRPr="00075C22">
              <w:rPr>
                <w:sz w:val="20"/>
                <w:szCs w:val="20"/>
              </w:rPr>
              <w:t>1.86%</w:t>
            </w:r>
          </w:p>
        </w:tc>
      </w:tr>
      <w:tr w:rsidR="00460AF2" w:rsidRPr="00423FCC" w14:paraId="1713BEEE" w14:textId="77777777" w:rsidTr="00460AF2">
        <w:trPr>
          <w:trHeight w:val="225"/>
        </w:trPr>
        <w:tc>
          <w:tcPr>
            <w:tcW w:w="1701" w:type="dxa"/>
            <w:vMerge/>
            <w:shd w:val="clear" w:color="auto" w:fill="DBE5F1"/>
            <w:noWrap/>
            <w:hideMark/>
          </w:tcPr>
          <w:p w14:paraId="44018A57"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0A24FEC8"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484EE399"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Sectors</w:t>
            </w:r>
          </w:p>
        </w:tc>
        <w:tc>
          <w:tcPr>
            <w:tcW w:w="6520" w:type="dxa"/>
            <w:shd w:val="clear" w:color="auto" w:fill="DBE5F1"/>
          </w:tcPr>
          <w:p w14:paraId="157E2D1E"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249584C8" w14:textId="77777777" w:rsidR="005D1BE7" w:rsidRPr="0091214C" w:rsidRDefault="005D1BE7" w:rsidP="00BB68EC">
            <w:pPr>
              <w:spacing w:after="0" w:line="240" w:lineRule="auto"/>
              <w:rPr>
                <w:sz w:val="20"/>
                <w:szCs w:val="20"/>
              </w:rPr>
            </w:pPr>
            <w:r w:rsidRPr="00075C22">
              <w:rPr>
                <w:sz w:val="20"/>
                <w:szCs w:val="20"/>
              </w:rPr>
              <w:t>1.86%</w:t>
            </w:r>
          </w:p>
        </w:tc>
      </w:tr>
      <w:tr w:rsidR="00460AF2" w:rsidRPr="00423FCC" w14:paraId="42D98ACA" w14:textId="77777777" w:rsidTr="00460AF2">
        <w:trPr>
          <w:trHeight w:val="225"/>
        </w:trPr>
        <w:tc>
          <w:tcPr>
            <w:tcW w:w="1701" w:type="dxa"/>
            <w:vMerge/>
            <w:shd w:val="clear" w:color="auto" w:fill="DBE5F1"/>
            <w:noWrap/>
            <w:hideMark/>
          </w:tcPr>
          <w:p w14:paraId="6B9074DE"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1FE062A2"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7E34AF99"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Sub-national location</w:t>
            </w:r>
          </w:p>
        </w:tc>
        <w:tc>
          <w:tcPr>
            <w:tcW w:w="6520" w:type="dxa"/>
            <w:shd w:val="clear" w:color="auto" w:fill="DBE5F1"/>
          </w:tcPr>
          <w:p w14:paraId="46417D1D"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5969972D" w14:textId="77777777" w:rsidR="005D1BE7" w:rsidRPr="0091214C" w:rsidRDefault="005D1BE7" w:rsidP="00BB68EC">
            <w:pPr>
              <w:spacing w:after="0" w:line="240" w:lineRule="auto"/>
              <w:rPr>
                <w:sz w:val="20"/>
                <w:szCs w:val="20"/>
              </w:rPr>
            </w:pPr>
            <w:r w:rsidRPr="00075C22">
              <w:rPr>
                <w:sz w:val="20"/>
                <w:szCs w:val="20"/>
              </w:rPr>
              <w:t>1.86%</w:t>
            </w:r>
          </w:p>
        </w:tc>
      </w:tr>
      <w:tr w:rsidR="00460AF2" w:rsidRPr="00423FCC" w14:paraId="5965227A" w14:textId="77777777" w:rsidTr="00460AF2">
        <w:trPr>
          <w:trHeight w:val="225"/>
        </w:trPr>
        <w:tc>
          <w:tcPr>
            <w:tcW w:w="1701" w:type="dxa"/>
            <w:vMerge/>
            <w:shd w:val="clear" w:color="auto" w:fill="DBE5F1"/>
            <w:noWrap/>
            <w:hideMark/>
          </w:tcPr>
          <w:p w14:paraId="2EAE4160"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6E0EB91E"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45E0AB69"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Tied aid status</w:t>
            </w:r>
          </w:p>
        </w:tc>
        <w:tc>
          <w:tcPr>
            <w:tcW w:w="6520" w:type="dxa"/>
            <w:shd w:val="clear" w:color="auto" w:fill="DBE5F1"/>
          </w:tcPr>
          <w:p w14:paraId="571CAA31"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01BA0BD9" w14:textId="77777777" w:rsidR="005D1BE7" w:rsidRPr="0091214C" w:rsidRDefault="005D1BE7" w:rsidP="00BB68EC">
            <w:pPr>
              <w:spacing w:after="0" w:line="240" w:lineRule="auto"/>
              <w:rPr>
                <w:sz w:val="20"/>
                <w:szCs w:val="20"/>
              </w:rPr>
            </w:pPr>
            <w:r w:rsidRPr="00075C22">
              <w:rPr>
                <w:sz w:val="20"/>
                <w:szCs w:val="20"/>
              </w:rPr>
              <w:t>1.86%</w:t>
            </w:r>
          </w:p>
        </w:tc>
      </w:tr>
      <w:tr w:rsidR="00460AF2" w:rsidRPr="00423FCC" w14:paraId="1E0A3A4E" w14:textId="77777777" w:rsidTr="00460AF2">
        <w:trPr>
          <w:trHeight w:val="225"/>
        </w:trPr>
        <w:tc>
          <w:tcPr>
            <w:tcW w:w="1701" w:type="dxa"/>
            <w:vMerge/>
            <w:shd w:val="clear" w:color="auto" w:fill="DBE5F1"/>
            <w:noWrap/>
            <w:hideMark/>
          </w:tcPr>
          <w:p w14:paraId="17E88754"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14:paraId="4E9C664D"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Related documents</w:t>
            </w:r>
          </w:p>
        </w:tc>
        <w:tc>
          <w:tcPr>
            <w:tcW w:w="3402" w:type="dxa"/>
            <w:shd w:val="clear" w:color="auto" w:fill="DBE5F1"/>
            <w:noWrap/>
            <w:hideMark/>
          </w:tcPr>
          <w:p w14:paraId="610D6812" w14:textId="77777777" w:rsidR="005D1BE7" w:rsidRPr="004D19B4" w:rsidRDefault="005D1BE7" w:rsidP="004D19B4">
            <w:pPr>
              <w:pStyle w:val="ListParagraph"/>
              <w:numPr>
                <w:ilvl w:val="0"/>
                <w:numId w:val="48"/>
              </w:numPr>
              <w:spacing w:after="0" w:line="240" w:lineRule="auto"/>
              <w:ind w:left="346"/>
              <w:rPr>
                <w:sz w:val="20"/>
                <w:szCs w:val="20"/>
              </w:rPr>
            </w:pPr>
            <w:r w:rsidRPr="004D19B4">
              <w:rPr>
                <w:color w:val="000000"/>
                <w:sz w:val="20"/>
                <w:szCs w:val="20"/>
              </w:rPr>
              <w:t>Memorandum of Understanding</w:t>
            </w:r>
          </w:p>
        </w:tc>
        <w:tc>
          <w:tcPr>
            <w:tcW w:w="6520" w:type="dxa"/>
            <w:shd w:val="clear" w:color="auto" w:fill="DBE5F1"/>
          </w:tcPr>
          <w:p w14:paraId="5A5E5B0C" w14:textId="77777777" w:rsidR="005D1BE7" w:rsidRPr="00423FCC" w:rsidRDefault="005D1BE7" w:rsidP="00BB68EC">
            <w:pPr>
              <w:spacing w:after="0" w:line="240" w:lineRule="auto"/>
              <w:rPr>
                <w:sz w:val="20"/>
                <w:szCs w:val="20"/>
              </w:rPr>
            </w:pPr>
            <w:r w:rsidRPr="00423FCC">
              <w:rPr>
                <w:sz w:val="20"/>
                <w:szCs w:val="20"/>
              </w:rPr>
              <w:t xml:space="preserve">Graduated based on accessibility </w:t>
            </w:r>
          </w:p>
        </w:tc>
        <w:tc>
          <w:tcPr>
            <w:tcW w:w="1276" w:type="dxa"/>
            <w:shd w:val="clear" w:color="auto" w:fill="DBE5F1"/>
          </w:tcPr>
          <w:p w14:paraId="70D7B366" w14:textId="77777777" w:rsidR="005D1BE7" w:rsidRPr="00423FCC" w:rsidRDefault="005D1BE7" w:rsidP="00BB68EC">
            <w:pPr>
              <w:spacing w:after="0" w:line="240" w:lineRule="auto"/>
              <w:rPr>
                <w:sz w:val="20"/>
                <w:szCs w:val="20"/>
              </w:rPr>
            </w:pPr>
            <w:r>
              <w:rPr>
                <w:sz w:val="20"/>
                <w:szCs w:val="20"/>
              </w:rPr>
              <w:t>2.17%</w:t>
            </w:r>
          </w:p>
        </w:tc>
      </w:tr>
      <w:tr w:rsidR="00460AF2" w:rsidRPr="00423FCC" w14:paraId="66A78123" w14:textId="77777777" w:rsidTr="00460AF2">
        <w:trPr>
          <w:trHeight w:val="225"/>
        </w:trPr>
        <w:tc>
          <w:tcPr>
            <w:tcW w:w="1701" w:type="dxa"/>
            <w:vMerge/>
            <w:shd w:val="clear" w:color="auto" w:fill="DBE5F1"/>
            <w:noWrap/>
            <w:hideMark/>
          </w:tcPr>
          <w:p w14:paraId="096B8BB2"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7DDAD878"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4FAF6542"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Evaluations</w:t>
            </w:r>
          </w:p>
        </w:tc>
        <w:tc>
          <w:tcPr>
            <w:tcW w:w="6520" w:type="dxa"/>
            <w:shd w:val="clear" w:color="auto" w:fill="DBE5F1"/>
          </w:tcPr>
          <w:p w14:paraId="16CC83F3"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3EEEB521" w14:textId="77777777" w:rsidR="005D1BE7" w:rsidRPr="0091214C" w:rsidRDefault="005D1BE7" w:rsidP="00BB68EC">
            <w:pPr>
              <w:spacing w:after="0" w:line="240" w:lineRule="auto"/>
              <w:rPr>
                <w:sz w:val="20"/>
                <w:szCs w:val="20"/>
              </w:rPr>
            </w:pPr>
            <w:r w:rsidRPr="000524C1">
              <w:rPr>
                <w:sz w:val="20"/>
                <w:szCs w:val="20"/>
              </w:rPr>
              <w:t>2.17%</w:t>
            </w:r>
          </w:p>
        </w:tc>
      </w:tr>
      <w:tr w:rsidR="00460AF2" w:rsidRPr="00423FCC" w14:paraId="6E1AF0DA" w14:textId="77777777" w:rsidTr="00460AF2">
        <w:trPr>
          <w:trHeight w:val="225"/>
        </w:trPr>
        <w:tc>
          <w:tcPr>
            <w:tcW w:w="1701" w:type="dxa"/>
            <w:vMerge/>
            <w:shd w:val="clear" w:color="auto" w:fill="DBE5F1"/>
            <w:noWrap/>
            <w:hideMark/>
          </w:tcPr>
          <w:p w14:paraId="431206DD"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259E1C63"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3DB3BC1C"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Objectives</w:t>
            </w:r>
          </w:p>
        </w:tc>
        <w:tc>
          <w:tcPr>
            <w:tcW w:w="6520" w:type="dxa"/>
            <w:shd w:val="clear" w:color="auto" w:fill="DBE5F1"/>
          </w:tcPr>
          <w:p w14:paraId="33445637"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5FAC3FDD" w14:textId="77777777" w:rsidR="005D1BE7" w:rsidRPr="0091214C" w:rsidRDefault="005D1BE7" w:rsidP="00BB68EC">
            <w:pPr>
              <w:spacing w:after="0" w:line="240" w:lineRule="auto"/>
              <w:rPr>
                <w:sz w:val="20"/>
                <w:szCs w:val="20"/>
              </w:rPr>
            </w:pPr>
            <w:r w:rsidRPr="000524C1">
              <w:rPr>
                <w:sz w:val="20"/>
                <w:szCs w:val="20"/>
              </w:rPr>
              <w:t>2.17%</w:t>
            </w:r>
          </w:p>
        </w:tc>
      </w:tr>
      <w:tr w:rsidR="00460AF2" w:rsidRPr="00423FCC" w14:paraId="039E1B2B" w14:textId="77777777" w:rsidTr="00460AF2">
        <w:trPr>
          <w:trHeight w:val="225"/>
        </w:trPr>
        <w:tc>
          <w:tcPr>
            <w:tcW w:w="1701" w:type="dxa"/>
            <w:vMerge/>
            <w:shd w:val="clear" w:color="auto" w:fill="DBE5F1"/>
            <w:noWrap/>
            <w:hideMark/>
          </w:tcPr>
          <w:p w14:paraId="1A96C6CC"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25552D4B"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4FB75E07"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Budget docs</w:t>
            </w:r>
          </w:p>
        </w:tc>
        <w:tc>
          <w:tcPr>
            <w:tcW w:w="6520" w:type="dxa"/>
            <w:shd w:val="clear" w:color="auto" w:fill="DBE5F1"/>
          </w:tcPr>
          <w:p w14:paraId="489F0CD5"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18BC1C80" w14:textId="77777777" w:rsidR="005D1BE7" w:rsidRPr="0091214C" w:rsidRDefault="005D1BE7" w:rsidP="00BB68EC">
            <w:pPr>
              <w:spacing w:after="0" w:line="240" w:lineRule="auto"/>
              <w:rPr>
                <w:sz w:val="20"/>
                <w:szCs w:val="20"/>
              </w:rPr>
            </w:pPr>
            <w:r w:rsidRPr="000524C1">
              <w:rPr>
                <w:sz w:val="20"/>
                <w:szCs w:val="20"/>
              </w:rPr>
              <w:t>2.17%</w:t>
            </w:r>
          </w:p>
        </w:tc>
      </w:tr>
      <w:tr w:rsidR="00460AF2" w:rsidRPr="00423FCC" w14:paraId="0AC3A0D9" w14:textId="77777777" w:rsidTr="00460AF2">
        <w:trPr>
          <w:trHeight w:val="225"/>
        </w:trPr>
        <w:tc>
          <w:tcPr>
            <w:tcW w:w="1701" w:type="dxa"/>
            <w:vMerge/>
            <w:shd w:val="clear" w:color="auto" w:fill="DBE5F1"/>
            <w:noWrap/>
            <w:hideMark/>
          </w:tcPr>
          <w:p w14:paraId="6384EABB"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7D2DE4EB"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64B3F52B"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Contracts</w:t>
            </w:r>
          </w:p>
        </w:tc>
        <w:tc>
          <w:tcPr>
            <w:tcW w:w="6520" w:type="dxa"/>
            <w:shd w:val="clear" w:color="auto" w:fill="DBE5F1"/>
          </w:tcPr>
          <w:p w14:paraId="66D15EBE"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092C7CFD" w14:textId="77777777" w:rsidR="005D1BE7" w:rsidRPr="0091214C" w:rsidRDefault="005D1BE7" w:rsidP="00BB68EC">
            <w:pPr>
              <w:spacing w:after="0" w:line="240" w:lineRule="auto"/>
              <w:rPr>
                <w:sz w:val="20"/>
                <w:szCs w:val="20"/>
              </w:rPr>
            </w:pPr>
            <w:r w:rsidRPr="000524C1">
              <w:rPr>
                <w:sz w:val="20"/>
                <w:szCs w:val="20"/>
              </w:rPr>
              <w:t>2.17%</w:t>
            </w:r>
          </w:p>
        </w:tc>
      </w:tr>
      <w:tr w:rsidR="00460AF2" w:rsidRPr="00423FCC" w14:paraId="244D4517" w14:textId="77777777" w:rsidTr="00460AF2">
        <w:trPr>
          <w:trHeight w:val="225"/>
        </w:trPr>
        <w:tc>
          <w:tcPr>
            <w:tcW w:w="1701" w:type="dxa"/>
            <w:vMerge/>
            <w:shd w:val="clear" w:color="auto" w:fill="DBE5F1"/>
            <w:noWrap/>
            <w:hideMark/>
          </w:tcPr>
          <w:p w14:paraId="0DFE5B62"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72047B11"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30F22B6B"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Tenders</w:t>
            </w:r>
          </w:p>
        </w:tc>
        <w:tc>
          <w:tcPr>
            <w:tcW w:w="6520" w:type="dxa"/>
            <w:shd w:val="clear" w:color="auto" w:fill="DBE5F1"/>
          </w:tcPr>
          <w:p w14:paraId="5578859B"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0BAA6E11" w14:textId="77777777" w:rsidR="005D1BE7" w:rsidRPr="0091214C" w:rsidRDefault="005D1BE7" w:rsidP="00BB68EC">
            <w:pPr>
              <w:spacing w:after="0" w:line="240" w:lineRule="auto"/>
              <w:rPr>
                <w:sz w:val="20"/>
                <w:szCs w:val="20"/>
              </w:rPr>
            </w:pPr>
            <w:r w:rsidRPr="000524C1">
              <w:rPr>
                <w:sz w:val="20"/>
                <w:szCs w:val="20"/>
              </w:rPr>
              <w:t>2.17%</w:t>
            </w:r>
          </w:p>
        </w:tc>
      </w:tr>
      <w:tr w:rsidR="00460AF2" w:rsidRPr="00423FCC" w14:paraId="716A955F" w14:textId="77777777" w:rsidTr="00460AF2">
        <w:trPr>
          <w:trHeight w:val="225"/>
        </w:trPr>
        <w:tc>
          <w:tcPr>
            <w:tcW w:w="1701" w:type="dxa"/>
            <w:vMerge/>
            <w:shd w:val="clear" w:color="auto" w:fill="DBE5F1"/>
            <w:noWrap/>
            <w:hideMark/>
          </w:tcPr>
          <w:p w14:paraId="43603EB3"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14:paraId="5E522D78"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Financial</w:t>
            </w:r>
          </w:p>
        </w:tc>
        <w:tc>
          <w:tcPr>
            <w:tcW w:w="3402" w:type="dxa"/>
            <w:shd w:val="clear" w:color="auto" w:fill="DBE5F1"/>
            <w:noWrap/>
            <w:hideMark/>
          </w:tcPr>
          <w:p w14:paraId="11A749A3" w14:textId="77777777" w:rsidR="005D1BE7" w:rsidRPr="004D19B4" w:rsidRDefault="00D6013E" w:rsidP="004D19B4">
            <w:pPr>
              <w:pStyle w:val="ListParagraph"/>
              <w:numPr>
                <w:ilvl w:val="0"/>
                <w:numId w:val="48"/>
              </w:numPr>
              <w:spacing w:after="0" w:line="240" w:lineRule="auto"/>
              <w:ind w:left="346"/>
              <w:rPr>
                <w:sz w:val="20"/>
                <w:szCs w:val="20"/>
              </w:rPr>
            </w:pPr>
            <w:r w:rsidRPr="004D19B4">
              <w:rPr>
                <w:sz w:val="20"/>
                <w:szCs w:val="20"/>
              </w:rPr>
              <w:t>Budget</w:t>
            </w:r>
          </w:p>
        </w:tc>
        <w:tc>
          <w:tcPr>
            <w:tcW w:w="6520" w:type="dxa"/>
            <w:shd w:val="clear" w:color="auto" w:fill="DBE5F1"/>
          </w:tcPr>
          <w:p w14:paraId="59C09B0D"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4D091B56" w14:textId="77777777" w:rsidR="005D1BE7" w:rsidRPr="00423FCC" w:rsidRDefault="005D1BE7" w:rsidP="00BB68EC">
            <w:pPr>
              <w:spacing w:after="0" w:line="240" w:lineRule="auto"/>
              <w:rPr>
                <w:sz w:val="20"/>
                <w:szCs w:val="20"/>
              </w:rPr>
            </w:pPr>
            <w:r>
              <w:rPr>
                <w:sz w:val="20"/>
                <w:szCs w:val="20"/>
              </w:rPr>
              <w:t>3.25%</w:t>
            </w:r>
          </w:p>
        </w:tc>
      </w:tr>
      <w:tr w:rsidR="00460AF2" w:rsidRPr="00423FCC" w14:paraId="7F43882F" w14:textId="77777777" w:rsidTr="00460AF2">
        <w:trPr>
          <w:trHeight w:val="225"/>
        </w:trPr>
        <w:tc>
          <w:tcPr>
            <w:tcW w:w="1701" w:type="dxa"/>
            <w:vMerge/>
            <w:shd w:val="clear" w:color="auto" w:fill="DBE5F1"/>
            <w:noWrap/>
            <w:hideMark/>
          </w:tcPr>
          <w:p w14:paraId="20F14344"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62AE54F4"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54FDF8E5"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Commitments</w:t>
            </w:r>
          </w:p>
        </w:tc>
        <w:tc>
          <w:tcPr>
            <w:tcW w:w="6520" w:type="dxa"/>
            <w:shd w:val="clear" w:color="auto" w:fill="DBE5F1"/>
          </w:tcPr>
          <w:p w14:paraId="2E424461"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3F461940" w14:textId="77777777" w:rsidR="005D1BE7" w:rsidRPr="0091214C" w:rsidRDefault="005D1BE7" w:rsidP="00BB68EC">
            <w:pPr>
              <w:spacing w:after="0" w:line="240" w:lineRule="auto"/>
              <w:rPr>
                <w:sz w:val="20"/>
                <w:szCs w:val="20"/>
              </w:rPr>
            </w:pPr>
            <w:r w:rsidRPr="00B44C74">
              <w:rPr>
                <w:sz w:val="20"/>
                <w:szCs w:val="20"/>
              </w:rPr>
              <w:t>3.25%</w:t>
            </w:r>
          </w:p>
        </w:tc>
      </w:tr>
      <w:tr w:rsidR="00460AF2" w:rsidRPr="00423FCC" w14:paraId="77D7838D" w14:textId="77777777" w:rsidTr="00460AF2">
        <w:trPr>
          <w:trHeight w:val="225"/>
        </w:trPr>
        <w:tc>
          <w:tcPr>
            <w:tcW w:w="1701" w:type="dxa"/>
            <w:vMerge/>
            <w:shd w:val="clear" w:color="auto" w:fill="DBE5F1"/>
            <w:noWrap/>
            <w:hideMark/>
          </w:tcPr>
          <w:p w14:paraId="5CCC6E68"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29B46506"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08945779"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Disbursements &amp;</w:t>
            </w:r>
            <w:r w:rsidR="00345D43">
              <w:rPr>
                <w:sz w:val="20"/>
                <w:szCs w:val="20"/>
              </w:rPr>
              <w:t xml:space="preserve"> </w:t>
            </w:r>
            <w:r w:rsidRPr="004D19B4">
              <w:rPr>
                <w:sz w:val="20"/>
                <w:szCs w:val="20"/>
              </w:rPr>
              <w:t>expenditures</w:t>
            </w:r>
          </w:p>
        </w:tc>
        <w:tc>
          <w:tcPr>
            <w:tcW w:w="6520" w:type="dxa"/>
            <w:shd w:val="clear" w:color="auto" w:fill="DBE5F1"/>
          </w:tcPr>
          <w:p w14:paraId="3DEC6A97"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31C1EE16" w14:textId="77777777" w:rsidR="005D1BE7" w:rsidRPr="0091214C" w:rsidRDefault="005D1BE7" w:rsidP="00BB68EC">
            <w:pPr>
              <w:spacing w:after="0" w:line="240" w:lineRule="auto"/>
              <w:rPr>
                <w:sz w:val="20"/>
                <w:szCs w:val="20"/>
              </w:rPr>
            </w:pPr>
            <w:r w:rsidRPr="00B44C74">
              <w:rPr>
                <w:sz w:val="20"/>
                <w:szCs w:val="20"/>
              </w:rPr>
              <w:t>3.25%</w:t>
            </w:r>
          </w:p>
        </w:tc>
      </w:tr>
      <w:tr w:rsidR="00460AF2" w:rsidRPr="00423FCC" w14:paraId="63B2A085" w14:textId="77777777" w:rsidTr="00460AF2">
        <w:trPr>
          <w:trHeight w:val="225"/>
        </w:trPr>
        <w:tc>
          <w:tcPr>
            <w:tcW w:w="1701" w:type="dxa"/>
            <w:vMerge/>
            <w:shd w:val="clear" w:color="auto" w:fill="DBE5F1"/>
            <w:noWrap/>
            <w:hideMark/>
          </w:tcPr>
          <w:p w14:paraId="21DEB5F4"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77F723AF"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5F20ECCE"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Budget ID</w:t>
            </w:r>
          </w:p>
        </w:tc>
        <w:tc>
          <w:tcPr>
            <w:tcW w:w="6520" w:type="dxa"/>
            <w:shd w:val="clear" w:color="auto" w:fill="DBE5F1"/>
          </w:tcPr>
          <w:p w14:paraId="0D297AF9"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0B5F57A9" w14:textId="77777777" w:rsidR="005D1BE7" w:rsidRPr="0091214C" w:rsidRDefault="005D1BE7" w:rsidP="00BB68EC">
            <w:pPr>
              <w:spacing w:after="0" w:line="240" w:lineRule="auto"/>
              <w:rPr>
                <w:sz w:val="20"/>
                <w:szCs w:val="20"/>
              </w:rPr>
            </w:pPr>
            <w:r w:rsidRPr="00B44C74">
              <w:rPr>
                <w:sz w:val="20"/>
                <w:szCs w:val="20"/>
              </w:rPr>
              <w:t>3.25%</w:t>
            </w:r>
          </w:p>
        </w:tc>
      </w:tr>
      <w:tr w:rsidR="00460AF2" w:rsidRPr="00423FCC" w14:paraId="3132641E" w14:textId="77777777" w:rsidTr="00460AF2">
        <w:trPr>
          <w:trHeight w:val="225"/>
        </w:trPr>
        <w:tc>
          <w:tcPr>
            <w:tcW w:w="1701" w:type="dxa"/>
            <w:vMerge/>
            <w:shd w:val="clear" w:color="auto" w:fill="DBE5F1"/>
            <w:noWrap/>
            <w:hideMark/>
          </w:tcPr>
          <w:p w14:paraId="56C4FC03"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14:paraId="5E04D5EE" w14:textId="77777777"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Performance</w:t>
            </w:r>
          </w:p>
        </w:tc>
        <w:tc>
          <w:tcPr>
            <w:tcW w:w="3402" w:type="dxa"/>
            <w:shd w:val="clear" w:color="auto" w:fill="DBE5F1"/>
            <w:noWrap/>
            <w:hideMark/>
          </w:tcPr>
          <w:p w14:paraId="7A8FF94D"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Results</w:t>
            </w:r>
          </w:p>
        </w:tc>
        <w:tc>
          <w:tcPr>
            <w:tcW w:w="6520" w:type="dxa"/>
            <w:shd w:val="clear" w:color="auto" w:fill="DBE5F1"/>
          </w:tcPr>
          <w:p w14:paraId="005C0A1E" w14:textId="77777777"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14:paraId="65FCE036" w14:textId="77777777" w:rsidR="005D1BE7" w:rsidRPr="00423FCC" w:rsidRDefault="005D1BE7" w:rsidP="00BB68EC">
            <w:pPr>
              <w:spacing w:after="0" w:line="240" w:lineRule="auto"/>
              <w:rPr>
                <w:sz w:val="20"/>
                <w:szCs w:val="20"/>
              </w:rPr>
            </w:pPr>
            <w:r>
              <w:rPr>
                <w:sz w:val="20"/>
                <w:szCs w:val="20"/>
              </w:rPr>
              <w:t>4.33%</w:t>
            </w:r>
          </w:p>
        </w:tc>
      </w:tr>
      <w:tr w:rsidR="00460AF2" w:rsidRPr="00423FCC" w14:paraId="62752B76" w14:textId="77777777" w:rsidTr="00460AF2">
        <w:trPr>
          <w:trHeight w:val="225"/>
        </w:trPr>
        <w:tc>
          <w:tcPr>
            <w:tcW w:w="1701" w:type="dxa"/>
            <w:vMerge/>
            <w:shd w:val="clear" w:color="auto" w:fill="DBE5F1"/>
            <w:noWrap/>
            <w:hideMark/>
          </w:tcPr>
          <w:p w14:paraId="7537955B"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7069C8AE"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2544A889"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Impact appraisals</w:t>
            </w:r>
          </w:p>
        </w:tc>
        <w:tc>
          <w:tcPr>
            <w:tcW w:w="6520" w:type="dxa"/>
            <w:shd w:val="clear" w:color="auto" w:fill="DBE5F1"/>
          </w:tcPr>
          <w:p w14:paraId="560243D8"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2FF19886" w14:textId="77777777" w:rsidR="005D1BE7" w:rsidRPr="00423FCC" w:rsidRDefault="005D1BE7" w:rsidP="00BB68EC">
            <w:pPr>
              <w:spacing w:after="0" w:line="240" w:lineRule="auto"/>
              <w:rPr>
                <w:sz w:val="20"/>
                <w:szCs w:val="20"/>
              </w:rPr>
            </w:pPr>
            <w:r>
              <w:rPr>
                <w:sz w:val="20"/>
                <w:szCs w:val="20"/>
              </w:rPr>
              <w:t>4.33%</w:t>
            </w:r>
          </w:p>
        </w:tc>
      </w:tr>
      <w:tr w:rsidR="00460AF2" w:rsidRPr="00423FCC" w14:paraId="3302656E" w14:textId="77777777" w:rsidTr="00460AF2">
        <w:trPr>
          <w:trHeight w:val="225"/>
        </w:trPr>
        <w:tc>
          <w:tcPr>
            <w:tcW w:w="1701" w:type="dxa"/>
            <w:vMerge/>
            <w:shd w:val="clear" w:color="auto" w:fill="DBE5F1"/>
            <w:noWrap/>
            <w:hideMark/>
          </w:tcPr>
          <w:p w14:paraId="44114574" w14:textId="77777777"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14:paraId="65A24915" w14:textId="77777777"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14:paraId="1DDA9195" w14:textId="77777777"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Conditions</w:t>
            </w:r>
          </w:p>
        </w:tc>
        <w:tc>
          <w:tcPr>
            <w:tcW w:w="6520" w:type="dxa"/>
            <w:shd w:val="clear" w:color="auto" w:fill="DBE5F1"/>
          </w:tcPr>
          <w:p w14:paraId="650FCAA2" w14:textId="77777777"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14:paraId="29DD89F6" w14:textId="77777777" w:rsidR="005D1BE7" w:rsidRPr="00423FCC" w:rsidRDefault="005D1BE7" w:rsidP="00BB68EC">
            <w:pPr>
              <w:spacing w:after="0" w:line="240" w:lineRule="auto"/>
              <w:rPr>
                <w:sz w:val="20"/>
                <w:szCs w:val="20"/>
              </w:rPr>
            </w:pPr>
            <w:r>
              <w:rPr>
                <w:sz w:val="20"/>
                <w:szCs w:val="20"/>
              </w:rPr>
              <w:t>4.33%</w:t>
            </w:r>
          </w:p>
        </w:tc>
      </w:tr>
    </w:tbl>
    <w:p w14:paraId="7DF9F63D" w14:textId="77777777" w:rsidR="00FE2E28" w:rsidRPr="00423FCC" w:rsidRDefault="00FE2E28" w:rsidP="00935A49">
      <w:pPr>
        <w:spacing w:after="0" w:line="240" w:lineRule="auto"/>
        <w:contextualSpacing/>
        <w:rPr>
          <w:b/>
        </w:rPr>
      </w:pPr>
    </w:p>
    <w:p w14:paraId="796874B9" w14:textId="77777777" w:rsidR="00913ED9" w:rsidRPr="00423FCC" w:rsidRDefault="00913ED9" w:rsidP="00935A49">
      <w:pPr>
        <w:spacing w:after="0" w:line="240" w:lineRule="auto"/>
        <w:contextualSpacing/>
        <w:rPr>
          <w:color w:val="FF0000"/>
        </w:rPr>
      </w:pPr>
    </w:p>
    <w:p w14:paraId="3752D312" w14:textId="77777777" w:rsidR="008B5E33" w:rsidRDefault="008B5E33">
      <w:pPr>
        <w:rPr>
          <w:rFonts w:asciiTheme="majorHAnsi" w:eastAsiaTheme="majorEastAsia" w:hAnsiTheme="majorHAnsi" w:cstheme="majorBidi"/>
          <w:b/>
          <w:bCs/>
          <w:color w:val="365F91" w:themeColor="accent1" w:themeShade="BF"/>
          <w:sz w:val="36"/>
          <w:szCs w:val="28"/>
        </w:rPr>
      </w:pPr>
      <w:r>
        <w:rPr>
          <w:sz w:val="36"/>
        </w:rPr>
        <w:br w:type="page"/>
      </w:r>
    </w:p>
    <w:p w14:paraId="7F7828BC" w14:textId="77777777" w:rsidR="003B3906" w:rsidRPr="000445AB" w:rsidRDefault="00F95552" w:rsidP="00F95552">
      <w:pPr>
        <w:pStyle w:val="Heading1"/>
        <w:pBdr>
          <w:bottom w:val="single" w:sz="4" w:space="1" w:color="auto"/>
        </w:pBdr>
        <w:spacing w:before="0" w:line="240" w:lineRule="auto"/>
        <w:rPr>
          <w:sz w:val="36"/>
        </w:rPr>
      </w:pPr>
      <w:bookmarkStart w:id="14" w:name="_Toc416100913"/>
      <w:r>
        <w:rPr>
          <w:sz w:val="36"/>
        </w:rPr>
        <w:t xml:space="preserve">Section 4. </w:t>
      </w:r>
      <w:r w:rsidR="00FD2C62" w:rsidRPr="000445AB">
        <w:rPr>
          <w:sz w:val="36"/>
        </w:rPr>
        <w:t>Data collection</w:t>
      </w:r>
      <w:bookmarkEnd w:id="14"/>
    </w:p>
    <w:p w14:paraId="3FBFB446" w14:textId="77777777" w:rsidR="00C9490D" w:rsidRDefault="00C9490D" w:rsidP="00935A49">
      <w:pPr>
        <w:pStyle w:val="Heading4"/>
        <w:spacing w:before="0" w:line="240" w:lineRule="auto"/>
        <w:rPr>
          <w:rFonts w:asciiTheme="minorHAnsi" w:hAnsiTheme="minorHAnsi"/>
        </w:rPr>
      </w:pPr>
    </w:p>
    <w:p w14:paraId="3873C490" w14:textId="77777777" w:rsidR="00061A20" w:rsidRPr="00553543" w:rsidRDefault="00040928" w:rsidP="00935A49">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The Aid Transparency Tracker</w:t>
      </w:r>
    </w:p>
    <w:p w14:paraId="4C4887B4" w14:textId="77777777" w:rsidR="00553543" w:rsidRDefault="00553543" w:rsidP="00935A49">
      <w:pPr>
        <w:spacing w:after="0" w:line="240" w:lineRule="auto"/>
      </w:pPr>
    </w:p>
    <w:p w14:paraId="158AD17F" w14:textId="5EBB7FEF" w:rsidR="00160BB5" w:rsidRPr="00423FCC" w:rsidRDefault="00460AF2" w:rsidP="00935A49">
      <w:pPr>
        <w:spacing w:after="0" w:line="240" w:lineRule="auto"/>
        <w:rPr>
          <w:rFonts w:cstheme="minorHAnsi"/>
          <w:color w:val="000000"/>
        </w:rPr>
      </w:pPr>
      <w:r>
        <w:t>An online platform</w:t>
      </w:r>
      <w:r w:rsidR="00FD2C62" w:rsidRPr="00423FCC">
        <w:t xml:space="preserve">, the </w:t>
      </w:r>
      <w:hyperlink r:id="rId16" w:history="1">
        <w:r w:rsidR="00FD2C62" w:rsidRPr="00423FCC">
          <w:rPr>
            <w:rStyle w:val="Hyperlink"/>
            <w:rFonts w:cstheme="minorBidi"/>
          </w:rPr>
          <w:t>Aid Transparency Tracker</w:t>
        </w:r>
      </w:hyperlink>
      <w:r w:rsidR="00FD2C62" w:rsidRPr="00423FCC">
        <w:t xml:space="preserve">, </w:t>
      </w:r>
      <w:r>
        <w:t xml:space="preserve">is used </w:t>
      </w:r>
      <w:r w:rsidR="00FD2C62" w:rsidRPr="00423FCC">
        <w:t xml:space="preserve">to collect and share the data included in the </w:t>
      </w:r>
      <w:r w:rsidR="002E390B">
        <w:t>Index</w:t>
      </w:r>
      <w:r w:rsidR="00FD2C62" w:rsidRPr="00423FCC">
        <w:t>.</w:t>
      </w:r>
      <w:r w:rsidR="00FD2C62" w:rsidRPr="00423FCC">
        <w:rPr>
          <w:rStyle w:val="FootnoteReference"/>
        </w:rPr>
        <w:footnoteReference w:id="9"/>
      </w:r>
      <w:r w:rsidR="00FD2C62" w:rsidRPr="00423FCC">
        <w:t xml:space="preserve"> </w:t>
      </w:r>
      <w:r w:rsidR="00FD2C62" w:rsidRPr="00423FCC">
        <w:rPr>
          <w:rFonts w:cstheme="minorHAnsi"/>
          <w:color w:val="000000"/>
        </w:rPr>
        <w:t xml:space="preserve">The </w:t>
      </w:r>
      <w:r w:rsidR="00FD2C62" w:rsidRPr="00423FCC">
        <w:rPr>
          <w:rFonts w:cstheme="minorHAnsi"/>
        </w:rPr>
        <w:t>Tracker</w:t>
      </w:r>
      <w:r w:rsidR="00FD2C62" w:rsidRPr="00423FCC">
        <w:rPr>
          <w:rFonts w:cstheme="minorHAnsi"/>
          <w:color w:val="000000"/>
        </w:rPr>
        <w:t xml:space="preserve"> is </w:t>
      </w:r>
      <w:r>
        <w:rPr>
          <w:rFonts w:cstheme="minorHAnsi"/>
          <w:color w:val="000000"/>
        </w:rPr>
        <w:t>used</w:t>
      </w:r>
      <w:r w:rsidR="00DD3C4D" w:rsidRPr="00423FCC">
        <w:rPr>
          <w:rFonts w:cstheme="minorHAnsi"/>
          <w:color w:val="000000"/>
        </w:rPr>
        <w:t xml:space="preserve"> </w:t>
      </w:r>
      <w:r w:rsidR="00DD3C4D" w:rsidRPr="00423FCC">
        <w:rPr>
          <w:rFonts w:eastAsia="Times New Roman" w:cs="Arial"/>
          <w:color w:val="222222"/>
          <w:lang w:val="en-SG" w:eastAsia="en-SG"/>
        </w:rPr>
        <w:t>to monitor progress made by organisations in making their aid information more transparent</w:t>
      </w:r>
      <w:r w:rsidR="00C34B56" w:rsidRPr="00423FCC">
        <w:rPr>
          <w:rFonts w:cstheme="minorHAnsi"/>
          <w:color w:val="000000"/>
        </w:rPr>
        <w:t>.</w:t>
      </w:r>
      <w:r w:rsidR="00863863">
        <w:rPr>
          <w:rFonts w:cstheme="minorHAnsi"/>
          <w:color w:val="000000"/>
        </w:rPr>
        <w:t xml:space="preserve"> It</w:t>
      </w:r>
      <w:r w:rsidR="00FD2C62" w:rsidRPr="00423FCC">
        <w:rPr>
          <w:rFonts w:cstheme="minorHAnsi"/>
          <w:color w:val="000000"/>
        </w:rPr>
        <w:t xml:space="preserve"> includes three components</w:t>
      </w:r>
      <w:r w:rsidR="00160BB5" w:rsidRPr="00423FCC">
        <w:rPr>
          <w:rFonts w:cstheme="minorHAnsi"/>
          <w:color w:val="000000"/>
        </w:rPr>
        <w:t>:</w:t>
      </w:r>
    </w:p>
    <w:p w14:paraId="0993A518" w14:textId="77777777" w:rsidR="00160BB5" w:rsidRPr="00423FCC" w:rsidRDefault="00655993" w:rsidP="00935A49">
      <w:pPr>
        <w:pStyle w:val="ListParagraph"/>
        <w:numPr>
          <w:ilvl w:val="0"/>
          <w:numId w:val="10"/>
        </w:numPr>
        <w:spacing w:after="0" w:line="240" w:lineRule="auto"/>
        <w:rPr>
          <w:rFonts w:cstheme="minorHAnsi"/>
          <w:color w:val="000000"/>
        </w:rPr>
      </w:pPr>
      <w:r>
        <w:rPr>
          <w:rFonts w:cstheme="minorHAnsi"/>
          <w:color w:val="000000"/>
        </w:rPr>
        <w:t>A</w:t>
      </w:r>
      <w:r w:rsidR="00FD2C62" w:rsidRPr="00423FCC">
        <w:rPr>
          <w:rFonts w:cstheme="minorHAnsi"/>
          <w:color w:val="000000"/>
        </w:rPr>
        <w:t xml:space="preserve">n automated </w:t>
      </w:r>
      <w:r w:rsidR="004F5C34" w:rsidRPr="00423FCC">
        <w:rPr>
          <w:rFonts w:cstheme="minorHAnsi"/>
          <w:b/>
          <w:color w:val="000000"/>
        </w:rPr>
        <w:t>data quality assessment tool</w:t>
      </w:r>
      <w:r w:rsidR="004F5C34" w:rsidRPr="00423FCC">
        <w:rPr>
          <w:rFonts w:cstheme="minorHAnsi"/>
          <w:color w:val="000000"/>
        </w:rPr>
        <w:t xml:space="preserve"> </w:t>
      </w:r>
      <w:r w:rsidR="004F5C34" w:rsidRPr="00423FCC">
        <w:rPr>
          <w:rFonts w:eastAsia="Times New Roman" w:cs="Arial"/>
          <w:color w:val="222222"/>
          <w:lang w:eastAsia="en-SG"/>
        </w:rPr>
        <w:t xml:space="preserve">which assesses the quality </w:t>
      </w:r>
      <w:r>
        <w:rPr>
          <w:rFonts w:eastAsia="Times New Roman" w:cs="Arial"/>
          <w:color w:val="222222"/>
          <w:lang w:eastAsia="en-SG"/>
        </w:rPr>
        <w:t xml:space="preserve">of data being published </w:t>
      </w:r>
      <w:r w:rsidR="00460AF2">
        <w:rPr>
          <w:rFonts w:eastAsia="Times New Roman" w:cs="Arial"/>
          <w:color w:val="222222"/>
          <w:lang w:eastAsia="en-SG"/>
        </w:rPr>
        <w:t>to the IATI Registry</w:t>
      </w:r>
      <w:r>
        <w:rPr>
          <w:rFonts w:eastAsia="Times New Roman" w:cs="Arial"/>
          <w:color w:val="222222"/>
          <w:lang w:eastAsia="en-SG"/>
        </w:rPr>
        <w:t>.</w:t>
      </w:r>
    </w:p>
    <w:p w14:paraId="003146CA" w14:textId="43ADC891" w:rsidR="00D339E7" w:rsidRPr="00423FCC" w:rsidRDefault="00655993" w:rsidP="00935A49">
      <w:pPr>
        <w:pStyle w:val="ListParagraph"/>
        <w:numPr>
          <w:ilvl w:val="0"/>
          <w:numId w:val="10"/>
        </w:numPr>
        <w:spacing w:after="0" w:line="240" w:lineRule="auto"/>
        <w:rPr>
          <w:rFonts w:cstheme="minorHAnsi"/>
          <w:color w:val="000000"/>
          <w:lang w:val="en-SG"/>
        </w:rPr>
      </w:pPr>
      <w:r>
        <w:rPr>
          <w:rFonts w:cstheme="minorHAnsi"/>
          <w:color w:val="000000"/>
        </w:rPr>
        <w:t>A</w:t>
      </w:r>
      <w:r w:rsidR="00FD2C62" w:rsidRPr="00423FCC">
        <w:rPr>
          <w:rFonts w:cstheme="minorHAnsi"/>
          <w:color w:val="000000"/>
        </w:rPr>
        <w:t xml:space="preserve">n online </w:t>
      </w:r>
      <w:r w:rsidR="00FD2C62" w:rsidRPr="00423FCC">
        <w:rPr>
          <w:rFonts w:cstheme="minorHAnsi"/>
          <w:b/>
          <w:color w:val="000000"/>
        </w:rPr>
        <w:t>survey</w:t>
      </w:r>
      <w:r w:rsidR="00D339E7" w:rsidRPr="00423FCC">
        <w:rPr>
          <w:rFonts w:cstheme="minorHAnsi"/>
          <w:color w:val="000000"/>
        </w:rPr>
        <w:t xml:space="preserve"> tool</w:t>
      </w:r>
      <w:r w:rsidR="00FD2C62" w:rsidRPr="00423FCC">
        <w:rPr>
          <w:rFonts w:cstheme="minorHAnsi"/>
          <w:color w:val="000000"/>
        </w:rPr>
        <w:t xml:space="preserve"> </w:t>
      </w:r>
      <w:r w:rsidR="00D339E7" w:rsidRPr="00423FCC">
        <w:rPr>
          <w:rFonts w:cstheme="minorHAnsi"/>
          <w:color w:val="000000"/>
        </w:rPr>
        <w:t>which assesses aid information published by organisati</w:t>
      </w:r>
      <w:r>
        <w:rPr>
          <w:rFonts w:cstheme="minorHAnsi"/>
          <w:color w:val="000000"/>
        </w:rPr>
        <w:t xml:space="preserve">ons, in formats other than IATI </w:t>
      </w:r>
      <w:r w:rsidR="00D339E7" w:rsidRPr="00423FCC">
        <w:rPr>
          <w:rFonts w:cstheme="minorHAnsi"/>
          <w:color w:val="000000"/>
        </w:rPr>
        <w:t xml:space="preserve">XML, based on survey data collected manually for the </w:t>
      </w:r>
      <w:r w:rsidR="00D233EF">
        <w:rPr>
          <w:rFonts w:cstheme="minorHAnsi"/>
          <w:color w:val="000000"/>
        </w:rPr>
        <w:t>Index</w:t>
      </w:r>
      <w:r w:rsidR="00B94B03">
        <w:rPr>
          <w:rFonts w:cstheme="minorHAnsi"/>
          <w:color w:val="000000"/>
        </w:rPr>
        <w:t>.</w:t>
      </w:r>
    </w:p>
    <w:p w14:paraId="7D756847" w14:textId="77777777" w:rsidR="00160BB5" w:rsidRPr="00423FCC" w:rsidRDefault="00655993" w:rsidP="00935A49">
      <w:pPr>
        <w:pStyle w:val="ListParagraph"/>
        <w:numPr>
          <w:ilvl w:val="0"/>
          <w:numId w:val="10"/>
        </w:numPr>
        <w:spacing w:after="0" w:line="240" w:lineRule="auto"/>
        <w:rPr>
          <w:rFonts w:cstheme="minorHAnsi"/>
          <w:color w:val="000000"/>
        </w:rPr>
      </w:pPr>
      <w:r>
        <w:rPr>
          <w:rFonts w:cstheme="minorHAnsi"/>
          <w:color w:val="000000"/>
        </w:rPr>
        <w:t>A</w:t>
      </w:r>
      <w:r w:rsidR="00FD2C62" w:rsidRPr="00423FCC">
        <w:rPr>
          <w:rFonts w:cstheme="minorHAnsi"/>
          <w:color w:val="000000"/>
        </w:rPr>
        <w:t>n</w:t>
      </w:r>
      <w:r w:rsidR="00D339E7" w:rsidRPr="00423FCC">
        <w:rPr>
          <w:rFonts w:cstheme="minorHAnsi"/>
          <w:color w:val="000000"/>
        </w:rPr>
        <w:t xml:space="preserve"> </w:t>
      </w:r>
      <w:r w:rsidR="00D339E7" w:rsidRPr="00655993">
        <w:rPr>
          <w:rFonts w:cstheme="minorHAnsi"/>
          <w:b/>
          <w:color w:val="000000"/>
        </w:rPr>
        <w:t>implementation schedules tool</w:t>
      </w:r>
      <w:r>
        <w:rPr>
          <w:rFonts w:cstheme="minorHAnsi"/>
          <w:color w:val="000000"/>
        </w:rPr>
        <w:t xml:space="preserve"> which assesses all IATI/common s</w:t>
      </w:r>
      <w:r w:rsidR="00D339E7" w:rsidRPr="00423FCC">
        <w:rPr>
          <w:rFonts w:cstheme="minorHAnsi"/>
          <w:color w:val="000000"/>
        </w:rPr>
        <w:t xml:space="preserve">tandard schedules published to date by organisations as part of their commitment to publish aid information to a common standard by the end of 2015. </w:t>
      </w:r>
    </w:p>
    <w:p w14:paraId="1C2E7524" w14:textId="77777777" w:rsidR="00C9490D" w:rsidRDefault="00C9490D" w:rsidP="00935A49">
      <w:pPr>
        <w:spacing w:after="0" w:line="240" w:lineRule="auto"/>
      </w:pPr>
    </w:p>
    <w:p w14:paraId="3D50A5FE" w14:textId="3D2F5FB1" w:rsidR="00061A20" w:rsidRPr="00423FCC" w:rsidRDefault="00FD2C62" w:rsidP="00935A49">
      <w:pPr>
        <w:spacing w:after="0" w:line="240" w:lineRule="auto"/>
      </w:pPr>
      <w:r w:rsidRPr="00423FCC">
        <w:t>The Tracker highlights what information donor</w:t>
      </w:r>
      <w:r w:rsidR="00460AF2">
        <w:t xml:space="preserve"> organisation</w:t>
      </w:r>
      <w:r w:rsidRPr="00423FCC">
        <w:t>s have committed to publish in their implementation schedules, as well as what</w:t>
      </w:r>
      <w:r w:rsidR="00B915D6" w:rsidRPr="00423FCC">
        <w:t xml:space="preserve"> they are currently publishing.</w:t>
      </w:r>
      <w:r w:rsidR="00D339E7" w:rsidRPr="00423FCC">
        <w:t xml:space="preserve"> While the analysis derived from all three tools feeds into the </w:t>
      </w:r>
      <w:r w:rsidR="002E390B">
        <w:t>Index</w:t>
      </w:r>
      <w:r w:rsidR="00D339E7" w:rsidRPr="00423FCC">
        <w:t xml:space="preserve">, the implementation schedules tool and the data quality tool are designed to be ‘living tools’ that continue to monitor and reflect changes in organisations’ plans or publication beyond </w:t>
      </w:r>
      <w:r w:rsidR="008C2431">
        <w:t>period assessment</w:t>
      </w:r>
      <w:r w:rsidR="00D339E7" w:rsidRPr="00423FCC">
        <w:t xml:space="preserve"> process</w:t>
      </w:r>
      <w:r w:rsidR="008C2431">
        <w:t>es</w:t>
      </w:r>
      <w:r w:rsidR="00D339E7" w:rsidRPr="00423FCC">
        <w:t>.</w:t>
      </w:r>
      <w:r w:rsidR="0085148D" w:rsidRPr="00423FCC">
        <w:t xml:space="preserve"> For more details on each of these tools, visit: </w:t>
      </w:r>
      <w:hyperlink r:id="rId17" w:history="1">
        <w:r w:rsidR="00BD0891" w:rsidRPr="00640364">
          <w:rPr>
            <w:rStyle w:val="Hyperlink"/>
            <w:rFonts w:cstheme="minorBidi"/>
          </w:rPr>
          <w:t>http://tracker.publishwhatyoufund.org</w:t>
        </w:r>
      </w:hyperlink>
      <w:r w:rsidR="00BD0891">
        <w:t xml:space="preserve"> </w:t>
      </w:r>
    </w:p>
    <w:p w14:paraId="59FCD8CA" w14:textId="77777777" w:rsidR="00553543" w:rsidRDefault="00553543" w:rsidP="00935A49">
      <w:pPr>
        <w:pStyle w:val="Heading4"/>
        <w:spacing w:before="0" w:line="240" w:lineRule="auto"/>
        <w:rPr>
          <w:rFonts w:asciiTheme="minorHAnsi" w:hAnsiTheme="minorHAnsi"/>
        </w:rPr>
      </w:pPr>
    </w:p>
    <w:p w14:paraId="54159D37" w14:textId="77777777" w:rsidR="00061A20" w:rsidRPr="007D3871" w:rsidRDefault="00061A20" w:rsidP="00935A49">
      <w:pPr>
        <w:pStyle w:val="Heading4"/>
        <w:spacing w:before="0" w:line="240" w:lineRule="auto"/>
        <w:rPr>
          <w:rFonts w:ascii="Cambria" w:eastAsia="Calibri" w:hAnsi="Cambria" w:cs="Times New Roman"/>
          <w:i w:val="0"/>
          <w:iCs w:val="0"/>
          <w:color w:val="4F81BD"/>
          <w:sz w:val="28"/>
          <w:szCs w:val="26"/>
        </w:rPr>
      </w:pPr>
      <w:r w:rsidRPr="007D3871">
        <w:rPr>
          <w:rFonts w:ascii="Cambria" w:eastAsia="Calibri" w:hAnsi="Cambria" w:cs="Times New Roman"/>
          <w:i w:val="0"/>
          <w:iCs w:val="0"/>
          <w:color w:val="4F81BD"/>
          <w:sz w:val="28"/>
          <w:szCs w:val="26"/>
        </w:rPr>
        <w:t>Data sources</w:t>
      </w:r>
    </w:p>
    <w:p w14:paraId="5C3D2D08" w14:textId="77777777" w:rsidR="007D3871" w:rsidRDefault="007D3871" w:rsidP="00935A49">
      <w:pPr>
        <w:spacing w:after="0" w:line="240" w:lineRule="auto"/>
        <w:rPr>
          <w:rFonts w:cstheme="minorHAnsi"/>
          <w:color w:val="000000"/>
        </w:rPr>
      </w:pPr>
    </w:p>
    <w:p w14:paraId="31F574E2" w14:textId="336DBF57" w:rsidR="00655993" w:rsidRDefault="00FD2C62" w:rsidP="00935A49">
      <w:pPr>
        <w:spacing w:after="0" w:line="240" w:lineRule="auto"/>
        <w:rPr>
          <w:color w:val="000000"/>
        </w:rPr>
      </w:pPr>
      <w:r w:rsidRPr="00423FCC">
        <w:rPr>
          <w:rFonts w:cstheme="minorHAnsi"/>
          <w:color w:val="000000"/>
        </w:rPr>
        <w:t xml:space="preserve">Most information included in the </w:t>
      </w:r>
      <w:r w:rsidR="002E390B">
        <w:rPr>
          <w:rFonts w:cstheme="minorHAnsi"/>
          <w:color w:val="000000"/>
        </w:rPr>
        <w:t>Index</w:t>
      </w:r>
      <w:r w:rsidRPr="00423FCC">
        <w:rPr>
          <w:rFonts w:cstheme="minorHAnsi"/>
          <w:color w:val="000000"/>
        </w:rPr>
        <w:t xml:space="preserve"> is gathered from what is published online by each organisa</w:t>
      </w:r>
      <w:r w:rsidR="00691CE4" w:rsidRPr="00423FCC">
        <w:rPr>
          <w:rFonts w:cstheme="minorHAnsi"/>
          <w:color w:val="000000"/>
        </w:rPr>
        <w:t>tion – either on their website</w:t>
      </w:r>
      <w:r w:rsidRPr="00423FCC">
        <w:rPr>
          <w:rFonts w:cstheme="minorHAnsi"/>
          <w:color w:val="000000"/>
        </w:rPr>
        <w:t xml:space="preserve">, national platforms such as the U.S. Foreign Assistance </w:t>
      </w:r>
      <w:r w:rsidRPr="00655993">
        <w:rPr>
          <w:rFonts w:cstheme="minorHAnsi"/>
          <w:color w:val="000000"/>
        </w:rPr>
        <w:t>Dashboard</w:t>
      </w:r>
      <w:r w:rsidR="00691CE4" w:rsidRPr="00655993">
        <w:rPr>
          <w:rFonts w:cstheme="minorHAnsi"/>
          <w:color w:val="000000"/>
        </w:rPr>
        <w:t xml:space="preserve">, </w:t>
      </w:r>
      <w:r w:rsidRPr="00655993">
        <w:rPr>
          <w:rFonts w:cstheme="minorHAnsi"/>
          <w:color w:val="000000"/>
        </w:rPr>
        <w:t>the OECD common standard website (for implementation schedules)</w:t>
      </w:r>
      <w:r w:rsidR="00691CE4" w:rsidRPr="00655993">
        <w:rPr>
          <w:rFonts w:cstheme="minorHAnsi"/>
          <w:color w:val="000000"/>
        </w:rPr>
        <w:t xml:space="preserve"> or the IATI Registry</w:t>
      </w:r>
      <w:r w:rsidRPr="00655993">
        <w:rPr>
          <w:rFonts w:cstheme="minorHAnsi"/>
          <w:color w:val="000000"/>
        </w:rPr>
        <w:t xml:space="preserve">. One indicator uses a </w:t>
      </w:r>
      <w:r w:rsidR="00DA48C0" w:rsidRPr="00655993">
        <w:rPr>
          <w:rFonts w:cstheme="minorHAnsi"/>
          <w:color w:val="000000"/>
        </w:rPr>
        <w:t>secondary</w:t>
      </w:r>
      <w:r w:rsidRPr="00655993">
        <w:rPr>
          <w:rFonts w:cstheme="minorHAnsi"/>
          <w:color w:val="000000"/>
        </w:rPr>
        <w:t xml:space="preserve"> data source</w:t>
      </w:r>
      <w:r w:rsidR="00655993">
        <w:rPr>
          <w:rFonts w:cstheme="minorHAnsi"/>
          <w:color w:val="000000"/>
        </w:rPr>
        <w:t xml:space="preserve">, the </w:t>
      </w:r>
      <w:r w:rsidR="00655993" w:rsidRPr="00655993">
        <w:rPr>
          <w:rFonts w:cstheme="minorHAnsi"/>
          <w:color w:val="000000"/>
        </w:rPr>
        <w:t>Global Right to Information (RTI) Rating</w:t>
      </w:r>
      <w:r w:rsidR="00655993">
        <w:rPr>
          <w:rFonts w:cstheme="minorHAnsi"/>
          <w:color w:val="000000"/>
        </w:rPr>
        <w:t>,</w:t>
      </w:r>
      <w:r w:rsidRPr="00655993">
        <w:rPr>
          <w:rFonts w:cstheme="minorHAnsi"/>
          <w:color w:val="000000"/>
        </w:rPr>
        <w:t xml:space="preserve"> to assess the quality of Freedom of Information legislation.</w:t>
      </w:r>
      <w:r w:rsidR="00655993" w:rsidRPr="00655993">
        <w:rPr>
          <w:color w:val="000000"/>
        </w:rPr>
        <w:t xml:space="preserve"> </w:t>
      </w:r>
    </w:p>
    <w:p w14:paraId="3091C7F0" w14:textId="77777777" w:rsidR="00655993" w:rsidRDefault="00655993" w:rsidP="00935A49">
      <w:pPr>
        <w:spacing w:after="0" w:line="240" w:lineRule="auto"/>
        <w:rPr>
          <w:color w:val="000000"/>
        </w:rPr>
      </w:pPr>
    </w:p>
    <w:p w14:paraId="63B000C0" w14:textId="64B7B0AD" w:rsidR="00FD2C62" w:rsidRPr="00423FCC" w:rsidRDefault="00655993" w:rsidP="00935A49">
      <w:pPr>
        <w:spacing w:after="0" w:line="240" w:lineRule="auto"/>
        <w:rPr>
          <w:rFonts w:cstheme="minorHAnsi"/>
          <w:color w:val="000000"/>
        </w:rPr>
      </w:pPr>
      <w:r w:rsidRPr="00655993">
        <w:rPr>
          <w:color w:val="000000"/>
        </w:rPr>
        <w:t>T</w:t>
      </w:r>
      <w:r w:rsidRPr="00655993">
        <w:rPr>
          <w:rFonts w:cstheme="minorHAnsi"/>
          <w:color w:val="000000"/>
        </w:rPr>
        <w:t xml:space="preserve">he </w:t>
      </w:r>
      <w:r w:rsidR="007D57C4">
        <w:rPr>
          <w:rFonts w:cstheme="minorHAnsi"/>
          <w:color w:val="000000"/>
        </w:rPr>
        <w:t xml:space="preserve">Global </w:t>
      </w:r>
      <w:r>
        <w:rPr>
          <w:rFonts w:cstheme="minorHAnsi"/>
          <w:color w:val="000000"/>
        </w:rPr>
        <w:t>RTI</w:t>
      </w:r>
      <w:r w:rsidRPr="00655993">
        <w:rPr>
          <w:rFonts w:cstheme="minorHAnsi"/>
          <w:color w:val="000000"/>
        </w:rPr>
        <w:t xml:space="preserve"> Rating </w:t>
      </w:r>
      <w:r w:rsidRPr="00655993">
        <w:t>scores the strength of the legal framework in guaranteeing the right to information in a country. Based on a 61 indicator survey, the legislation is graded on a 150-point scale.</w:t>
      </w:r>
      <w:r>
        <w:rPr>
          <w:rStyle w:val="FootnoteReference"/>
        </w:rPr>
        <w:footnoteReference w:id="10"/>
      </w:r>
      <w:r w:rsidRPr="00655993">
        <w:t xml:space="preserve"> This has been adapted to a three point framework for the </w:t>
      </w:r>
      <w:r w:rsidR="00563C3D">
        <w:t xml:space="preserve">purposes of the </w:t>
      </w:r>
      <w:r w:rsidR="00D233EF">
        <w:t>Index</w:t>
      </w:r>
      <w:r w:rsidRPr="00655993">
        <w:t xml:space="preserve">. A second scale was developed </w:t>
      </w:r>
      <w:r w:rsidR="00460AF2">
        <w:t xml:space="preserve">in 2012 </w:t>
      </w:r>
      <w:r w:rsidRPr="00655993">
        <w:t xml:space="preserve">to score disclosure policies for non-bilaterals. This was guided by the principle that, while non-bilateral donors may not be legally obliged to disclose their information, many of them have disclosure policies and these should be taken into consideration rather than having a data gap or awarding </w:t>
      </w:r>
      <w:r w:rsidRPr="004514D7">
        <w:t>them an a</w:t>
      </w:r>
      <w:r w:rsidR="00B94B03">
        <w:t>verage score for this indicator</w:t>
      </w:r>
      <w:r w:rsidR="00874013" w:rsidRPr="004514D7">
        <w:t xml:space="preserve">. </w:t>
      </w:r>
      <w:r w:rsidR="00B942FD" w:rsidRPr="004514D7">
        <w:t>For more detail</w:t>
      </w:r>
      <w:r w:rsidR="00874013" w:rsidRPr="004514D7">
        <w:t>s</w:t>
      </w:r>
      <w:r w:rsidR="00B942FD" w:rsidRPr="004514D7">
        <w:t xml:space="preserve"> on </w:t>
      </w:r>
      <w:r w:rsidR="00874013" w:rsidRPr="004514D7">
        <w:t xml:space="preserve">the methodology, </w:t>
      </w:r>
      <w:r w:rsidR="00874013" w:rsidRPr="00497C0A">
        <w:t>see</w:t>
      </w:r>
      <w:r w:rsidR="00B942FD" w:rsidRPr="00497C0A">
        <w:t xml:space="preserve"> </w:t>
      </w:r>
      <w:r w:rsidR="006F07C4" w:rsidRPr="00497C0A">
        <w:t>b</w:t>
      </w:r>
      <w:r w:rsidR="00B942FD" w:rsidRPr="00497C0A">
        <w:t xml:space="preserve">ox 2 </w:t>
      </w:r>
      <w:r w:rsidR="00216D75" w:rsidRPr="00497C0A">
        <w:t>on p.</w:t>
      </w:r>
      <w:r w:rsidR="00753425" w:rsidRPr="00497C0A">
        <w:t>1</w:t>
      </w:r>
      <w:r w:rsidR="00F628B5">
        <w:t>8</w:t>
      </w:r>
      <w:r w:rsidR="00B942FD" w:rsidRPr="00497C0A">
        <w:t>.</w:t>
      </w:r>
    </w:p>
    <w:p w14:paraId="7219B949" w14:textId="77777777" w:rsidR="00B942FD" w:rsidRPr="00374B2A" w:rsidRDefault="00B942FD" w:rsidP="00374B2A">
      <w:pPr>
        <w:pStyle w:val="Heading5"/>
        <w:spacing w:before="0" w:line="240" w:lineRule="auto"/>
        <w:rPr>
          <w:rStyle w:val="IntenseEmphasis"/>
          <w:rFonts w:asciiTheme="minorHAnsi" w:hAnsiTheme="minorHAnsi"/>
          <w:i w:val="0"/>
          <w:color w:val="auto"/>
        </w:rPr>
      </w:pPr>
    </w:p>
    <w:p w14:paraId="5FE6292B" w14:textId="77777777" w:rsidR="00863863" w:rsidRDefault="00863863">
      <w:pPr>
        <w:rPr>
          <w:rFonts w:eastAsia="Times New Roman" w:cstheme="majorBidi"/>
          <w:b/>
          <w:bCs/>
          <w:color w:val="4F81BD" w:themeColor="accent1"/>
          <w:lang w:eastAsia="en-GB"/>
        </w:rPr>
      </w:pPr>
      <w:r>
        <w:rPr>
          <w:rFonts w:eastAsia="Times New Roman" w:cstheme="majorBidi"/>
          <w:b/>
          <w:bCs/>
          <w:color w:val="4F81BD" w:themeColor="accent1"/>
          <w:lang w:eastAsia="en-GB"/>
        </w:rPr>
        <w:br w:type="page"/>
      </w:r>
    </w:p>
    <w:p w14:paraId="1BC63602" w14:textId="77777777" w:rsidR="00061A20" w:rsidRPr="00C428DA" w:rsidRDefault="00061A20" w:rsidP="00374B2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IATI XML data and the IATI Registry</w:t>
      </w:r>
    </w:p>
    <w:p w14:paraId="1E12A6F9" w14:textId="31152FBA" w:rsidR="00863863" w:rsidRDefault="00061A20" w:rsidP="00935A49">
      <w:pPr>
        <w:spacing w:after="0" w:line="240" w:lineRule="auto"/>
      </w:pPr>
      <w:r w:rsidRPr="00423FCC">
        <w:t>The IATI Registry is an important component of IATI publication, as it makes data discoverable and easier to access. IATI publishers "register" their IATI XML data, providing links back to the original source data – which remains on donors' own website</w:t>
      </w:r>
      <w:r w:rsidR="00827F1C">
        <w:t xml:space="preserve">s – and other useful metadata. </w:t>
      </w:r>
      <w:r w:rsidR="00753425">
        <w:t>As a result</w:t>
      </w:r>
      <w:r w:rsidR="00BB68EC">
        <w:t xml:space="preserve"> the IATI publication approach </w:t>
      </w:r>
      <w:r w:rsidR="00874013">
        <w:t>is</w:t>
      </w:r>
      <w:r w:rsidR="00BB68EC">
        <w:t xml:space="preserve"> interpreted strictly</w:t>
      </w:r>
      <w:r w:rsidR="00563C3D">
        <w:t xml:space="preserve"> for the </w:t>
      </w:r>
      <w:r w:rsidR="002E390B">
        <w:t>Index</w:t>
      </w:r>
      <w:r w:rsidR="00BB68EC">
        <w:t xml:space="preserve">, </w:t>
      </w:r>
      <w:r w:rsidR="00BB68EC" w:rsidRPr="00587195">
        <w:t>meaning that</w:t>
      </w:r>
      <w:r w:rsidRPr="00587195">
        <w:t xml:space="preserve"> </w:t>
      </w:r>
      <w:r w:rsidR="00DD1AED" w:rsidRPr="00587195">
        <w:t>IATI XML data needs to be available via the IATI Registry for it to be taken into account.</w:t>
      </w:r>
      <w:r w:rsidRPr="00587195">
        <w:t xml:space="preserve"> </w:t>
      </w:r>
      <w:r w:rsidR="00BB68EC" w:rsidRPr="00587195">
        <w:t>IA</w:t>
      </w:r>
      <w:r w:rsidR="00BB68EC" w:rsidRPr="00807CCC">
        <w:t xml:space="preserve">TI XML data that is not on the Registry </w:t>
      </w:r>
      <w:r w:rsidR="00874013">
        <w:t>is</w:t>
      </w:r>
      <w:r w:rsidR="00BB68EC" w:rsidRPr="00807CCC">
        <w:t xml:space="preserve"> scored the same as other machine-readable data.</w:t>
      </w:r>
      <w:r w:rsidR="00A956B1">
        <w:t xml:space="preserve"> </w:t>
      </w:r>
    </w:p>
    <w:p w14:paraId="4C9C536E" w14:textId="77777777" w:rsidR="00874013" w:rsidRDefault="00874013" w:rsidP="00935A49">
      <w:pPr>
        <w:spacing w:after="0" w:line="240" w:lineRule="auto"/>
      </w:pPr>
    </w:p>
    <w:p w14:paraId="24398CE9" w14:textId="77777777" w:rsidR="00863863" w:rsidRPr="00553543" w:rsidRDefault="00863863" w:rsidP="00863863">
      <w:pPr>
        <w:pStyle w:val="Heading4"/>
        <w:spacing w:before="0" w:line="240" w:lineRule="auto"/>
        <w:rPr>
          <w:rFonts w:ascii="Cambria" w:eastAsia="Calibri" w:hAnsi="Cambria" w:cs="Times New Roman"/>
          <w:i w:val="0"/>
          <w:iCs w:val="0"/>
          <w:color w:val="4F81BD"/>
          <w:sz w:val="28"/>
          <w:szCs w:val="26"/>
        </w:rPr>
      </w:pPr>
      <w:r w:rsidRPr="00553543">
        <w:rPr>
          <w:rFonts w:ascii="Cambria" w:eastAsia="Calibri" w:hAnsi="Cambria" w:cs="Times New Roman"/>
          <w:i w:val="0"/>
          <w:iCs w:val="0"/>
          <w:color w:val="4F81BD"/>
          <w:sz w:val="28"/>
          <w:szCs w:val="26"/>
        </w:rPr>
        <w:t>Timeline and process</w:t>
      </w:r>
    </w:p>
    <w:p w14:paraId="4EDF9A57" w14:textId="77777777" w:rsidR="00863863" w:rsidRDefault="00863863" w:rsidP="00863863">
      <w:pPr>
        <w:pStyle w:val="ListBullet"/>
        <w:numPr>
          <w:ilvl w:val="0"/>
          <w:numId w:val="0"/>
        </w:numPr>
        <w:spacing w:after="0" w:line="240" w:lineRule="auto"/>
        <w:rPr>
          <w:rFonts w:cstheme="minorHAnsi"/>
          <w:color w:val="000000"/>
        </w:rPr>
      </w:pPr>
    </w:p>
    <w:p w14:paraId="7330D152" w14:textId="435F220F" w:rsidR="00863863" w:rsidRPr="00423FCC" w:rsidRDefault="00863863" w:rsidP="00863863">
      <w:pPr>
        <w:pStyle w:val="ListBullet"/>
        <w:numPr>
          <w:ilvl w:val="0"/>
          <w:numId w:val="0"/>
        </w:numPr>
        <w:spacing w:after="0" w:line="240" w:lineRule="auto"/>
      </w:pPr>
      <w:r w:rsidRPr="0060437E">
        <w:rPr>
          <w:rFonts w:cstheme="minorHAnsi"/>
          <w:color w:val="000000"/>
        </w:rPr>
        <w:t xml:space="preserve">There </w:t>
      </w:r>
      <w:r w:rsidR="00BB68EC" w:rsidRPr="0060437E">
        <w:rPr>
          <w:rFonts w:cstheme="minorHAnsi"/>
          <w:color w:val="000000"/>
        </w:rPr>
        <w:t>i</w:t>
      </w:r>
      <w:r w:rsidRPr="0060437E">
        <w:rPr>
          <w:rFonts w:cstheme="minorHAnsi"/>
          <w:color w:val="000000"/>
        </w:rPr>
        <w:t xml:space="preserve">s a defined data collection period (1 </w:t>
      </w:r>
      <w:r w:rsidR="002E390B">
        <w:rPr>
          <w:rFonts w:cstheme="minorHAnsi"/>
          <w:color w:val="000000"/>
        </w:rPr>
        <w:t>October 2015</w:t>
      </w:r>
      <w:r w:rsidR="00BB68EC" w:rsidRPr="0060437E">
        <w:rPr>
          <w:rFonts w:cstheme="minorHAnsi"/>
          <w:color w:val="000000"/>
        </w:rPr>
        <w:t>–</w:t>
      </w:r>
      <w:r w:rsidR="002E390B">
        <w:rPr>
          <w:rFonts w:cstheme="minorHAnsi"/>
          <w:color w:val="000000"/>
        </w:rPr>
        <w:t>15 January 2016</w:t>
      </w:r>
      <w:r w:rsidR="0060437E" w:rsidRPr="0060437E">
        <w:rPr>
          <w:rFonts w:cstheme="minorHAnsi"/>
          <w:color w:val="000000"/>
        </w:rPr>
        <w:t xml:space="preserve">) to ensure that </w:t>
      </w:r>
      <w:r w:rsidRPr="0060437E">
        <w:rPr>
          <w:rFonts w:cstheme="minorHAnsi"/>
          <w:color w:val="000000"/>
        </w:rPr>
        <w:t>organisations are compared fairly at the same period in time.</w:t>
      </w:r>
      <w:r w:rsidRPr="00423FCC">
        <w:rPr>
          <w:rFonts w:cstheme="minorHAnsi"/>
          <w:color w:val="000000"/>
        </w:rPr>
        <w:t xml:space="preserve"> </w:t>
      </w:r>
      <w:r w:rsidRPr="00423FCC">
        <w:t xml:space="preserve">If the organisation is not an IATI publisher then all the information </w:t>
      </w:r>
      <w:r w:rsidR="00BB68EC">
        <w:t>i</w:t>
      </w:r>
      <w:r w:rsidRPr="00423FCC">
        <w:t xml:space="preserve">s collected via the survey. Surveys </w:t>
      </w:r>
      <w:r w:rsidR="00BB68EC">
        <w:t>a</w:t>
      </w:r>
      <w:r w:rsidRPr="00423FCC">
        <w:t xml:space="preserve">re completed in-house by Publish What You Fund as per the methodology described in the general scoring guidelines in Section 2. </w:t>
      </w:r>
      <w:r w:rsidR="00BB68EC">
        <w:t>D</w:t>
      </w:r>
      <w:r w:rsidRPr="00423FCC">
        <w:t>onor</w:t>
      </w:r>
      <w:r w:rsidR="00BB68EC">
        <w:t xml:space="preserve"> organisation</w:t>
      </w:r>
      <w:r w:rsidRPr="00423FCC">
        <w:t xml:space="preserve">s and partner CSOs </w:t>
      </w:r>
      <w:r w:rsidR="00BB68EC">
        <w:t>a</w:t>
      </w:r>
      <w:r w:rsidRPr="00423FCC">
        <w:t xml:space="preserve">re invited to review the surveys and provide any updates or corrections as necessary. </w:t>
      </w:r>
    </w:p>
    <w:p w14:paraId="32DB2F33" w14:textId="77777777" w:rsidR="00863863" w:rsidRPr="00423FCC" w:rsidRDefault="00863863" w:rsidP="00863863">
      <w:pPr>
        <w:pStyle w:val="ListBullet"/>
        <w:numPr>
          <w:ilvl w:val="0"/>
          <w:numId w:val="0"/>
        </w:numPr>
        <w:spacing w:after="0" w:line="240" w:lineRule="auto"/>
      </w:pPr>
    </w:p>
    <w:p w14:paraId="1DAE8D79" w14:textId="77777777" w:rsidR="00BB68EC" w:rsidRPr="00423FCC" w:rsidRDefault="00BB68EC" w:rsidP="00BB68EC">
      <w:pPr>
        <w:pStyle w:val="ListBullet"/>
        <w:numPr>
          <w:ilvl w:val="0"/>
          <w:numId w:val="0"/>
        </w:numPr>
        <w:spacing w:after="0" w:line="240" w:lineRule="auto"/>
      </w:pPr>
      <w:r w:rsidRPr="00423FCC">
        <w:t xml:space="preserve">For organisations that are publishing </w:t>
      </w:r>
      <w:r>
        <w:t>to the IATI Registry</w:t>
      </w:r>
      <w:r w:rsidRPr="00423FCC">
        <w:t>, data collection follows a two-step process:</w:t>
      </w:r>
    </w:p>
    <w:p w14:paraId="4C761B8B" w14:textId="77777777" w:rsidR="00BB68EC" w:rsidRPr="00423FCC" w:rsidRDefault="00BB68EC" w:rsidP="00BB68EC">
      <w:pPr>
        <w:numPr>
          <w:ilvl w:val="0"/>
          <w:numId w:val="3"/>
        </w:numPr>
        <w:spacing w:after="0" w:line="240" w:lineRule="auto"/>
      </w:pPr>
      <w:r w:rsidRPr="00423FCC">
        <w:t xml:space="preserve">First, their data is run through the </w:t>
      </w:r>
      <w:r w:rsidRPr="005D50D0">
        <w:rPr>
          <w:rFonts w:cs="Times New Roman"/>
        </w:rPr>
        <w:t>data quality tool</w:t>
      </w:r>
      <w:r w:rsidRPr="00423FCC">
        <w:t>, which is designed to run automated checks and tests on each organisation’s data, providing both a comparative view across organisations and granular details on each organisation’s data. These tests are aggregated to produce scores for indicators to which they are relevant.</w:t>
      </w:r>
      <w:r w:rsidRPr="00423FCC">
        <w:rPr>
          <w:rStyle w:val="FootnoteReference"/>
        </w:rPr>
        <w:footnoteReference w:id="11"/>
      </w:r>
      <w:r w:rsidRPr="00423FCC">
        <w:t xml:space="preserve"> </w:t>
      </w:r>
    </w:p>
    <w:p w14:paraId="6A0B935D" w14:textId="77777777" w:rsidR="00BB68EC" w:rsidRDefault="00BB68EC" w:rsidP="00BB68EC">
      <w:pPr>
        <w:numPr>
          <w:ilvl w:val="0"/>
          <w:numId w:val="3"/>
        </w:numPr>
        <w:spacing w:after="0" w:line="240" w:lineRule="auto"/>
      </w:pPr>
      <w:r w:rsidRPr="00423FCC">
        <w:t xml:space="preserve">Next, for those indicators for which information is not published in </w:t>
      </w:r>
      <w:r>
        <w:t>to the IATI Registry</w:t>
      </w:r>
      <w:r w:rsidRPr="00423FCC">
        <w:t xml:space="preserve"> or does not pass the necessary tests, the data is collected via the survey.</w:t>
      </w:r>
      <w:r w:rsidR="00345D43">
        <w:t xml:space="preserve"> </w:t>
      </w:r>
    </w:p>
    <w:p w14:paraId="592137E4" w14:textId="77777777" w:rsidR="00863863" w:rsidRPr="00423FCC" w:rsidRDefault="00863863" w:rsidP="00863863">
      <w:pPr>
        <w:pStyle w:val="ListBullet"/>
        <w:numPr>
          <w:ilvl w:val="0"/>
          <w:numId w:val="0"/>
        </w:numPr>
        <w:spacing w:after="0" w:line="240" w:lineRule="auto"/>
      </w:pPr>
    </w:p>
    <w:p w14:paraId="6A6A0F40" w14:textId="57A5E07B" w:rsidR="00863863" w:rsidRPr="00423FCC" w:rsidRDefault="00863863" w:rsidP="00863863">
      <w:pPr>
        <w:pStyle w:val="ListBullet"/>
        <w:numPr>
          <w:ilvl w:val="0"/>
          <w:numId w:val="0"/>
        </w:numPr>
        <w:spacing w:after="0" w:line="240" w:lineRule="auto"/>
      </w:pPr>
      <w:r w:rsidRPr="0060437E">
        <w:t xml:space="preserve">The initial assessment </w:t>
      </w:r>
      <w:r w:rsidR="00EC0228" w:rsidRPr="0060437E">
        <w:t>will be made</w:t>
      </w:r>
      <w:r w:rsidRPr="0060437E">
        <w:t xml:space="preserve"> available to donors via the </w:t>
      </w:r>
      <w:r w:rsidRPr="00D0542A">
        <w:t xml:space="preserve">Tracker in </w:t>
      </w:r>
      <w:r w:rsidR="00D0542A" w:rsidRPr="00D0542A">
        <w:t>October</w:t>
      </w:r>
      <w:r w:rsidR="00EC0228" w:rsidRPr="00D0542A">
        <w:t xml:space="preserve"> 2015</w:t>
      </w:r>
      <w:r w:rsidRPr="0060437E">
        <w:t xml:space="preserve"> and </w:t>
      </w:r>
      <w:r w:rsidR="00EC0228" w:rsidRPr="0060437E">
        <w:t>will remain</w:t>
      </w:r>
      <w:r w:rsidRPr="0060437E">
        <w:t xml:space="preserve"> available for review and comment </w:t>
      </w:r>
      <w:r w:rsidR="00EC0228" w:rsidRPr="0060437E">
        <w:t>until the end of data collection</w:t>
      </w:r>
      <w:r w:rsidRPr="0060437E">
        <w:t xml:space="preserve">. The final set of IATI data </w:t>
      </w:r>
      <w:r w:rsidR="00EC0228" w:rsidRPr="0060437E">
        <w:t>will be</w:t>
      </w:r>
      <w:r w:rsidRPr="0060437E">
        <w:t xml:space="preserve"> automatically collected </w:t>
      </w:r>
      <w:r w:rsidR="00BD0891" w:rsidRPr="0060437E">
        <w:t>shortly after the end of the data collection</w:t>
      </w:r>
      <w:r w:rsidRPr="0060437E">
        <w:t xml:space="preserve">, so any improvements or changes to an organisation’s IATI data during that period </w:t>
      </w:r>
      <w:r w:rsidR="00874013" w:rsidRPr="0060437E">
        <w:t>w</w:t>
      </w:r>
      <w:r w:rsidR="00EC0228" w:rsidRPr="0060437E">
        <w:t>ill be</w:t>
      </w:r>
      <w:r w:rsidRPr="0060437E">
        <w:t xml:space="preserve"> reflected in the final dataset used to compile the </w:t>
      </w:r>
      <w:r w:rsidR="002E390B">
        <w:t>Index</w:t>
      </w:r>
      <w:r w:rsidRPr="0060437E">
        <w:t>.</w:t>
      </w:r>
      <w:r w:rsidRPr="00423FCC">
        <w:t xml:space="preserve"> </w:t>
      </w:r>
    </w:p>
    <w:p w14:paraId="01D7F9E6" w14:textId="77777777" w:rsidR="00874013" w:rsidRDefault="00874013" w:rsidP="00863863">
      <w:pPr>
        <w:pStyle w:val="ListParagraph"/>
        <w:spacing w:after="0" w:line="240" w:lineRule="auto"/>
        <w:ind w:left="0"/>
      </w:pPr>
    </w:p>
    <w:p w14:paraId="559A9264" w14:textId="77777777" w:rsidR="00863863" w:rsidRPr="00423FCC" w:rsidRDefault="00863863" w:rsidP="00863863">
      <w:pPr>
        <w:pStyle w:val="ListParagraph"/>
        <w:spacing w:after="0" w:line="240" w:lineRule="auto"/>
        <w:ind w:left="0"/>
      </w:pPr>
      <w:r w:rsidRPr="00423FCC">
        <w:t xml:space="preserve">Only IATI data is collected and assessed automatically. The tests used to assess the data </w:t>
      </w:r>
      <w:r w:rsidR="00DF77BE">
        <w:t>have been</w:t>
      </w:r>
      <w:r w:rsidRPr="00423FCC">
        <w:t xml:space="preserve"> designed by Publish What You Fund </w:t>
      </w:r>
      <w:r w:rsidR="00FA1A44">
        <w:t>after</w:t>
      </w:r>
      <w:r w:rsidR="00FA1A44" w:rsidRPr="00423FCC">
        <w:t xml:space="preserve"> </w:t>
      </w:r>
      <w:r w:rsidRPr="00423FCC">
        <w:t>consult</w:t>
      </w:r>
      <w:r w:rsidR="00FA1A44">
        <w:t>ing</w:t>
      </w:r>
      <w:r w:rsidRPr="00423FCC">
        <w:t xml:space="preserve"> with IATI data experts</w:t>
      </w:r>
      <w:r w:rsidR="004D19B4">
        <w:t xml:space="preserve"> and</w:t>
      </w:r>
      <w:r w:rsidR="00BB68EC">
        <w:t xml:space="preserve"> </w:t>
      </w:r>
      <w:r w:rsidR="00DF77BE">
        <w:t xml:space="preserve">Aid Transparency </w:t>
      </w:r>
      <w:r w:rsidR="00040928">
        <w:t>Index peer reviewers</w:t>
      </w:r>
      <w:r w:rsidR="004D19B4">
        <w:t xml:space="preserve">. </w:t>
      </w:r>
      <w:r w:rsidRPr="00423FCC">
        <w:t xml:space="preserve">Several donors also provided feedback on the tests. As in previous years, all organisations are assessed against the same indicators, meaning that a mixture of automatically and manually collected data can be used for IATI publishers included in </w:t>
      </w:r>
      <w:r w:rsidR="00DF77BE">
        <w:t>2015</w:t>
      </w:r>
      <w:r w:rsidRPr="00423FCC">
        <w:t>.</w:t>
      </w:r>
      <w:r w:rsidRPr="00423FCC">
        <w:rPr>
          <w:rStyle w:val="FootnoteReference"/>
        </w:rPr>
        <w:footnoteReference w:id="12"/>
      </w:r>
    </w:p>
    <w:p w14:paraId="25EEFC1F" w14:textId="77777777" w:rsidR="00DF77BE" w:rsidRDefault="00DF77BE" w:rsidP="006514E5">
      <w:pPr>
        <w:spacing w:after="0" w:line="240" w:lineRule="auto"/>
      </w:pPr>
    </w:p>
    <w:p w14:paraId="5C4AEA0E" w14:textId="42327FEF" w:rsidR="006514E5" w:rsidRPr="006514E5" w:rsidRDefault="00863863" w:rsidP="006514E5">
      <w:pPr>
        <w:spacing w:after="0" w:line="240" w:lineRule="auto"/>
        <w:rPr>
          <w:rFonts w:cstheme="minorHAnsi"/>
          <w:b/>
          <w:sz w:val="20"/>
          <w:szCs w:val="20"/>
        </w:rPr>
      </w:pPr>
      <w:r w:rsidRPr="00423FCC">
        <w:t xml:space="preserve">After the end of data collection, all surveys </w:t>
      </w:r>
      <w:r w:rsidR="00BB68EC">
        <w:t>are</w:t>
      </w:r>
      <w:r w:rsidRPr="00423FCC">
        <w:t xml:space="preserve"> subject to a process of verification and standardisation. This </w:t>
      </w:r>
      <w:r w:rsidR="00D64AC3">
        <w:t>i</w:t>
      </w:r>
      <w:r w:rsidRPr="00423FCC">
        <w:t xml:space="preserve">s to ensure that what </w:t>
      </w:r>
      <w:r w:rsidR="00D64AC3">
        <w:t>is</w:t>
      </w:r>
      <w:r w:rsidRPr="00423FCC">
        <w:t xml:space="preserve"> a</w:t>
      </w:r>
      <w:r w:rsidR="00D64AC3">
        <w:t>ccepted for scoring responses i</w:t>
      </w:r>
      <w:r w:rsidRPr="00423FCC">
        <w:t xml:space="preserve">s consistent across </w:t>
      </w:r>
      <w:r w:rsidR="00DF77BE" w:rsidRPr="00423FCC">
        <w:t xml:space="preserve">all </w:t>
      </w:r>
      <w:r w:rsidR="00D0542A">
        <w:t>46</w:t>
      </w:r>
      <w:r w:rsidR="00DF77BE">
        <w:t xml:space="preserve"> </w:t>
      </w:r>
      <w:r w:rsidR="00DF77BE" w:rsidRPr="00423FCC">
        <w:t>surveys</w:t>
      </w:r>
      <w:r w:rsidRPr="00423FCC">
        <w:t xml:space="preserve"> and to take into account feedback received both from donor</w:t>
      </w:r>
      <w:r w:rsidR="00874013">
        <w:t xml:space="preserve"> organisations</w:t>
      </w:r>
      <w:r w:rsidRPr="00423FCC">
        <w:t xml:space="preserve"> and independent reviewers.</w:t>
      </w:r>
      <w:r w:rsidR="00A956B1">
        <w:t xml:space="preserve"> </w:t>
      </w:r>
    </w:p>
    <w:p w14:paraId="41020F26" w14:textId="77777777" w:rsidR="003C5058" w:rsidRDefault="001631ED" w:rsidP="003C5058">
      <w:pPr>
        <w:spacing w:after="0" w:line="240" w:lineRule="auto"/>
        <w:rPr>
          <w:color w:val="FF0000"/>
        </w:rPr>
      </w:pPr>
      <w:r>
        <w:rPr>
          <w:i/>
          <w:iCs/>
          <w:noProof/>
          <w:color w:val="4F81BD" w:themeColor="accent1"/>
          <w:lang w:eastAsia="en-GB" w:bidi="ar-SA"/>
        </w:rPr>
        <mc:AlternateContent>
          <mc:Choice Requires="wps">
            <w:drawing>
              <wp:anchor distT="0" distB="0" distL="114300" distR="114300" simplePos="0" relativeHeight="251660288" behindDoc="0" locked="0" layoutInCell="1" allowOverlap="1" wp14:anchorId="265080F6" wp14:editId="7970363B">
                <wp:simplePos x="0" y="0"/>
                <wp:positionH relativeFrom="margin">
                  <wp:posOffset>9525</wp:posOffset>
                </wp:positionH>
                <wp:positionV relativeFrom="paragraph">
                  <wp:posOffset>182245</wp:posOffset>
                </wp:positionV>
                <wp:extent cx="9210675" cy="4829175"/>
                <wp:effectExtent l="0" t="0" r="28575" b="28575"/>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0675" cy="4829175"/>
                        </a:xfrm>
                        <a:prstGeom prst="rect">
                          <a:avLst/>
                        </a:prstGeom>
                        <a:solidFill>
                          <a:srgbClr val="FFFFFF"/>
                        </a:solidFill>
                        <a:ln w="9525">
                          <a:solidFill>
                            <a:srgbClr val="000000"/>
                          </a:solidFill>
                          <a:miter lim="800000"/>
                          <a:headEnd/>
                          <a:tailEnd/>
                        </a:ln>
                      </wps:spPr>
                      <wps:txbx>
                        <w:txbxContent>
                          <w:p w14:paraId="0503FFB2" w14:textId="77777777" w:rsidR="0016721C" w:rsidRPr="00EF1B7E" w:rsidRDefault="0016721C" w:rsidP="006514E5">
                            <w:pPr>
                              <w:spacing w:line="240" w:lineRule="auto"/>
                              <w:rPr>
                                <w:rFonts w:cstheme="minorHAnsi"/>
                                <w:b/>
                                <w:sz w:val="20"/>
                                <w:szCs w:val="20"/>
                              </w:rPr>
                            </w:pPr>
                            <w:r>
                              <w:rPr>
                                <w:rFonts w:cstheme="minorHAnsi"/>
                                <w:b/>
                                <w:sz w:val="20"/>
                                <w:szCs w:val="20"/>
                              </w:rPr>
                              <w:t>Box 2.</w:t>
                            </w:r>
                            <w:r w:rsidRPr="00EF1B7E">
                              <w:rPr>
                                <w:rFonts w:cstheme="minorHAnsi"/>
                                <w:b/>
                                <w:sz w:val="20"/>
                                <w:szCs w:val="20"/>
                              </w:rPr>
                              <w:t xml:space="preserve"> </w:t>
                            </w:r>
                            <w:r>
                              <w:rPr>
                                <w:rFonts w:cstheme="minorHAnsi"/>
                                <w:b/>
                                <w:sz w:val="20"/>
                                <w:szCs w:val="20"/>
                              </w:rPr>
                              <w:t>Approach to assessing and scoring FOIA quality</w:t>
                            </w:r>
                          </w:p>
                          <w:p w14:paraId="0574FD86" w14:textId="0A43DC82" w:rsidR="0016721C" w:rsidRPr="00FD297C" w:rsidRDefault="0016721C" w:rsidP="006514E5">
                            <w:pPr>
                              <w:spacing w:after="0" w:line="240" w:lineRule="auto"/>
                              <w:rPr>
                                <w:sz w:val="20"/>
                                <w:szCs w:val="20"/>
                              </w:rPr>
                            </w:pPr>
                            <w:r w:rsidRPr="00FD297C">
                              <w:rPr>
                                <w:sz w:val="20"/>
                                <w:szCs w:val="20"/>
                              </w:rPr>
                              <w:t xml:space="preserve">The </w:t>
                            </w:r>
                            <w:r>
                              <w:rPr>
                                <w:sz w:val="20"/>
                                <w:szCs w:val="20"/>
                              </w:rPr>
                              <w:t xml:space="preserve">Global </w:t>
                            </w:r>
                            <w:r w:rsidRPr="00FD297C">
                              <w:rPr>
                                <w:sz w:val="20"/>
                                <w:szCs w:val="20"/>
                              </w:rPr>
                              <w:t xml:space="preserve">RTI Rating scores the strength of </w:t>
                            </w:r>
                            <w:r w:rsidRPr="00DF4027">
                              <w:rPr>
                                <w:sz w:val="20"/>
                                <w:szCs w:val="20"/>
                              </w:rPr>
                              <w:t>the legal framework in guaranteeing the right to information in a country</w:t>
                            </w:r>
                            <w:r>
                              <w:rPr>
                                <w:sz w:val="20"/>
                                <w:szCs w:val="20"/>
                              </w:rPr>
                              <w:t xml:space="preserve">. </w:t>
                            </w:r>
                            <w:r w:rsidRPr="00DF4027">
                              <w:rPr>
                                <w:sz w:val="20"/>
                                <w:szCs w:val="20"/>
                              </w:rPr>
                              <w:t>Using a 61-indicator survey,</w:t>
                            </w:r>
                            <w:r w:rsidRPr="00FD297C">
                              <w:rPr>
                                <w:sz w:val="20"/>
                                <w:szCs w:val="20"/>
                              </w:rPr>
                              <w:t xml:space="preserve"> </w:t>
                            </w:r>
                            <w:r>
                              <w:rPr>
                                <w:sz w:val="20"/>
                                <w:szCs w:val="20"/>
                              </w:rPr>
                              <w:t>the legislation is</w:t>
                            </w:r>
                            <w:r w:rsidRPr="00FD297C">
                              <w:rPr>
                                <w:sz w:val="20"/>
                                <w:szCs w:val="20"/>
                              </w:rPr>
                              <w:t xml:space="preserve"> graded on a 150-point scale. This has been adapted to the </w:t>
                            </w:r>
                            <w:r>
                              <w:rPr>
                                <w:sz w:val="20"/>
                                <w:szCs w:val="20"/>
                              </w:rPr>
                              <w:t>100-</w:t>
                            </w:r>
                            <w:r w:rsidRPr="00FD297C">
                              <w:rPr>
                                <w:sz w:val="20"/>
                                <w:szCs w:val="20"/>
                              </w:rPr>
                              <w:t xml:space="preserve">point </w:t>
                            </w:r>
                            <w:r>
                              <w:rPr>
                                <w:sz w:val="20"/>
                                <w:szCs w:val="20"/>
                              </w:rPr>
                              <w:t>scale</w:t>
                            </w:r>
                            <w:r w:rsidRPr="00FD297C">
                              <w:rPr>
                                <w:sz w:val="20"/>
                                <w:szCs w:val="20"/>
                              </w:rPr>
                              <w:t xml:space="preserve"> used </w:t>
                            </w:r>
                            <w:r>
                              <w:rPr>
                                <w:sz w:val="20"/>
                                <w:szCs w:val="20"/>
                              </w:rPr>
                              <w:t>in the Index</w:t>
                            </w:r>
                            <w:r w:rsidRPr="00FD297C">
                              <w:rPr>
                                <w:sz w:val="20"/>
                                <w:szCs w:val="20"/>
                              </w:rPr>
                              <w:t xml:space="preserve">. Ideally, adapting the 150-scale to our </w:t>
                            </w:r>
                            <w:r>
                              <w:rPr>
                                <w:sz w:val="20"/>
                                <w:szCs w:val="20"/>
                              </w:rPr>
                              <w:t>100</w:t>
                            </w:r>
                            <w:r w:rsidRPr="00FD297C">
                              <w:rPr>
                                <w:sz w:val="20"/>
                                <w:szCs w:val="20"/>
                              </w:rPr>
                              <w:t xml:space="preserve"> point score would entail dividing the scale evenly into </w:t>
                            </w:r>
                            <w:r>
                              <w:rPr>
                                <w:sz w:val="20"/>
                                <w:szCs w:val="20"/>
                              </w:rPr>
                              <w:t xml:space="preserve">thirds </w:t>
                            </w:r>
                            <w:r w:rsidRPr="00FD297C">
                              <w:rPr>
                                <w:sz w:val="20"/>
                                <w:szCs w:val="20"/>
                              </w:rPr>
                              <w:t>(</w:t>
                            </w:r>
                            <w:r>
                              <w:rPr>
                                <w:sz w:val="20"/>
                                <w:szCs w:val="20"/>
                              </w:rPr>
                              <w:t>33.33</w:t>
                            </w:r>
                            <w:r w:rsidRPr="00FD297C">
                              <w:rPr>
                                <w:sz w:val="20"/>
                                <w:szCs w:val="20"/>
                              </w:rPr>
                              <w:t xml:space="preserve">=1–50; </w:t>
                            </w:r>
                            <w:r>
                              <w:rPr>
                                <w:sz w:val="20"/>
                                <w:szCs w:val="20"/>
                              </w:rPr>
                              <w:t>66.66</w:t>
                            </w:r>
                            <w:r w:rsidRPr="00FD297C">
                              <w:rPr>
                                <w:sz w:val="20"/>
                                <w:szCs w:val="20"/>
                              </w:rPr>
                              <w:t xml:space="preserve">=51–100; and </w:t>
                            </w:r>
                            <w:r>
                              <w:rPr>
                                <w:sz w:val="20"/>
                                <w:szCs w:val="20"/>
                              </w:rPr>
                              <w:t>100</w:t>
                            </w:r>
                            <w:r w:rsidRPr="00FD297C">
                              <w:rPr>
                                <w:sz w:val="20"/>
                                <w:szCs w:val="20"/>
                              </w:rPr>
                              <w:t xml:space="preserve">=101–150). However, this </w:t>
                            </w:r>
                            <w:r>
                              <w:rPr>
                                <w:sz w:val="20"/>
                                <w:szCs w:val="20"/>
                              </w:rPr>
                              <w:t>does not</w:t>
                            </w:r>
                            <w:r w:rsidRPr="00FD297C">
                              <w:rPr>
                                <w:sz w:val="20"/>
                                <w:szCs w:val="20"/>
                              </w:rPr>
                              <w:t xml:space="preserve"> capture the diversity of the RTI Rating, </w:t>
                            </w:r>
                            <w:r>
                              <w:rPr>
                                <w:sz w:val="20"/>
                                <w:szCs w:val="20"/>
                              </w:rPr>
                              <w:t>because</w:t>
                            </w:r>
                            <w:r w:rsidRPr="00FD297C">
                              <w:rPr>
                                <w:sz w:val="20"/>
                                <w:szCs w:val="20"/>
                              </w:rPr>
                              <w:t xml:space="preserve"> at the time of writing, </w:t>
                            </w:r>
                            <w:r>
                              <w:rPr>
                                <w:sz w:val="20"/>
                                <w:szCs w:val="20"/>
                              </w:rPr>
                              <w:t>only one</w:t>
                            </w:r>
                            <w:r w:rsidRPr="00FD297C">
                              <w:rPr>
                                <w:sz w:val="20"/>
                                <w:szCs w:val="20"/>
                              </w:rPr>
                              <w:t xml:space="preserve"> FOIA has scored 1–39 or 136–150 on the RTI scale, meaning that much of the substantive difference </w:t>
                            </w:r>
                            <w:r>
                              <w:rPr>
                                <w:sz w:val="20"/>
                                <w:szCs w:val="20"/>
                              </w:rPr>
                              <w:t>among legislation i</w:t>
                            </w:r>
                            <w:r w:rsidRPr="00FD297C">
                              <w:rPr>
                                <w:sz w:val="20"/>
                                <w:szCs w:val="20"/>
                              </w:rPr>
                              <w:t xml:space="preserve">s lost by simply dividing the scale </w:t>
                            </w:r>
                            <w:r>
                              <w:rPr>
                                <w:sz w:val="20"/>
                                <w:szCs w:val="20"/>
                              </w:rPr>
                              <w:t xml:space="preserve">evenly </w:t>
                            </w:r>
                            <w:r w:rsidRPr="00FD297C">
                              <w:rPr>
                                <w:sz w:val="20"/>
                                <w:szCs w:val="20"/>
                              </w:rPr>
                              <w:t xml:space="preserve">into thirds. </w:t>
                            </w:r>
                          </w:p>
                          <w:p w14:paraId="742EB772" w14:textId="77777777" w:rsidR="0016721C" w:rsidRPr="00FD297C" w:rsidRDefault="0016721C" w:rsidP="006514E5">
                            <w:pPr>
                              <w:spacing w:after="0" w:line="240" w:lineRule="auto"/>
                              <w:rPr>
                                <w:sz w:val="20"/>
                                <w:szCs w:val="20"/>
                              </w:rPr>
                            </w:pPr>
                          </w:p>
                          <w:p w14:paraId="3F409257" w14:textId="686F1CCC" w:rsidR="0016721C" w:rsidRPr="00FD297C" w:rsidRDefault="0016721C" w:rsidP="006514E5">
                            <w:pPr>
                              <w:spacing w:after="0" w:line="240" w:lineRule="auto"/>
                              <w:rPr>
                                <w:sz w:val="20"/>
                                <w:szCs w:val="20"/>
                              </w:rPr>
                            </w:pPr>
                            <w:r w:rsidRPr="00FD297C">
                              <w:rPr>
                                <w:sz w:val="20"/>
                                <w:szCs w:val="20"/>
                              </w:rPr>
                              <w:t xml:space="preserve">To resolve this, the </w:t>
                            </w:r>
                            <w:r>
                              <w:rPr>
                                <w:sz w:val="20"/>
                                <w:szCs w:val="20"/>
                              </w:rPr>
                              <w:t>three</w:t>
                            </w:r>
                            <w:r w:rsidRPr="00FD297C">
                              <w:rPr>
                                <w:sz w:val="20"/>
                                <w:szCs w:val="20"/>
                              </w:rPr>
                              <w:t xml:space="preserve">-point scale </w:t>
                            </w:r>
                            <w:r>
                              <w:rPr>
                                <w:sz w:val="20"/>
                                <w:szCs w:val="20"/>
                              </w:rPr>
                              <w:t>has been</w:t>
                            </w:r>
                            <w:r w:rsidRPr="00FD297C">
                              <w:rPr>
                                <w:sz w:val="20"/>
                                <w:szCs w:val="20"/>
                              </w:rPr>
                              <w:t xml:space="preserve"> altered by reducing the range of the </w:t>
                            </w:r>
                            <w:r>
                              <w:rPr>
                                <w:sz w:val="20"/>
                                <w:szCs w:val="20"/>
                              </w:rPr>
                              <w:t>’66.66</w:t>
                            </w:r>
                            <w:r w:rsidRPr="00FD297C">
                              <w:rPr>
                                <w:sz w:val="20"/>
                                <w:szCs w:val="20"/>
                              </w:rPr>
                              <w:t xml:space="preserve">’ scoring option and increasing the ranges of the </w:t>
                            </w:r>
                            <w:r>
                              <w:rPr>
                                <w:sz w:val="20"/>
                                <w:szCs w:val="20"/>
                              </w:rPr>
                              <w:t>’33.33</w:t>
                            </w:r>
                            <w:r w:rsidRPr="00FD297C">
                              <w:rPr>
                                <w:sz w:val="20"/>
                                <w:szCs w:val="20"/>
                              </w:rPr>
                              <w:t>’ and ‘</w:t>
                            </w:r>
                            <w:r>
                              <w:rPr>
                                <w:sz w:val="20"/>
                                <w:szCs w:val="20"/>
                              </w:rPr>
                              <w:t>100</w:t>
                            </w:r>
                            <w:r w:rsidRPr="00FD297C">
                              <w:rPr>
                                <w:sz w:val="20"/>
                                <w:szCs w:val="20"/>
                              </w:rPr>
                              <w:t>’ options (</w:t>
                            </w:r>
                            <w:r>
                              <w:rPr>
                                <w:sz w:val="20"/>
                                <w:szCs w:val="20"/>
                              </w:rPr>
                              <w:t>0</w:t>
                            </w:r>
                            <w:r w:rsidRPr="00FD297C">
                              <w:rPr>
                                <w:sz w:val="20"/>
                                <w:szCs w:val="20"/>
                              </w:rPr>
                              <w:t xml:space="preserve">=no legislation; </w:t>
                            </w:r>
                            <w:r>
                              <w:rPr>
                                <w:sz w:val="20"/>
                                <w:szCs w:val="20"/>
                              </w:rPr>
                              <w:t>33.33</w:t>
                            </w:r>
                            <w:r w:rsidRPr="00FD297C">
                              <w:rPr>
                                <w:sz w:val="20"/>
                                <w:szCs w:val="20"/>
                              </w:rPr>
                              <w:t xml:space="preserve">=1–60; </w:t>
                            </w:r>
                            <w:r>
                              <w:rPr>
                                <w:sz w:val="20"/>
                                <w:szCs w:val="20"/>
                              </w:rPr>
                              <w:t>66.66</w:t>
                            </w:r>
                            <w:r w:rsidRPr="00FD297C">
                              <w:rPr>
                                <w:sz w:val="20"/>
                                <w:szCs w:val="20"/>
                              </w:rPr>
                              <w:t xml:space="preserve">=61–90; and </w:t>
                            </w:r>
                            <w:r>
                              <w:rPr>
                                <w:sz w:val="20"/>
                                <w:szCs w:val="20"/>
                              </w:rPr>
                              <w:t>100</w:t>
                            </w:r>
                            <w:r w:rsidRPr="00FD297C">
                              <w:rPr>
                                <w:sz w:val="20"/>
                                <w:szCs w:val="20"/>
                              </w:rPr>
                              <w:t>=91–150). Using this scale allow</w:t>
                            </w:r>
                            <w:r>
                              <w:rPr>
                                <w:sz w:val="20"/>
                                <w:szCs w:val="20"/>
                              </w:rPr>
                              <w:t>s</w:t>
                            </w:r>
                            <w:r w:rsidRPr="00FD297C">
                              <w:rPr>
                                <w:sz w:val="20"/>
                                <w:szCs w:val="20"/>
                              </w:rPr>
                              <w:t xml:space="preserve"> for greater diversity in the results while maintaining a replicable scoring system that reward</w:t>
                            </w:r>
                            <w:r>
                              <w:rPr>
                                <w:sz w:val="20"/>
                                <w:szCs w:val="20"/>
                              </w:rPr>
                              <w:t>s</w:t>
                            </w:r>
                            <w:r w:rsidRPr="00FD297C">
                              <w:rPr>
                                <w:sz w:val="20"/>
                                <w:szCs w:val="20"/>
                              </w:rPr>
                              <w:t xml:space="preserve"> objective progress. Though scoring donors on a relative scale was considered, given that both the </w:t>
                            </w:r>
                            <w:r>
                              <w:rPr>
                                <w:sz w:val="20"/>
                                <w:szCs w:val="20"/>
                              </w:rPr>
                              <w:t>Index</w:t>
                            </w:r>
                            <w:r w:rsidRPr="00FD297C">
                              <w:rPr>
                                <w:sz w:val="20"/>
                                <w:szCs w:val="20"/>
                              </w:rPr>
                              <w:t xml:space="preserve"> and the RTI Rating score donors based on objective measures, it </w:t>
                            </w:r>
                            <w:r>
                              <w:rPr>
                                <w:sz w:val="20"/>
                                <w:szCs w:val="20"/>
                              </w:rPr>
                              <w:t>i</w:t>
                            </w:r>
                            <w:r w:rsidRPr="00FD297C">
                              <w:rPr>
                                <w:sz w:val="20"/>
                                <w:szCs w:val="20"/>
                              </w:rPr>
                              <w:t xml:space="preserve">s not suitable to score organisations based on their performance relative to other organisations for this indicator alone. </w:t>
                            </w:r>
                          </w:p>
                          <w:p w14:paraId="2B3AEC3F" w14:textId="77777777" w:rsidR="0016721C" w:rsidRPr="00FD297C" w:rsidRDefault="0016721C" w:rsidP="006514E5">
                            <w:pPr>
                              <w:spacing w:after="0" w:line="240" w:lineRule="auto"/>
                              <w:rPr>
                                <w:sz w:val="20"/>
                                <w:szCs w:val="20"/>
                              </w:rPr>
                            </w:pPr>
                          </w:p>
                          <w:p w14:paraId="0E860229" w14:textId="77777777" w:rsidR="0016721C" w:rsidRPr="00FD297C" w:rsidRDefault="0016721C" w:rsidP="006514E5">
                            <w:pPr>
                              <w:spacing w:after="0" w:line="240" w:lineRule="auto"/>
                              <w:rPr>
                                <w:sz w:val="20"/>
                                <w:szCs w:val="20"/>
                              </w:rPr>
                            </w:pPr>
                            <w:r w:rsidRPr="00FD297C">
                              <w:rPr>
                                <w:sz w:val="20"/>
                                <w:szCs w:val="20"/>
                              </w:rPr>
                              <w:t>As the RTI Rating covers FOI legislation only, this mean</w:t>
                            </w:r>
                            <w:r>
                              <w:rPr>
                                <w:sz w:val="20"/>
                                <w:szCs w:val="20"/>
                              </w:rPr>
                              <w:t>s</w:t>
                            </w:r>
                            <w:r w:rsidRPr="00FD297C">
                              <w:rPr>
                                <w:sz w:val="20"/>
                                <w:szCs w:val="20"/>
                              </w:rPr>
                              <w:t xml:space="preserve"> there </w:t>
                            </w:r>
                            <w:r>
                              <w:rPr>
                                <w:sz w:val="20"/>
                                <w:szCs w:val="20"/>
                              </w:rPr>
                              <w:t>i</w:t>
                            </w:r>
                            <w:r w:rsidRPr="00FD297C">
                              <w:rPr>
                                <w:sz w:val="20"/>
                                <w:szCs w:val="20"/>
                              </w:rPr>
                              <w:t>s a data gap for non-bilateral donors with disclosure policies.</w:t>
                            </w:r>
                            <w:r>
                              <w:rPr>
                                <w:sz w:val="20"/>
                                <w:szCs w:val="20"/>
                              </w:rPr>
                              <w:t xml:space="preserve"> Publish What You Fund has therefore developed</w:t>
                            </w:r>
                            <w:r w:rsidRPr="00FD297C">
                              <w:rPr>
                                <w:sz w:val="20"/>
                                <w:szCs w:val="20"/>
                              </w:rPr>
                              <w:t xml:space="preserve"> a second </w:t>
                            </w:r>
                            <w:r>
                              <w:rPr>
                                <w:sz w:val="20"/>
                                <w:szCs w:val="20"/>
                              </w:rPr>
                              <w:t>three</w:t>
                            </w:r>
                            <w:r w:rsidRPr="00FD297C">
                              <w:rPr>
                                <w:sz w:val="20"/>
                                <w:szCs w:val="20"/>
                              </w:rPr>
                              <w:t xml:space="preserve"> point scale</w:t>
                            </w:r>
                            <w:r>
                              <w:rPr>
                                <w:sz w:val="20"/>
                                <w:szCs w:val="20"/>
                              </w:rPr>
                              <w:t xml:space="preserve">, </w:t>
                            </w:r>
                            <w:r w:rsidRPr="00FD297C">
                              <w:rPr>
                                <w:sz w:val="20"/>
                                <w:szCs w:val="20"/>
                              </w:rPr>
                              <w:t>guided by the principle that</w:t>
                            </w:r>
                            <w:r>
                              <w:rPr>
                                <w:sz w:val="20"/>
                                <w:szCs w:val="20"/>
                              </w:rPr>
                              <w:t>,</w:t>
                            </w:r>
                            <w:r w:rsidRPr="00FD297C">
                              <w:rPr>
                                <w:sz w:val="20"/>
                                <w:szCs w:val="20"/>
                              </w:rPr>
                              <w:t xml:space="preserve"> while non-bilateral donors </w:t>
                            </w:r>
                            <w:r>
                              <w:rPr>
                                <w:sz w:val="20"/>
                                <w:szCs w:val="20"/>
                              </w:rPr>
                              <w:t xml:space="preserve">may not be legally obliged to disclose their information, many of them have disclosure policies and that these should be taken into consideration, rather than having a data gap or awarding them an average score for this indicator. </w:t>
                            </w:r>
                          </w:p>
                          <w:p w14:paraId="460D8722" w14:textId="77777777" w:rsidR="0016721C" w:rsidRPr="00FD297C" w:rsidRDefault="0016721C" w:rsidP="006514E5">
                            <w:pPr>
                              <w:spacing w:after="0" w:line="240" w:lineRule="auto"/>
                              <w:rPr>
                                <w:sz w:val="20"/>
                                <w:szCs w:val="20"/>
                              </w:rPr>
                            </w:pPr>
                          </w:p>
                          <w:p w14:paraId="1005EB96" w14:textId="77777777" w:rsidR="0016721C" w:rsidRPr="00FD297C" w:rsidRDefault="0016721C" w:rsidP="006514E5">
                            <w:pPr>
                              <w:spacing w:after="0" w:line="240" w:lineRule="auto"/>
                              <w:rPr>
                                <w:sz w:val="20"/>
                                <w:szCs w:val="20"/>
                              </w:rPr>
                            </w:pPr>
                            <w:r w:rsidRPr="00FD297C">
                              <w:rPr>
                                <w:sz w:val="20"/>
                                <w:szCs w:val="20"/>
                              </w:rPr>
                              <w:t>The scoring system</w:t>
                            </w:r>
                            <w:r>
                              <w:rPr>
                                <w:sz w:val="20"/>
                                <w:szCs w:val="20"/>
                              </w:rPr>
                              <w:t xml:space="preserve"> used for disclosure policies in 2015 </w:t>
                            </w:r>
                            <w:r w:rsidRPr="00FD297C">
                              <w:rPr>
                                <w:sz w:val="20"/>
                                <w:szCs w:val="20"/>
                              </w:rPr>
                              <w:t xml:space="preserve">is a cumulative measure of three key indicators. If a donor’s policy has all three, </w:t>
                            </w:r>
                            <w:r>
                              <w:rPr>
                                <w:sz w:val="20"/>
                                <w:szCs w:val="20"/>
                              </w:rPr>
                              <w:t>100</w:t>
                            </w:r>
                            <w:r w:rsidRPr="00FD297C">
                              <w:rPr>
                                <w:sz w:val="20"/>
                                <w:szCs w:val="20"/>
                              </w:rPr>
                              <w:t xml:space="preserve"> is scored, if a donor’s disclosure policy has none of the three, or no disclosure policy at all, </w:t>
                            </w:r>
                            <w:r>
                              <w:rPr>
                                <w:sz w:val="20"/>
                                <w:szCs w:val="20"/>
                              </w:rPr>
                              <w:t>it scores 0</w:t>
                            </w:r>
                            <w:r w:rsidRPr="00FD297C">
                              <w:rPr>
                                <w:sz w:val="20"/>
                                <w:szCs w:val="20"/>
                              </w:rPr>
                              <w:t xml:space="preserve">. The indicators are: </w:t>
                            </w:r>
                          </w:p>
                          <w:p w14:paraId="4E2B90DD" w14:textId="77777777" w:rsidR="0016721C" w:rsidRPr="00863863" w:rsidRDefault="0016721C" w:rsidP="006514E5">
                            <w:pPr>
                              <w:pStyle w:val="ListParagraph"/>
                              <w:numPr>
                                <w:ilvl w:val="0"/>
                                <w:numId w:val="29"/>
                              </w:numPr>
                              <w:spacing w:after="0" w:line="240" w:lineRule="auto"/>
                              <w:rPr>
                                <w:sz w:val="20"/>
                                <w:szCs w:val="20"/>
                              </w:rPr>
                            </w:pPr>
                            <w:r w:rsidRPr="00863863">
                              <w:rPr>
                                <w:b/>
                                <w:sz w:val="20"/>
                                <w:szCs w:val="20"/>
                              </w:rPr>
                              <w:t xml:space="preserve">Presumption of disclosure: </w:t>
                            </w:r>
                            <w:r w:rsidRPr="00863863">
                              <w:rPr>
                                <w:sz w:val="20"/>
                                <w:szCs w:val="20"/>
                              </w:rPr>
                              <w:t>To score for this indicator, a disclosure policy must have a specific clause that states disclosure as the rule, thereby requiring a compel</w:t>
                            </w:r>
                            <w:r>
                              <w:rPr>
                                <w:sz w:val="20"/>
                                <w:szCs w:val="20"/>
                              </w:rPr>
                              <w:t>ling reason for non-disclosure (33.33 points).</w:t>
                            </w:r>
                          </w:p>
                          <w:p w14:paraId="7861510A" w14:textId="77777777" w:rsidR="0016721C" w:rsidRPr="00863863" w:rsidRDefault="0016721C" w:rsidP="006514E5">
                            <w:pPr>
                              <w:pStyle w:val="ListParagraph"/>
                              <w:numPr>
                                <w:ilvl w:val="0"/>
                                <w:numId w:val="29"/>
                              </w:numPr>
                              <w:spacing w:after="0" w:line="240" w:lineRule="auto"/>
                              <w:rPr>
                                <w:sz w:val="20"/>
                                <w:szCs w:val="20"/>
                              </w:rPr>
                            </w:pPr>
                            <w:r w:rsidRPr="00863863">
                              <w:rPr>
                                <w:b/>
                                <w:sz w:val="20"/>
                                <w:szCs w:val="20"/>
                              </w:rPr>
                              <w:t>Limitations on commercially sensitive and third party information</w:t>
                            </w:r>
                            <w:r>
                              <w:rPr>
                                <w:b/>
                                <w:sz w:val="20"/>
                                <w:szCs w:val="20"/>
                              </w:rPr>
                              <w:t xml:space="preserve"> and internal deliberations</w:t>
                            </w:r>
                            <w:r w:rsidRPr="00863863">
                              <w:rPr>
                                <w:b/>
                                <w:sz w:val="20"/>
                                <w:szCs w:val="20"/>
                              </w:rPr>
                              <w:t xml:space="preserve">: </w:t>
                            </w:r>
                            <w:r w:rsidRPr="00863863">
                              <w:rPr>
                                <w:sz w:val="20"/>
                                <w:szCs w:val="20"/>
                              </w:rPr>
                              <w:t xml:space="preserve">To score on this indicator, non-disclosure clauses related to these matters must be (a) defined clearly, (b) </w:t>
                            </w:r>
                            <w:r>
                              <w:rPr>
                                <w:sz w:val="20"/>
                                <w:szCs w:val="20"/>
                              </w:rPr>
                              <w:t>be subject to a harm test</w:t>
                            </w:r>
                            <w:r w:rsidRPr="00863863">
                              <w:rPr>
                                <w:sz w:val="20"/>
                                <w:szCs w:val="20"/>
                              </w:rPr>
                              <w:t>, and (c) be subject to a public interest override</w:t>
                            </w:r>
                            <w:r>
                              <w:rPr>
                                <w:sz w:val="20"/>
                                <w:szCs w:val="20"/>
                              </w:rPr>
                              <w:t xml:space="preserve"> (33.33 points)</w:t>
                            </w:r>
                            <w:r w:rsidRPr="00863863">
                              <w:rPr>
                                <w:sz w:val="20"/>
                                <w:szCs w:val="20"/>
                              </w:rPr>
                              <w:t xml:space="preserve">. </w:t>
                            </w:r>
                            <w:r>
                              <w:rPr>
                                <w:sz w:val="20"/>
                                <w:szCs w:val="20"/>
                              </w:rPr>
                              <w:t>To score on this indicator all three sub-criteria must be met.</w:t>
                            </w:r>
                          </w:p>
                          <w:p w14:paraId="486ED5E8" w14:textId="77777777" w:rsidR="0016721C" w:rsidRPr="00863863" w:rsidRDefault="0016721C" w:rsidP="006514E5">
                            <w:pPr>
                              <w:pStyle w:val="ListParagraph"/>
                              <w:numPr>
                                <w:ilvl w:val="0"/>
                                <w:numId w:val="29"/>
                              </w:numPr>
                              <w:spacing w:after="0" w:line="240" w:lineRule="auto"/>
                              <w:rPr>
                                <w:sz w:val="20"/>
                                <w:szCs w:val="20"/>
                              </w:rPr>
                            </w:pPr>
                            <w:r>
                              <w:rPr>
                                <w:b/>
                                <w:sz w:val="20"/>
                                <w:szCs w:val="20"/>
                              </w:rPr>
                              <w:t>Independent appeals process</w:t>
                            </w:r>
                            <w:r w:rsidRPr="00863863">
                              <w:rPr>
                                <w:b/>
                                <w:sz w:val="20"/>
                                <w:szCs w:val="20"/>
                              </w:rPr>
                              <w:t xml:space="preserve">: </w:t>
                            </w:r>
                            <w:r w:rsidRPr="00863863">
                              <w:rPr>
                                <w:sz w:val="20"/>
                                <w:szCs w:val="20"/>
                              </w:rPr>
                              <w:t xml:space="preserve">To score for this indicator, non-disclosure clauses </w:t>
                            </w:r>
                            <w:r>
                              <w:rPr>
                                <w:sz w:val="20"/>
                                <w:szCs w:val="20"/>
                              </w:rPr>
                              <w:t>must include an independent appeals process and the appeals body must include individuals that are independent from the organisation (33.33 points)</w:t>
                            </w:r>
                            <w:r w:rsidRPr="00863863">
                              <w:rPr>
                                <w:sz w:val="20"/>
                                <w:szCs w:val="20"/>
                              </w:rPr>
                              <w:t xml:space="preserve">. </w:t>
                            </w:r>
                          </w:p>
                          <w:p w14:paraId="5F110710" w14:textId="77777777" w:rsidR="0016721C" w:rsidRPr="00F726E7" w:rsidRDefault="0016721C" w:rsidP="006514E5">
                            <w:pPr>
                              <w:spacing w:after="0" w:line="240" w:lineRule="auto"/>
                              <w:rPr>
                                <w:sz w:val="20"/>
                                <w:szCs w:val="20"/>
                              </w:rPr>
                            </w:pPr>
                          </w:p>
                          <w:p w14:paraId="2B48CC3A" w14:textId="77777777" w:rsidR="0016721C" w:rsidRPr="00F726E7" w:rsidRDefault="0016721C" w:rsidP="006514E5">
                            <w:pPr>
                              <w:spacing w:after="0" w:line="240" w:lineRule="auto"/>
                              <w:rPr>
                                <w:sz w:val="20"/>
                                <w:szCs w:val="20"/>
                              </w:rPr>
                            </w:pPr>
                            <w:r w:rsidRPr="00F726E7">
                              <w:rPr>
                                <w:sz w:val="20"/>
                                <w:szCs w:val="20"/>
                              </w:rPr>
                              <w:t>While relatively simple, this indicator reflects international best practice in maximi</w:t>
                            </w:r>
                            <w:r>
                              <w:rPr>
                                <w:sz w:val="20"/>
                                <w:szCs w:val="20"/>
                              </w:rPr>
                              <w:t>s</w:t>
                            </w:r>
                            <w:r w:rsidRPr="00F726E7">
                              <w:rPr>
                                <w:sz w:val="20"/>
                                <w:szCs w:val="20"/>
                              </w:rPr>
                              <w:t>ing the right to information with the acknowledgement that donors are required not to disclose certain types of information.</w:t>
                            </w:r>
                            <w:r>
                              <w:rPr>
                                <w:sz w:val="20"/>
                                <w:szCs w:val="20"/>
                              </w:rPr>
                              <w:t xml:space="preserve"> Note that</w:t>
                            </w:r>
                            <w:r w:rsidRPr="00F726E7">
                              <w:rPr>
                                <w:sz w:val="20"/>
                                <w:szCs w:val="20"/>
                              </w:rPr>
                              <w:t xml:space="preserve"> </w:t>
                            </w:r>
                            <w:r>
                              <w:rPr>
                                <w:sz w:val="20"/>
                                <w:szCs w:val="20"/>
                              </w:rPr>
                              <w:t>in previous years, the limitations on third party information and internal deliberations were listed as separate criteria and appeals were assessed as part of the public interest override clause within each of these. The simplification in the grouping of criteria in 2014 was made based on advice received from FOI experts in FOI legislation.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5080F6" id="Text Box 4" o:spid="_x0000_s1027" type="#_x0000_t202" style="position:absolute;margin-left:.75pt;margin-top:14.35pt;width:725.25pt;height:38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00KwIAAFg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">
                <v:textbox>
                  <w:txbxContent>
                    <w:p w14:paraId="0503FFB2" w14:textId="77777777" w:rsidR="0016721C" w:rsidRPr="00EF1B7E" w:rsidRDefault="0016721C" w:rsidP="006514E5">
                      <w:pPr>
                        <w:spacing w:line="240" w:lineRule="auto"/>
                        <w:rPr>
                          <w:rFonts w:cstheme="minorHAnsi"/>
                          <w:b/>
                          <w:sz w:val="20"/>
                          <w:szCs w:val="20"/>
                        </w:rPr>
                      </w:pPr>
                      <w:r>
                        <w:rPr>
                          <w:rFonts w:cstheme="minorHAnsi"/>
                          <w:b/>
                          <w:sz w:val="20"/>
                          <w:szCs w:val="20"/>
                        </w:rPr>
                        <w:t>Box 2.</w:t>
                      </w:r>
                      <w:r w:rsidRPr="00EF1B7E">
                        <w:rPr>
                          <w:rFonts w:cstheme="minorHAnsi"/>
                          <w:b/>
                          <w:sz w:val="20"/>
                          <w:szCs w:val="20"/>
                        </w:rPr>
                        <w:t xml:space="preserve"> </w:t>
                      </w:r>
                      <w:r>
                        <w:rPr>
                          <w:rFonts w:cstheme="minorHAnsi"/>
                          <w:b/>
                          <w:sz w:val="20"/>
                          <w:szCs w:val="20"/>
                        </w:rPr>
                        <w:t>Approach to assessing and scoring FOIA quality</w:t>
                      </w:r>
                    </w:p>
                    <w:p w14:paraId="0574FD86" w14:textId="0A43DC82" w:rsidR="0016721C" w:rsidRPr="00FD297C" w:rsidRDefault="0016721C" w:rsidP="006514E5">
                      <w:pPr>
                        <w:spacing w:after="0" w:line="240" w:lineRule="auto"/>
                        <w:rPr>
                          <w:sz w:val="20"/>
                          <w:szCs w:val="20"/>
                        </w:rPr>
                      </w:pPr>
                      <w:r w:rsidRPr="00FD297C">
                        <w:rPr>
                          <w:sz w:val="20"/>
                          <w:szCs w:val="20"/>
                        </w:rPr>
                        <w:t xml:space="preserve">The </w:t>
                      </w:r>
                      <w:r>
                        <w:rPr>
                          <w:sz w:val="20"/>
                          <w:szCs w:val="20"/>
                        </w:rPr>
                        <w:t xml:space="preserve">Global </w:t>
                      </w:r>
                      <w:r w:rsidRPr="00FD297C">
                        <w:rPr>
                          <w:sz w:val="20"/>
                          <w:szCs w:val="20"/>
                        </w:rPr>
                        <w:t xml:space="preserve">RTI Rating scores the strength of </w:t>
                      </w:r>
                      <w:r w:rsidRPr="00DF4027">
                        <w:rPr>
                          <w:sz w:val="20"/>
                          <w:szCs w:val="20"/>
                        </w:rPr>
                        <w:t>the legal framework in guaranteeing the right to information in a country</w:t>
                      </w:r>
                      <w:r>
                        <w:rPr>
                          <w:sz w:val="20"/>
                          <w:szCs w:val="20"/>
                        </w:rPr>
                        <w:t xml:space="preserve">. </w:t>
                      </w:r>
                      <w:r w:rsidRPr="00DF4027">
                        <w:rPr>
                          <w:sz w:val="20"/>
                          <w:szCs w:val="20"/>
                        </w:rPr>
                        <w:t>Using a 61-indicator survey,</w:t>
                      </w:r>
                      <w:r w:rsidRPr="00FD297C">
                        <w:rPr>
                          <w:sz w:val="20"/>
                          <w:szCs w:val="20"/>
                        </w:rPr>
                        <w:t xml:space="preserve"> </w:t>
                      </w:r>
                      <w:r>
                        <w:rPr>
                          <w:sz w:val="20"/>
                          <w:szCs w:val="20"/>
                        </w:rPr>
                        <w:t>the legislation is</w:t>
                      </w:r>
                      <w:r w:rsidRPr="00FD297C">
                        <w:rPr>
                          <w:sz w:val="20"/>
                          <w:szCs w:val="20"/>
                        </w:rPr>
                        <w:t xml:space="preserve"> graded on a 150-point scale. This has been adapted to the </w:t>
                      </w:r>
                      <w:r>
                        <w:rPr>
                          <w:sz w:val="20"/>
                          <w:szCs w:val="20"/>
                        </w:rPr>
                        <w:t>100-</w:t>
                      </w:r>
                      <w:r w:rsidRPr="00FD297C">
                        <w:rPr>
                          <w:sz w:val="20"/>
                          <w:szCs w:val="20"/>
                        </w:rPr>
                        <w:t xml:space="preserve">point </w:t>
                      </w:r>
                      <w:r>
                        <w:rPr>
                          <w:sz w:val="20"/>
                          <w:szCs w:val="20"/>
                        </w:rPr>
                        <w:t>scale</w:t>
                      </w:r>
                      <w:r w:rsidRPr="00FD297C">
                        <w:rPr>
                          <w:sz w:val="20"/>
                          <w:szCs w:val="20"/>
                        </w:rPr>
                        <w:t xml:space="preserve"> used </w:t>
                      </w:r>
                      <w:r>
                        <w:rPr>
                          <w:sz w:val="20"/>
                          <w:szCs w:val="20"/>
                        </w:rPr>
                        <w:t>in the Index</w:t>
                      </w:r>
                      <w:r w:rsidRPr="00FD297C">
                        <w:rPr>
                          <w:sz w:val="20"/>
                          <w:szCs w:val="20"/>
                        </w:rPr>
                        <w:t xml:space="preserve">. Ideally, adapting the 150-scale to our </w:t>
                      </w:r>
                      <w:r>
                        <w:rPr>
                          <w:sz w:val="20"/>
                          <w:szCs w:val="20"/>
                        </w:rPr>
                        <w:t>100</w:t>
                      </w:r>
                      <w:r w:rsidRPr="00FD297C">
                        <w:rPr>
                          <w:sz w:val="20"/>
                          <w:szCs w:val="20"/>
                        </w:rPr>
                        <w:t xml:space="preserve"> point score would entail dividing the scale evenly into </w:t>
                      </w:r>
                      <w:r>
                        <w:rPr>
                          <w:sz w:val="20"/>
                          <w:szCs w:val="20"/>
                        </w:rPr>
                        <w:t xml:space="preserve">thirds </w:t>
                      </w:r>
                      <w:r w:rsidRPr="00FD297C">
                        <w:rPr>
                          <w:sz w:val="20"/>
                          <w:szCs w:val="20"/>
                        </w:rPr>
                        <w:t>(</w:t>
                      </w:r>
                      <w:r>
                        <w:rPr>
                          <w:sz w:val="20"/>
                          <w:szCs w:val="20"/>
                        </w:rPr>
                        <w:t>33.33</w:t>
                      </w:r>
                      <w:r w:rsidRPr="00FD297C">
                        <w:rPr>
                          <w:sz w:val="20"/>
                          <w:szCs w:val="20"/>
                        </w:rPr>
                        <w:t xml:space="preserve">=1–50; </w:t>
                      </w:r>
                      <w:r>
                        <w:rPr>
                          <w:sz w:val="20"/>
                          <w:szCs w:val="20"/>
                        </w:rPr>
                        <w:t>66.66</w:t>
                      </w:r>
                      <w:r w:rsidRPr="00FD297C">
                        <w:rPr>
                          <w:sz w:val="20"/>
                          <w:szCs w:val="20"/>
                        </w:rPr>
                        <w:t xml:space="preserve">=51–100; and </w:t>
                      </w:r>
                      <w:r>
                        <w:rPr>
                          <w:sz w:val="20"/>
                          <w:szCs w:val="20"/>
                        </w:rPr>
                        <w:t>100</w:t>
                      </w:r>
                      <w:r w:rsidRPr="00FD297C">
                        <w:rPr>
                          <w:sz w:val="20"/>
                          <w:szCs w:val="20"/>
                        </w:rPr>
                        <w:t xml:space="preserve">=101–150). However, this </w:t>
                      </w:r>
                      <w:r>
                        <w:rPr>
                          <w:sz w:val="20"/>
                          <w:szCs w:val="20"/>
                        </w:rPr>
                        <w:t>does not</w:t>
                      </w:r>
                      <w:r w:rsidRPr="00FD297C">
                        <w:rPr>
                          <w:sz w:val="20"/>
                          <w:szCs w:val="20"/>
                        </w:rPr>
                        <w:t xml:space="preserve"> capture the diversity of the RTI Rating, </w:t>
                      </w:r>
                      <w:r>
                        <w:rPr>
                          <w:sz w:val="20"/>
                          <w:szCs w:val="20"/>
                        </w:rPr>
                        <w:t>because</w:t>
                      </w:r>
                      <w:r w:rsidRPr="00FD297C">
                        <w:rPr>
                          <w:sz w:val="20"/>
                          <w:szCs w:val="20"/>
                        </w:rPr>
                        <w:t xml:space="preserve"> at the time of writing, </w:t>
                      </w:r>
                      <w:r>
                        <w:rPr>
                          <w:sz w:val="20"/>
                          <w:szCs w:val="20"/>
                        </w:rPr>
                        <w:t>only one</w:t>
                      </w:r>
                      <w:r w:rsidRPr="00FD297C">
                        <w:rPr>
                          <w:sz w:val="20"/>
                          <w:szCs w:val="20"/>
                        </w:rPr>
                        <w:t xml:space="preserve"> FOIA has scored 1–39 or 136–150 on the RTI scale, meaning that much of the substantive difference </w:t>
                      </w:r>
                      <w:r>
                        <w:rPr>
                          <w:sz w:val="20"/>
                          <w:szCs w:val="20"/>
                        </w:rPr>
                        <w:t>among legislation i</w:t>
                      </w:r>
                      <w:r w:rsidRPr="00FD297C">
                        <w:rPr>
                          <w:sz w:val="20"/>
                          <w:szCs w:val="20"/>
                        </w:rPr>
                        <w:t xml:space="preserve">s lost by simply dividing the scale </w:t>
                      </w:r>
                      <w:r>
                        <w:rPr>
                          <w:sz w:val="20"/>
                          <w:szCs w:val="20"/>
                        </w:rPr>
                        <w:t xml:space="preserve">evenly </w:t>
                      </w:r>
                      <w:r w:rsidRPr="00FD297C">
                        <w:rPr>
                          <w:sz w:val="20"/>
                          <w:szCs w:val="20"/>
                        </w:rPr>
                        <w:t xml:space="preserve">into thirds. </w:t>
                      </w:r>
                    </w:p>
                    <w:p w14:paraId="742EB772" w14:textId="77777777" w:rsidR="0016721C" w:rsidRPr="00FD297C" w:rsidRDefault="0016721C" w:rsidP="006514E5">
                      <w:pPr>
                        <w:spacing w:after="0" w:line="240" w:lineRule="auto"/>
                        <w:rPr>
                          <w:sz w:val="20"/>
                          <w:szCs w:val="20"/>
                        </w:rPr>
                      </w:pPr>
                    </w:p>
                    <w:p w14:paraId="3F409257" w14:textId="686F1CCC" w:rsidR="0016721C" w:rsidRPr="00FD297C" w:rsidRDefault="0016721C" w:rsidP="006514E5">
                      <w:pPr>
                        <w:spacing w:after="0" w:line="240" w:lineRule="auto"/>
                        <w:rPr>
                          <w:sz w:val="20"/>
                          <w:szCs w:val="20"/>
                        </w:rPr>
                      </w:pPr>
                      <w:r w:rsidRPr="00FD297C">
                        <w:rPr>
                          <w:sz w:val="20"/>
                          <w:szCs w:val="20"/>
                        </w:rPr>
                        <w:t xml:space="preserve">To resolve this, the </w:t>
                      </w:r>
                      <w:r>
                        <w:rPr>
                          <w:sz w:val="20"/>
                          <w:szCs w:val="20"/>
                        </w:rPr>
                        <w:t>three</w:t>
                      </w:r>
                      <w:r w:rsidRPr="00FD297C">
                        <w:rPr>
                          <w:sz w:val="20"/>
                          <w:szCs w:val="20"/>
                        </w:rPr>
                        <w:t xml:space="preserve">-point scale </w:t>
                      </w:r>
                      <w:r>
                        <w:rPr>
                          <w:sz w:val="20"/>
                          <w:szCs w:val="20"/>
                        </w:rPr>
                        <w:t>has been</w:t>
                      </w:r>
                      <w:r w:rsidRPr="00FD297C">
                        <w:rPr>
                          <w:sz w:val="20"/>
                          <w:szCs w:val="20"/>
                        </w:rPr>
                        <w:t xml:space="preserve"> altered by reducing the range of the </w:t>
                      </w:r>
                      <w:r>
                        <w:rPr>
                          <w:sz w:val="20"/>
                          <w:szCs w:val="20"/>
                        </w:rPr>
                        <w:t>’66.66</w:t>
                      </w:r>
                      <w:r w:rsidRPr="00FD297C">
                        <w:rPr>
                          <w:sz w:val="20"/>
                          <w:szCs w:val="20"/>
                        </w:rPr>
                        <w:t xml:space="preserve">’ scoring option and increasing the ranges of the </w:t>
                      </w:r>
                      <w:r>
                        <w:rPr>
                          <w:sz w:val="20"/>
                          <w:szCs w:val="20"/>
                        </w:rPr>
                        <w:t>’33.33</w:t>
                      </w:r>
                      <w:r w:rsidRPr="00FD297C">
                        <w:rPr>
                          <w:sz w:val="20"/>
                          <w:szCs w:val="20"/>
                        </w:rPr>
                        <w:t>’ and ‘</w:t>
                      </w:r>
                      <w:r>
                        <w:rPr>
                          <w:sz w:val="20"/>
                          <w:szCs w:val="20"/>
                        </w:rPr>
                        <w:t>100</w:t>
                      </w:r>
                      <w:r w:rsidRPr="00FD297C">
                        <w:rPr>
                          <w:sz w:val="20"/>
                          <w:szCs w:val="20"/>
                        </w:rPr>
                        <w:t>’ options (</w:t>
                      </w:r>
                      <w:r>
                        <w:rPr>
                          <w:sz w:val="20"/>
                          <w:szCs w:val="20"/>
                        </w:rPr>
                        <w:t>0</w:t>
                      </w:r>
                      <w:r w:rsidRPr="00FD297C">
                        <w:rPr>
                          <w:sz w:val="20"/>
                          <w:szCs w:val="20"/>
                        </w:rPr>
                        <w:t xml:space="preserve">=no legislation; </w:t>
                      </w:r>
                      <w:r>
                        <w:rPr>
                          <w:sz w:val="20"/>
                          <w:szCs w:val="20"/>
                        </w:rPr>
                        <w:t>33.33</w:t>
                      </w:r>
                      <w:r w:rsidRPr="00FD297C">
                        <w:rPr>
                          <w:sz w:val="20"/>
                          <w:szCs w:val="20"/>
                        </w:rPr>
                        <w:t xml:space="preserve">=1–60; </w:t>
                      </w:r>
                      <w:r>
                        <w:rPr>
                          <w:sz w:val="20"/>
                          <w:szCs w:val="20"/>
                        </w:rPr>
                        <w:t>66.66</w:t>
                      </w:r>
                      <w:r w:rsidRPr="00FD297C">
                        <w:rPr>
                          <w:sz w:val="20"/>
                          <w:szCs w:val="20"/>
                        </w:rPr>
                        <w:t xml:space="preserve">=61–90; and </w:t>
                      </w:r>
                      <w:r>
                        <w:rPr>
                          <w:sz w:val="20"/>
                          <w:szCs w:val="20"/>
                        </w:rPr>
                        <w:t>100</w:t>
                      </w:r>
                      <w:r w:rsidRPr="00FD297C">
                        <w:rPr>
                          <w:sz w:val="20"/>
                          <w:szCs w:val="20"/>
                        </w:rPr>
                        <w:t>=91–150). Using this scale allow</w:t>
                      </w:r>
                      <w:r>
                        <w:rPr>
                          <w:sz w:val="20"/>
                          <w:szCs w:val="20"/>
                        </w:rPr>
                        <w:t>s</w:t>
                      </w:r>
                      <w:r w:rsidRPr="00FD297C">
                        <w:rPr>
                          <w:sz w:val="20"/>
                          <w:szCs w:val="20"/>
                        </w:rPr>
                        <w:t xml:space="preserve"> for greater diversity in the results while maintaining a replicable scoring system that reward</w:t>
                      </w:r>
                      <w:r>
                        <w:rPr>
                          <w:sz w:val="20"/>
                          <w:szCs w:val="20"/>
                        </w:rPr>
                        <w:t>s</w:t>
                      </w:r>
                      <w:r w:rsidRPr="00FD297C">
                        <w:rPr>
                          <w:sz w:val="20"/>
                          <w:szCs w:val="20"/>
                        </w:rPr>
                        <w:t xml:space="preserve"> objective progress. Though scoring donors on a relative scale was considered, given that both the </w:t>
                      </w:r>
                      <w:r>
                        <w:rPr>
                          <w:sz w:val="20"/>
                          <w:szCs w:val="20"/>
                        </w:rPr>
                        <w:t>Index</w:t>
                      </w:r>
                      <w:r w:rsidRPr="00FD297C">
                        <w:rPr>
                          <w:sz w:val="20"/>
                          <w:szCs w:val="20"/>
                        </w:rPr>
                        <w:t xml:space="preserve"> and the RTI Rating score donors based on objective measures, it </w:t>
                      </w:r>
                      <w:r>
                        <w:rPr>
                          <w:sz w:val="20"/>
                          <w:szCs w:val="20"/>
                        </w:rPr>
                        <w:t>i</w:t>
                      </w:r>
                      <w:r w:rsidRPr="00FD297C">
                        <w:rPr>
                          <w:sz w:val="20"/>
                          <w:szCs w:val="20"/>
                        </w:rPr>
                        <w:t xml:space="preserve">s not suitable to score organisations based on their performance relative to other organisations for this indicator alone. </w:t>
                      </w:r>
                    </w:p>
                    <w:p w14:paraId="2B3AEC3F" w14:textId="77777777" w:rsidR="0016721C" w:rsidRPr="00FD297C" w:rsidRDefault="0016721C" w:rsidP="006514E5">
                      <w:pPr>
                        <w:spacing w:after="0" w:line="240" w:lineRule="auto"/>
                        <w:rPr>
                          <w:sz w:val="20"/>
                          <w:szCs w:val="20"/>
                        </w:rPr>
                      </w:pPr>
                    </w:p>
                    <w:p w14:paraId="0E860229" w14:textId="77777777" w:rsidR="0016721C" w:rsidRPr="00FD297C" w:rsidRDefault="0016721C" w:rsidP="006514E5">
                      <w:pPr>
                        <w:spacing w:after="0" w:line="240" w:lineRule="auto"/>
                        <w:rPr>
                          <w:sz w:val="20"/>
                          <w:szCs w:val="20"/>
                        </w:rPr>
                      </w:pPr>
                      <w:r w:rsidRPr="00FD297C">
                        <w:rPr>
                          <w:sz w:val="20"/>
                          <w:szCs w:val="20"/>
                        </w:rPr>
                        <w:t>As the RTI Rating covers FOI legislation only, this mean</w:t>
                      </w:r>
                      <w:r>
                        <w:rPr>
                          <w:sz w:val="20"/>
                          <w:szCs w:val="20"/>
                        </w:rPr>
                        <w:t>s</w:t>
                      </w:r>
                      <w:r w:rsidRPr="00FD297C">
                        <w:rPr>
                          <w:sz w:val="20"/>
                          <w:szCs w:val="20"/>
                        </w:rPr>
                        <w:t xml:space="preserve"> there </w:t>
                      </w:r>
                      <w:r>
                        <w:rPr>
                          <w:sz w:val="20"/>
                          <w:szCs w:val="20"/>
                        </w:rPr>
                        <w:t>i</w:t>
                      </w:r>
                      <w:r w:rsidRPr="00FD297C">
                        <w:rPr>
                          <w:sz w:val="20"/>
                          <w:szCs w:val="20"/>
                        </w:rPr>
                        <w:t>s a data gap for non-bilateral donors with disclosure policies.</w:t>
                      </w:r>
                      <w:r>
                        <w:rPr>
                          <w:sz w:val="20"/>
                          <w:szCs w:val="20"/>
                        </w:rPr>
                        <w:t xml:space="preserve"> Publish What You Fund has therefore developed</w:t>
                      </w:r>
                      <w:r w:rsidRPr="00FD297C">
                        <w:rPr>
                          <w:sz w:val="20"/>
                          <w:szCs w:val="20"/>
                        </w:rPr>
                        <w:t xml:space="preserve"> a second </w:t>
                      </w:r>
                      <w:r>
                        <w:rPr>
                          <w:sz w:val="20"/>
                          <w:szCs w:val="20"/>
                        </w:rPr>
                        <w:t>three</w:t>
                      </w:r>
                      <w:r w:rsidRPr="00FD297C">
                        <w:rPr>
                          <w:sz w:val="20"/>
                          <w:szCs w:val="20"/>
                        </w:rPr>
                        <w:t xml:space="preserve"> point scale</w:t>
                      </w:r>
                      <w:r>
                        <w:rPr>
                          <w:sz w:val="20"/>
                          <w:szCs w:val="20"/>
                        </w:rPr>
                        <w:t xml:space="preserve">, </w:t>
                      </w:r>
                      <w:r w:rsidRPr="00FD297C">
                        <w:rPr>
                          <w:sz w:val="20"/>
                          <w:szCs w:val="20"/>
                        </w:rPr>
                        <w:t>guided by the principle that</w:t>
                      </w:r>
                      <w:r>
                        <w:rPr>
                          <w:sz w:val="20"/>
                          <w:szCs w:val="20"/>
                        </w:rPr>
                        <w:t>,</w:t>
                      </w:r>
                      <w:r w:rsidRPr="00FD297C">
                        <w:rPr>
                          <w:sz w:val="20"/>
                          <w:szCs w:val="20"/>
                        </w:rPr>
                        <w:t xml:space="preserve"> while non-bilateral donors </w:t>
                      </w:r>
                      <w:r>
                        <w:rPr>
                          <w:sz w:val="20"/>
                          <w:szCs w:val="20"/>
                        </w:rPr>
                        <w:t xml:space="preserve">may not be legally obliged to disclose their information, many of them have disclosure policies and that these should be taken into consideration, rather than having a data gap or awarding them an average score for this indicator. </w:t>
                      </w:r>
                    </w:p>
                    <w:p w14:paraId="460D8722" w14:textId="77777777" w:rsidR="0016721C" w:rsidRPr="00FD297C" w:rsidRDefault="0016721C" w:rsidP="006514E5">
                      <w:pPr>
                        <w:spacing w:after="0" w:line="240" w:lineRule="auto"/>
                        <w:rPr>
                          <w:sz w:val="20"/>
                          <w:szCs w:val="20"/>
                        </w:rPr>
                      </w:pPr>
                    </w:p>
                    <w:p w14:paraId="1005EB96" w14:textId="77777777" w:rsidR="0016721C" w:rsidRPr="00FD297C" w:rsidRDefault="0016721C" w:rsidP="006514E5">
                      <w:pPr>
                        <w:spacing w:after="0" w:line="240" w:lineRule="auto"/>
                        <w:rPr>
                          <w:sz w:val="20"/>
                          <w:szCs w:val="20"/>
                        </w:rPr>
                      </w:pPr>
                      <w:r w:rsidRPr="00FD297C">
                        <w:rPr>
                          <w:sz w:val="20"/>
                          <w:szCs w:val="20"/>
                        </w:rPr>
                        <w:t>The scoring system</w:t>
                      </w:r>
                      <w:r>
                        <w:rPr>
                          <w:sz w:val="20"/>
                          <w:szCs w:val="20"/>
                        </w:rPr>
                        <w:t xml:space="preserve"> used for disclosure policies in 2015 </w:t>
                      </w:r>
                      <w:r w:rsidRPr="00FD297C">
                        <w:rPr>
                          <w:sz w:val="20"/>
                          <w:szCs w:val="20"/>
                        </w:rPr>
                        <w:t xml:space="preserve">is a cumulative measure of three key indicators. If a donor’s policy has all three, </w:t>
                      </w:r>
                      <w:r>
                        <w:rPr>
                          <w:sz w:val="20"/>
                          <w:szCs w:val="20"/>
                        </w:rPr>
                        <w:t>100</w:t>
                      </w:r>
                      <w:r w:rsidRPr="00FD297C">
                        <w:rPr>
                          <w:sz w:val="20"/>
                          <w:szCs w:val="20"/>
                        </w:rPr>
                        <w:t xml:space="preserve"> is scored, if a donor’s disclosure policy has none of the three, or no disclosure policy at all, </w:t>
                      </w:r>
                      <w:r>
                        <w:rPr>
                          <w:sz w:val="20"/>
                          <w:szCs w:val="20"/>
                        </w:rPr>
                        <w:t>it scores 0</w:t>
                      </w:r>
                      <w:r w:rsidRPr="00FD297C">
                        <w:rPr>
                          <w:sz w:val="20"/>
                          <w:szCs w:val="20"/>
                        </w:rPr>
                        <w:t xml:space="preserve">. The indicators are: </w:t>
                      </w:r>
                    </w:p>
                    <w:p w14:paraId="4E2B90DD" w14:textId="77777777" w:rsidR="0016721C" w:rsidRPr="00863863" w:rsidRDefault="0016721C" w:rsidP="006514E5">
                      <w:pPr>
                        <w:pStyle w:val="ListParagraph"/>
                        <w:numPr>
                          <w:ilvl w:val="0"/>
                          <w:numId w:val="29"/>
                        </w:numPr>
                        <w:spacing w:after="0" w:line="240" w:lineRule="auto"/>
                        <w:rPr>
                          <w:sz w:val="20"/>
                          <w:szCs w:val="20"/>
                        </w:rPr>
                      </w:pPr>
                      <w:r w:rsidRPr="00863863">
                        <w:rPr>
                          <w:b/>
                          <w:sz w:val="20"/>
                          <w:szCs w:val="20"/>
                        </w:rPr>
                        <w:t xml:space="preserve">Presumption of disclosure: </w:t>
                      </w:r>
                      <w:r w:rsidRPr="00863863">
                        <w:rPr>
                          <w:sz w:val="20"/>
                          <w:szCs w:val="20"/>
                        </w:rPr>
                        <w:t>To score for this indicator, a disclosure policy must have a specific clause that states disclosure as the rule, thereby requiring a compel</w:t>
                      </w:r>
                      <w:r>
                        <w:rPr>
                          <w:sz w:val="20"/>
                          <w:szCs w:val="20"/>
                        </w:rPr>
                        <w:t>ling reason for non-disclosure (33.33 points).</w:t>
                      </w:r>
                    </w:p>
                    <w:p w14:paraId="7861510A" w14:textId="77777777" w:rsidR="0016721C" w:rsidRPr="00863863" w:rsidRDefault="0016721C" w:rsidP="006514E5">
                      <w:pPr>
                        <w:pStyle w:val="ListParagraph"/>
                        <w:numPr>
                          <w:ilvl w:val="0"/>
                          <w:numId w:val="29"/>
                        </w:numPr>
                        <w:spacing w:after="0" w:line="240" w:lineRule="auto"/>
                        <w:rPr>
                          <w:sz w:val="20"/>
                          <w:szCs w:val="20"/>
                        </w:rPr>
                      </w:pPr>
                      <w:r w:rsidRPr="00863863">
                        <w:rPr>
                          <w:b/>
                          <w:sz w:val="20"/>
                          <w:szCs w:val="20"/>
                        </w:rPr>
                        <w:t>Limitations on commercially sensitive and third party information</w:t>
                      </w:r>
                      <w:r>
                        <w:rPr>
                          <w:b/>
                          <w:sz w:val="20"/>
                          <w:szCs w:val="20"/>
                        </w:rPr>
                        <w:t xml:space="preserve"> and internal deliberations</w:t>
                      </w:r>
                      <w:r w:rsidRPr="00863863">
                        <w:rPr>
                          <w:b/>
                          <w:sz w:val="20"/>
                          <w:szCs w:val="20"/>
                        </w:rPr>
                        <w:t xml:space="preserve">: </w:t>
                      </w:r>
                      <w:r w:rsidRPr="00863863">
                        <w:rPr>
                          <w:sz w:val="20"/>
                          <w:szCs w:val="20"/>
                        </w:rPr>
                        <w:t xml:space="preserve">To score on this indicator, non-disclosure clauses related to these matters must be (a) defined clearly, (b) </w:t>
                      </w:r>
                      <w:r>
                        <w:rPr>
                          <w:sz w:val="20"/>
                          <w:szCs w:val="20"/>
                        </w:rPr>
                        <w:t>be subject to a harm test</w:t>
                      </w:r>
                      <w:r w:rsidRPr="00863863">
                        <w:rPr>
                          <w:sz w:val="20"/>
                          <w:szCs w:val="20"/>
                        </w:rPr>
                        <w:t>, and (c) be subject to a public interest override</w:t>
                      </w:r>
                      <w:r>
                        <w:rPr>
                          <w:sz w:val="20"/>
                          <w:szCs w:val="20"/>
                        </w:rPr>
                        <w:t xml:space="preserve"> (33.33 points)</w:t>
                      </w:r>
                      <w:r w:rsidRPr="00863863">
                        <w:rPr>
                          <w:sz w:val="20"/>
                          <w:szCs w:val="20"/>
                        </w:rPr>
                        <w:t xml:space="preserve">. </w:t>
                      </w:r>
                      <w:r>
                        <w:rPr>
                          <w:sz w:val="20"/>
                          <w:szCs w:val="20"/>
                        </w:rPr>
                        <w:t>To score on this indicator all three sub-criteria must be met.</w:t>
                      </w:r>
                    </w:p>
                    <w:p w14:paraId="486ED5E8" w14:textId="77777777" w:rsidR="0016721C" w:rsidRPr="00863863" w:rsidRDefault="0016721C" w:rsidP="006514E5">
                      <w:pPr>
                        <w:pStyle w:val="ListParagraph"/>
                        <w:numPr>
                          <w:ilvl w:val="0"/>
                          <w:numId w:val="29"/>
                        </w:numPr>
                        <w:spacing w:after="0" w:line="240" w:lineRule="auto"/>
                        <w:rPr>
                          <w:sz w:val="20"/>
                          <w:szCs w:val="20"/>
                        </w:rPr>
                      </w:pPr>
                      <w:r>
                        <w:rPr>
                          <w:b/>
                          <w:sz w:val="20"/>
                          <w:szCs w:val="20"/>
                        </w:rPr>
                        <w:t>Independent appeals process</w:t>
                      </w:r>
                      <w:r w:rsidRPr="00863863">
                        <w:rPr>
                          <w:b/>
                          <w:sz w:val="20"/>
                          <w:szCs w:val="20"/>
                        </w:rPr>
                        <w:t xml:space="preserve">: </w:t>
                      </w:r>
                      <w:r w:rsidRPr="00863863">
                        <w:rPr>
                          <w:sz w:val="20"/>
                          <w:szCs w:val="20"/>
                        </w:rPr>
                        <w:t xml:space="preserve">To score for this indicator, non-disclosure clauses </w:t>
                      </w:r>
                      <w:r>
                        <w:rPr>
                          <w:sz w:val="20"/>
                          <w:szCs w:val="20"/>
                        </w:rPr>
                        <w:t>must include an independent appeals process and the appeals body must include individuals that are independent from the organisation (33.33 points)</w:t>
                      </w:r>
                      <w:r w:rsidRPr="00863863">
                        <w:rPr>
                          <w:sz w:val="20"/>
                          <w:szCs w:val="20"/>
                        </w:rPr>
                        <w:t xml:space="preserve">. </w:t>
                      </w:r>
                    </w:p>
                    <w:p w14:paraId="5F110710" w14:textId="77777777" w:rsidR="0016721C" w:rsidRPr="00F726E7" w:rsidRDefault="0016721C" w:rsidP="006514E5">
                      <w:pPr>
                        <w:spacing w:after="0" w:line="240" w:lineRule="auto"/>
                        <w:rPr>
                          <w:sz w:val="20"/>
                          <w:szCs w:val="20"/>
                        </w:rPr>
                      </w:pPr>
                    </w:p>
                    <w:p w14:paraId="2B48CC3A" w14:textId="77777777" w:rsidR="0016721C" w:rsidRPr="00F726E7" w:rsidRDefault="0016721C" w:rsidP="006514E5">
                      <w:pPr>
                        <w:spacing w:after="0" w:line="240" w:lineRule="auto"/>
                        <w:rPr>
                          <w:sz w:val="20"/>
                          <w:szCs w:val="20"/>
                        </w:rPr>
                      </w:pPr>
                      <w:r w:rsidRPr="00F726E7">
                        <w:rPr>
                          <w:sz w:val="20"/>
                          <w:szCs w:val="20"/>
                        </w:rPr>
                        <w:t>While relatively simple, this indicator reflects international best practice in maximi</w:t>
                      </w:r>
                      <w:r>
                        <w:rPr>
                          <w:sz w:val="20"/>
                          <w:szCs w:val="20"/>
                        </w:rPr>
                        <w:t>s</w:t>
                      </w:r>
                      <w:r w:rsidRPr="00F726E7">
                        <w:rPr>
                          <w:sz w:val="20"/>
                          <w:szCs w:val="20"/>
                        </w:rPr>
                        <w:t>ing the right to information with the acknowledgement that donors are required not to disclose certain types of information.</w:t>
                      </w:r>
                      <w:r>
                        <w:rPr>
                          <w:sz w:val="20"/>
                          <w:szCs w:val="20"/>
                        </w:rPr>
                        <w:t xml:space="preserve"> Note that</w:t>
                      </w:r>
                      <w:r w:rsidRPr="00F726E7">
                        <w:rPr>
                          <w:sz w:val="20"/>
                          <w:szCs w:val="20"/>
                        </w:rPr>
                        <w:t xml:space="preserve"> </w:t>
                      </w:r>
                      <w:r>
                        <w:rPr>
                          <w:sz w:val="20"/>
                          <w:szCs w:val="20"/>
                        </w:rPr>
                        <w:t>in previous years, the limitations on third party information and internal deliberations were listed as separate criteria and appeals were assessed as part of the public interest override clause within each of these. The simplification in the grouping of criteria in 2014 was made based on advice received from FOI experts in FOI legislation.</w:t>
                      </w:r>
                    </w:p>
                  </w:txbxContent>
                </v:textbox>
                <w10:wrap type="square" anchorx="margin"/>
              </v:shape>
            </w:pict>
          </mc:Fallback>
        </mc:AlternateContent>
      </w:r>
    </w:p>
    <w:p w14:paraId="070C0C82" w14:textId="77777777" w:rsidR="005B5D00" w:rsidRPr="003C5058" w:rsidRDefault="005B5D00" w:rsidP="003C5058">
      <w:pPr>
        <w:spacing w:after="0" w:line="240" w:lineRule="auto"/>
        <w:rPr>
          <w:color w:val="FF0000"/>
        </w:rPr>
        <w:sectPr w:rsidR="005B5D00" w:rsidRPr="003C5058" w:rsidSect="002B2AC5">
          <w:pgSz w:w="16838" w:h="11906" w:orient="landscape"/>
          <w:pgMar w:top="1021" w:right="1021" w:bottom="1021" w:left="1021" w:header="709" w:footer="709" w:gutter="0"/>
          <w:cols w:space="708"/>
          <w:docGrid w:linePitch="360"/>
        </w:sectPr>
      </w:pPr>
    </w:p>
    <w:p w14:paraId="744899AF" w14:textId="77777777" w:rsidR="00917B5D" w:rsidRPr="000445AB" w:rsidRDefault="00284A8F" w:rsidP="00284A8F">
      <w:pPr>
        <w:pStyle w:val="Heading1"/>
        <w:pBdr>
          <w:bottom w:val="single" w:sz="4" w:space="1" w:color="auto"/>
        </w:pBdr>
        <w:spacing w:before="0" w:line="240" w:lineRule="auto"/>
        <w:rPr>
          <w:sz w:val="36"/>
        </w:rPr>
      </w:pPr>
      <w:bookmarkStart w:id="15" w:name="_Toc416100914"/>
      <w:r>
        <w:rPr>
          <w:sz w:val="36"/>
        </w:rPr>
        <w:t xml:space="preserve">Section 5. </w:t>
      </w:r>
      <w:r w:rsidR="00917B5D" w:rsidRPr="000445AB">
        <w:rPr>
          <w:sz w:val="36"/>
        </w:rPr>
        <w:t>Comparing results</w:t>
      </w:r>
      <w:r w:rsidR="00F53AEA">
        <w:rPr>
          <w:sz w:val="36"/>
        </w:rPr>
        <w:t xml:space="preserve"> with previous years</w:t>
      </w:r>
      <w:bookmarkEnd w:id="15"/>
    </w:p>
    <w:p w14:paraId="203CD333" w14:textId="77777777" w:rsidR="00917B5D" w:rsidRPr="00423FCC" w:rsidRDefault="00917B5D" w:rsidP="00935A49">
      <w:pPr>
        <w:spacing w:after="0" w:line="240" w:lineRule="auto"/>
        <w:rPr>
          <w:rFonts w:cstheme="minorHAnsi"/>
          <w:color w:val="000000"/>
        </w:rPr>
      </w:pPr>
    </w:p>
    <w:p w14:paraId="587F127C" w14:textId="45D1BCFC" w:rsidR="00FA1A44" w:rsidRPr="004D19B4" w:rsidRDefault="00FA1A44" w:rsidP="004D19B4">
      <w:pPr>
        <w:pStyle w:val="Heading4"/>
        <w:spacing w:before="0" w:line="240" w:lineRule="auto"/>
        <w:rPr>
          <w:rFonts w:ascii="Cambria" w:eastAsia="Calibri" w:hAnsi="Cambria" w:cs="Times New Roman"/>
          <w:color w:val="4F81BD"/>
          <w:sz w:val="28"/>
          <w:szCs w:val="26"/>
        </w:rPr>
      </w:pPr>
      <w:r w:rsidRPr="004D19B4">
        <w:rPr>
          <w:rFonts w:ascii="Cambria" w:eastAsia="Calibri" w:hAnsi="Cambria" w:cs="Times New Roman"/>
          <w:i w:val="0"/>
          <w:iCs w:val="0"/>
          <w:color w:val="4F81BD"/>
          <w:sz w:val="28"/>
          <w:szCs w:val="26"/>
        </w:rPr>
        <w:t xml:space="preserve">Comparing </w:t>
      </w:r>
      <w:r w:rsidR="00915901">
        <w:rPr>
          <w:rFonts w:ascii="Cambria" w:eastAsia="Calibri" w:hAnsi="Cambria" w:cs="Times New Roman"/>
          <w:i w:val="0"/>
          <w:iCs w:val="0"/>
          <w:color w:val="4F81BD"/>
          <w:sz w:val="28"/>
          <w:szCs w:val="26"/>
        </w:rPr>
        <w:t>with Index results from previous years</w:t>
      </w:r>
    </w:p>
    <w:p w14:paraId="1DF4F96A" w14:textId="77777777" w:rsidR="00FA1A44" w:rsidRDefault="00FA1A44" w:rsidP="00935A49">
      <w:pPr>
        <w:spacing w:after="0" w:line="240" w:lineRule="auto"/>
        <w:rPr>
          <w:rFonts w:cstheme="minorHAnsi"/>
          <w:color w:val="000000"/>
        </w:rPr>
      </w:pPr>
    </w:p>
    <w:p w14:paraId="5A110D3B" w14:textId="17FD3382" w:rsidR="00915901" w:rsidRDefault="00915901" w:rsidP="00915901">
      <w:pPr>
        <w:spacing w:after="0" w:line="240" w:lineRule="auto"/>
        <w:rPr>
          <w:rFonts w:cstheme="minorHAnsi"/>
          <w:color w:val="000000"/>
        </w:rPr>
      </w:pPr>
      <w:r w:rsidRPr="0006122C">
        <w:rPr>
          <w:rFonts w:cstheme="minorHAnsi"/>
          <w:color w:val="000000"/>
        </w:rPr>
        <w:t>Maintaining the Index met</w:t>
      </w:r>
      <w:r w:rsidR="0060437E" w:rsidRPr="0006122C">
        <w:rPr>
          <w:rFonts w:cstheme="minorHAnsi"/>
          <w:color w:val="000000"/>
        </w:rPr>
        <w:t xml:space="preserve">hodology for </w:t>
      </w:r>
      <w:r w:rsidR="00B9298C">
        <w:rPr>
          <w:rFonts w:cstheme="minorHAnsi"/>
          <w:color w:val="000000"/>
        </w:rPr>
        <w:t>2013, 2014 and</w:t>
      </w:r>
      <w:r w:rsidR="0060437E" w:rsidRPr="0006122C">
        <w:rPr>
          <w:rFonts w:cstheme="minorHAnsi"/>
          <w:color w:val="000000"/>
        </w:rPr>
        <w:t xml:space="preserve"> </w:t>
      </w:r>
      <w:r w:rsidR="004D26DF">
        <w:rPr>
          <w:rFonts w:cstheme="minorHAnsi"/>
          <w:color w:val="000000"/>
        </w:rPr>
        <w:t>2016</w:t>
      </w:r>
      <w:r w:rsidR="0060437E" w:rsidRPr="0006122C">
        <w:rPr>
          <w:rFonts w:cstheme="minorHAnsi"/>
          <w:color w:val="000000"/>
        </w:rPr>
        <w:t xml:space="preserve"> </w:t>
      </w:r>
      <w:r w:rsidRPr="0006122C">
        <w:rPr>
          <w:rFonts w:cstheme="minorHAnsi"/>
          <w:color w:val="000000"/>
        </w:rPr>
        <w:t xml:space="preserve">allows for comparisons of absolute scores for the organisations assessed in </w:t>
      </w:r>
      <w:r w:rsidR="00B9298C">
        <w:rPr>
          <w:rFonts w:cstheme="minorHAnsi"/>
          <w:color w:val="000000"/>
        </w:rPr>
        <w:t>all three</w:t>
      </w:r>
      <w:r w:rsidRPr="0006122C">
        <w:rPr>
          <w:rFonts w:cstheme="minorHAnsi"/>
          <w:color w:val="000000"/>
        </w:rPr>
        <w:t xml:space="preserve"> years. However, it is important to note that only a sub-set of the 68 organisations assessed in 201</w:t>
      </w:r>
      <w:r w:rsidR="00B9298C">
        <w:rPr>
          <w:rFonts w:cstheme="minorHAnsi"/>
          <w:color w:val="000000"/>
        </w:rPr>
        <w:t>4</w:t>
      </w:r>
      <w:r w:rsidRPr="0006122C">
        <w:rPr>
          <w:rFonts w:cstheme="minorHAnsi"/>
          <w:color w:val="000000"/>
        </w:rPr>
        <w:t xml:space="preserve"> </w:t>
      </w:r>
      <w:r w:rsidR="0006122C" w:rsidRPr="0006122C">
        <w:rPr>
          <w:rFonts w:cstheme="minorHAnsi"/>
          <w:color w:val="000000"/>
        </w:rPr>
        <w:t xml:space="preserve">have been included in the </w:t>
      </w:r>
      <w:r w:rsidR="004D26DF">
        <w:rPr>
          <w:rFonts w:cstheme="minorHAnsi"/>
          <w:color w:val="000000"/>
        </w:rPr>
        <w:t>2016</w:t>
      </w:r>
      <w:r w:rsidR="000B72CC">
        <w:rPr>
          <w:rFonts w:cstheme="minorHAnsi"/>
          <w:color w:val="000000"/>
        </w:rPr>
        <w:t xml:space="preserve"> Index</w:t>
      </w:r>
      <w:r w:rsidRPr="0006122C">
        <w:rPr>
          <w:rFonts w:cstheme="minorHAnsi"/>
          <w:color w:val="000000"/>
        </w:rPr>
        <w:t xml:space="preserve">. This means </w:t>
      </w:r>
      <w:r w:rsidR="00310845" w:rsidRPr="0006122C">
        <w:rPr>
          <w:rFonts w:cstheme="minorHAnsi"/>
          <w:color w:val="000000"/>
        </w:rPr>
        <w:t xml:space="preserve">that drawing </w:t>
      </w:r>
      <w:r w:rsidR="0006122C">
        <w:rPr>
          <w:rFonts w:cstheme="minorHAnsi"/>
          <w:color w:val="000000"/>
        </w:rPr>
        <w:t xml:space="preserve">direct </w:t>
      </w:r>
      <w:r w:rsidR="00310845" w:rsidRPr="0006122C">
        <w:rPr>
          <w:rFonts w:cstheme="minorHAnsi"/>
          <w:color w:val="000000"/>
        </w:rPr>
        <w:t xml:space="preserve">comparisons </w:t>
      </w:r>
      <w:r w:rsidR="0006122C" w:rsidRPr="0006122C">
        <w:rPr>
          <w:rFonts w:cstheme="minorHAnsi"/>
          <w:color w:val="000000"/>
        </w:rPr>
        <w:t>between</w:t>
      </w:r>
      <w:r w:rsidR="00310845" w:rsidRPr="0006122C">
        <w:rPr>
          <w:rFonts w:cstheme="minorHAnsi"/>
          <w:color w:val="000000"/>
        </w:rPr>
        <w:t xml:space="preserve"> the</w:t>
      </w:r>
      <w:r w:rsidRPr="0006122C">
        <w:rPr>
          <w:rFonts w:cstheme="minorHAnsi"/>
          <w:color w:val="000000"/>
        </w:rPr>
        <w:t xml:space="preserve"> </w:t>
      </w:r>
      <w:r w:rsidR="00641BF3">
        <w:rPr>
          <w:rFonts w:cstheme="minorHAnsi"/>
          <w:color w:val="000000"/>
        </w:rPr>
        <w:t>ranking</w:t>
      </w:r>
      <w:r w:rsidRPr="0006122C">
        <w:rPr>
          <w:rFonts w:cstheme="minorHAnsi"/>
          <w:color w:val="000000"/>
        </w:rPr>
        <w:t xml:space="preserve"> of the </w:t>
      </w:r>
      <w:r w:rsidR="00D0542A">
        <w:rPr>
          <w:rFonts w:cstheme="minorHAnsi"/>
          <w:color w:val="000000"/>
        </w:rPr>
        <w:t>46</w:t>
      </w:r>
      <w:r w:rsidRPr="0006122C">
        <w:rPr>
          <w:rFonts w:cstheme="minorHAnsi"/>
          <w:color w:val="000000"/>
        </w:rPr>
        <w:t xml:space="preserve"> organisations included </w:t>
      </w:r>
      <w:r w:rsidR="0006122C" w:rsidRPr="0006122C">
        <w:rPr>
          <w:rFonts w:cstheme="minorHAnsi"/>
          <w:color w:val="000000"/>
        </w:rPr>
        <w:t xml:space="preserve">in the </w:t>
      </w:r>
      <w:r w:rsidR="004D26DF">
        <w:rPr>
          <w:rFonts w:cstheme="minorHAnsi"/>
          <w:color w:val="000000"/>
        </w:rPr>
        <w:t>2016</w:t>
      </w:r>
      <w:r w:rsidR="000B72CC">
        <w:rPr>
          <w:rFonts w:cstheme="minorHAnsi"/>
          <w:color w:val="000000"/>
        </w:rPr>
        <w:t xml:space="preserve"> Index</w:t>
      </w:r>
      <w:r w:rsidR="000B72CC" w:rsidRPr="0006122C">
        <w:rPr>
          <w:rFonts w:cstheme="minorHAnsi"/>
          <w:color w:val="000000"/>
        </w:rPr>
        <w:t xml:space="preserve"> </w:t>
      </w:r>
      <w:r w:rsidR="00310845" w:rsidRPr="0006122C">
        <w:rPr>
          <w:rFonts w:cstheme="minorHAnsi"/>
          <w:color w:val="000000"/>
        </w:rPr>
        <w:t>with the</w:t>
      </w:r>
      <w:r w:rsidRPr="0006122C">
        <w:rPr>
          <w:rFonts w:cstheme="minorHAnsi"/>
          <w:color w:val="000000"/>
        </w:rPr>
        <w:t xml:space="preserve"> </w:t>
      </w:r>
      <w:r w:rsidR="00641BF3">
        <w:rPr>
          <w:rFonts w:cstheme="minorHAnsi"/>
          <w:color w:val="000000"/>
        </w:rPr>
        <w:t>ranking</w:t>
      </w:r>
      <w:r w:rsidR="00310845" w:rsidRPr="0006122C">
        <w:rPr>
          <w:rFonts w:cstheme="minorHAnsi"/>
          <w:color w:val="000000"/>
        </w:rPr>
        <w:t xml:space="preserve"> of the </w:t>
      </w:r>
      <w:r w:rsidR="000B72CC">
        <w:rPr>
          <w:rFonts w:cstheme="minorHAnsi"/>
          <w:color w:val="000000"/>
        </w:rPr>
        <w:t>68</w:t>
      </w:r>
      <w:r w:rsidR="00310845" w:rsidRPr="0006122C">
        <w:rPr>
          <w:rFonts w:cstheme="minorHAnsi"/>
          <w:color w:val="000000"/>
        </w:rPr>
        <w:t xml:space="preserve"> organisations included in the 2014 Index is not possible.</w:t>
      </w:r>
      <w:r w:rsidR="00641BF3">
        <w:rPr>
          <w:rFonts w:cstheme="minorHAnsi"/>
          <w:color w:val="000000"/>
        </w:rPr>
        <w:t xml:space="preserve"> </w:t>
      </w:r>
      <w:r w:rsidR="00FD588F">
        <w:rPr>
          <w:rFonts w:cstheme="minorHAnsi"/>
          <w:color w:val="000000"/>
        </w:rPr>
        <w:t>Only absolute scores can be compared over the three years</w:t>
      </w:r>
      <w:r w:rsidR="00641BF3">
        <w:rPr>
          <w:rFonts w:cstheme="minorHAnsi"/>
          <w:color w:val="000000"/>
        </w:rPr>
        <w:t>. For example, if donor X scored 55% in 2014</w:t>
      </w:r>
      <w:r w:rsidR="00FD588F">
        <w:rPr>
          <w:rFonts w:cstheme="minorHAnsi"/>
          <w:color w:val="000000"/>
        </w:rPr>
        <w:t xml:space="preserve"> and ranked 23/68 compared to 60</w:t>
      </w:r>
      <w:r w:rsidR="00641BF3">
        <w:rPr>
          <w:rFonts w:cstheme="minorHAnsi"/>
          <w:color w:val="000000"/>
        </w:rPr>
        <w:t xml:space="preserve">% in 2016 and ranked 23/46, its </w:t>
      </w:r>
      <w:r w:rsidR="00FD588F">
        <w:rPr>
          <w:rFonts w:cstheme="minorHAnsi"/>
          <w:color w:val="000000"/>
        </w:rPr>
        <w:t xml:space="preserve">overall </w:t>
      </w:r>
      <w:r w:rsidR="00641BF3">
        <w:rPr>
          <w:rFonts w:cstheme="minorHAnsi"/>
          <w:color w:val="000000"/>
        </w:rPr>
        <w:t>performance has improved even though its ranking has declined.</w:t>
      </w:r>
    </w:p>
    <w:p w14:paraId="5B357356" w14:textId="77777777" w:rsidR="00310845" w:rsidRDefault="00310845" w:rsidP="00915901">
      <w:pPr>
        <w:spacing w:after="0" w:line="240" w:lineRule="auto"/>
        <w:rPr>
          <w:rFonts w:cstheme="minorHAnsi"/>
          <w:color w:val="000000"/>
        </w:rPr>
      </w:pPr>
    </w:p>
    <w:p w14:paraId="2C96A174" w14:textId="77777777" w:rsidR="00941D4C" w:rsidRDefault="00941D4C" w:rsidP="00935A49">
      <w:pPr>
        <w:spacing w:after="0" w:line="240" w:lineRule="auto"/>
        <w:rPr>
          <w:rFonts w:cstheme="minorHAnsi"/>
          <w:color w:val="000000"/>
        </w:rPr>
      </w:pPr>
      <w:r>
        <w:rPr>
          <w:rFonts w:cstheme="minorHAnsi"/>
          <w:color w:val="000000"/>
        </w:rPr>
        <w:t>Scoring</w:t>
      </w:r>
      <w:r w:rsidR="00917B5D" w:rsidRPr="00F53AEA">
        <w:rPr>
          <w:rFonts w:cstheme="minorHAnsi"/>
          <w:color w:val="000000"/>
        </w:rPr>
        <w:t xml:space="preserve"> the </w:t>
      </w:r>
      <w:r w:rsidR="00F53AEA" w:rsidRPr="00F53AEA">
        <w:rPr>
          <w:rFonts w:cstheme="minorHAnsi"/>
          <w:color w:val="000000"/>
        </w:rPr>
        <w:t xml:space="preserve">quality and </w:t>
      </w:r>
      <w:r w:rsidR="00A956B1" w:rsidRPr="00F53AEA">
        <w:rPr>
          <w:rFonts w:cstheme="minorHAnsi"/>
          <w:color w:val="000000"/>
        </w:rPr>
        <w:t xml:space="preserve">frequency of </w:t>
      </w:r>
      <w:r w:rsidR="00917B5D" w:rsidRPr="00F53AEA">
        <w:rPr>
          <w:rFonts w:cstheme="minorHAnsi"/>
          <w:color w:val="000000"/>
        </w:rPr>
        <w:t>publication</w:t>
      </w:r>
      <w:r w:rsidRPr="00941D4C">
        <w:rPr>
          <w:rFonts w:cstheme="minorHAnsi"/>
          <w:color w:val="000000"/>
        </w:rPr>
        <w:t xml:space="preserve"> </w:t>
      </w:r>
      <w:r w:rsidR="00310845">
        <w:rPr>
          <w:rFonts w:cstheme="minorHAnsi"/>
          <w:color w:val="000000"/>
        </w:rPr>
        <w:t>since 2013 has provided</w:t>
      </w:r>
      <w:r w:rsidRPr="00F53AEA">
        <w:rPr>
          <w:rFonts w:cstheme="minorHAnsi"/>
          <w:color w:val="000000"/>
        </w:rPr>
        <w:t xml:space="preserve"> a more accurate picture of aid transparency</w:t>
      </w:r>
      <w:r>
        <w:rPr>
          <w:rFonts w:cstheme="minorHAnsi"/>
          <w:color w:val="000000"/>
        </w:rPr>
        <w:t>, but this also means that i</w:t>
      </w:r>
      <w:r w:rsidRPr="00F53AEA">
        <w:rPr>
          <w:rFonts w:cstheme="minorHAnsi"/>
          <w:color w:val="000000"/>
        </w:rPr>
        <w:t xml:space="preserve">t is not possible to compare absolute scores </w:t>
      </w:r>
      <w:r w:rsidR="00B714BC">
        <w:rPr>
          <w:rFonts w:cstheme="minorHAnsi"/>
          <w:color w:val="000000"/>
        </w:rPr>
        <w:t>from 2013 onwards</w:t>
      </w:r>
      <w:r w:rsidRPr="00F53AEA">
        <w:rPr>
          <w:rFonts w:cstheme="minorHAnsi"/>
          <w:color w:val="000000"/>
        </w:rPr>
        <w:t xml:space="preserve"> with absolute scores in </w:t>
      </w:r>
      <w:r w:rsidR="00FA1A44">
        <w:rPr>
          <w:rFonts w:cstheme="minorHAnsi"/>
          <w:color w:val="000000"/>
        </w:rPr>
        <w:t xml:space="preserve">2012 or </w:t>
      </w:r>
      <w:r w:rsidR="004F6860">
        <w:rPr>
          <w:rFonts w:cstheme="minorHAnsi"/>
          <w:color w:val="000000"/>
        </w:rPr>
        <w:t>earlier</w:t>
      </w:r>
      <w:r w:rsidR="00917B5D" w:rsidRPr="00F53AEA">
        <w:rPr>
          <w:rFonts w:cstheme="minorHAnsi"/>
          <w:color w:val="000000"/>
        </w:rPr>
        <w:t xml:space="preserve">. </w:t>
      </w:r>
      <w:r>
        <w:rPr>
          <w:rFonts w:cstheme="minorHAnsi"/>
          <w:color w:val="000000"/>
        </w:rPr>
        <w:t>For example, i</w:t>
      </w:r>
      <w:r w:rsidR="00917B5D" w:rsidRPr="00F53AEA">
        <w:rPr>
          <w:rFonts w:cstheme="minorHAnsi"/>
          <w:color w:val="000000"/>
        </w:rPr>
        <w:t>n 201</w:t>
      </w:r>
      <w:r w:rsidR="00A956B1" w:rsidRPr="00F53AEA">
        <w:rPr>
          <w:rFonts w:cstheme="minorHAnsi"/>
          <w:color w:val="000000"/>
        </w:rPr>
        <w:t>2</w:t>
      </w:r>
      <w:r w:rsidR="00917B5D" w:rsidRPr="00F53AEA">
        <w:rPr>
          <w:rFonts w:cstheme="minorHAnsi"/>
          <w:color w:val="000000"/>
        </w:rPr>
        <w:t xml:space="preserve">, organisations would have </w:t>
      </w:r>
      <w:r w:rsidR="004F6860">
        <w:rPr>
          <w:rFonts w:cstheme="minorHAnsi"/>
          <w:color w:val="000000"/>
        </w:rPr>
        <w:t>scored</w:t>
      </w:r>
      <w:r w:rsidR="00917B5D" w:rsidRPr="00F53AEA">
        <w:rPr>
          <w:rFonts w:cstheme="minorHAnsi"/>
          <w:color w:val="000000"/>
        </w:rPr>
        <w:t xml:space="preserve"> either 0% or 100% for an indicator regardless of</w:t>
      </w:r>
      <w:r w:rsidR="004F6860">
        <w:rPr>
          <w:rFonts w:cstheme="minorHAnsi"/>
          <w:color w:val="000000"/>
        </w:rPr>
        <w:t xml:space="preserve"> the </w:t>
      </w:r>
      <w:r w:rsidR="00917B5D" w:rsidRPr="00F53AEA">
        <w:rPr>
          <w:rFonts w:cstheme="minorHAnsi"/>
          <w:color w:val="000000"/>
        </w:rPr>
        <w:t>format</w:t>
      </w:r>
      <w:r w:rsidR="004F6860">
        <w:rPr>
          <w:rFonts w:cstheme="minorHAnsi"/>
          <w:color w:val="000000"/>
        </w:rPr>
        <w:t xml:space="preserve"> of the data</w:t>
      </w:r>
      <w:r w:rsidR="00917B5D" w:rsidRPr="00F53AEA">
        <w:rPr>
          <w:rFonts w:cstheme="minorHAnsi"/>
          <w:color w:val="000000"/>
        </w:rPr>
        <w:t xml:space="preserve">. </w:t>
      </w:r>
      <w:r w:rsidR="00725563">
        <w:rPr>
          <w:rFonts w:cstheme="minorHAnsi"/>
          <w:color w:val="000000"/>
        </w:rPr>
        <w:t>From 2013 onwards</w:t>
      </w:r>
      <w:r w:rsidR="00235CB8">
        <w:rPr>
          <w:rFonts w:cstheme="minorHAnsi"/>
          <w:color w:val="000000"/>
        </w:rPr>
        <w:t>, for 2</w:t>
      </w:r>
      <w:r w:rsidR="00A83FB6">
        <w:rPr>
          <w:rFonts w:cstheme="minorHAnsi"/>
          <w:color w:val="000000"/>
        </w:rPr>
        <w:t>2</w:t>
      </w:r>
      <w:r w:rsidR="00917B5D" w:rsidRPr="00F53AEA">
        <w:rPr>
          <w:rFonts w:cstheme="minorHAnsi"/>
          <w:color w:val="000000"/>
        </w:rPr>
        <w:t xml:space="preserve"> indicators, publishing in IATI XML format can score between 50% and 100%, while publishing a PDF </w:t>
      </w:r>
      <w:r w:rsidR="00F53AEA" w:rsidRPr="00F53AEA">
        <w:rPr>
          <w:rFonts w:cstheme="minorHAnsi"/>
          <w:color w:val="000000"/>
        </w:rPr>
        <w:t>c</w:t>
      </w:r>
      <w:r w:rsidR="00917B5D" w:rsidRPr="00F53AEA">
        <w:rPr>
          <w:rFonts w:cstheme="minorHAnsi"/>
          <w:color w:val="000000"/>
        </w:rPr>
        <w:t xml:space="preserve">an score only 16.67%. So an organisation that may have scored 100% for an indicator in 2012 may only </w:t>
      </w:r>
      <w:r w:rsidR="00A956B1" w:rsidRPr="00F53AEA">
        <w:rPr>
          <w:rFonts w:cstheme="minorHAnsi"/>
          <w:color w:val="000000"/>
        </w:rPr>
        <w:t>have scored</w:t>
      </w:r>
      <w:r w:rsidR="00B714BC">
        <w:rPr>
          <w:rFonts w:cstheme="minorHAnsi"/>
          <w:color w:val="000000"/>
        </w:rPr>
        <w:t xml:space="preserve"> 16.67% in 2013 or later </w:t>
      </w:r>
      <w:r w:rsidR="00917B5D" w:rsidRPr="00F53AEA">
        <w:rPr>
          <w:rFonts w:cstheme="minorHAnsi"/>
          <w:color w:val="000000"/>
        </w:rPr>
        <w:t>without changing its practice, due to the change in scoring method.</w:t>
      </w:r>
      <w:r>
        <w:rPr>
          <w:rFonts w:cstheme="minorHAnsi"/>
          <w:color w:val="000000"/>
        </w:rPr>
        <w:t xml:space="preserve"> </w:t>
      </w:r>
    </w:p>
    <w:p w14:paraId="29BCB89B" w14:textId="77777777" w:rsidR="00C9490D" w:rsidRPr="00423FCC" w:rsidRDefault="00C9490D" w:rsidP="00935A49">
      <w:pPr>
        <w:spacing w:after="0" w:line="240" w:lineRule="auto"/>
        <w:rPr>
          <w:rFonts w:eastAsiaTheme="majorEastAsia" w:cstheme="majorBidi"/>
          <w:bCs/>
          <w:color w:val="365F91" w:themeColor="accent1" w:themeShade="BF"/>
        </w:rPr>
      </w:pPr>
    </w:p>
    <w:p w14:paraId="4802E780" w14:textId="77777777" w:rsidR="00917B5D" w:rsidRPr="00553543" w:rsidRDefault="00917B5D" w:rsidP="00935A49">
      <w:pPr>
        <w:pStyle w:val="Heading4"/>
        <w:spacing w:before="0" w:line="240" w:lineRule="auto"/>
        <w:rPr>
          <w:rFonts w:ascii="Cambria" w:eastAsia="Calibri" w:hAnsi="Cambria" w:cs="Times New Roman"/>
          <w:i w:val="0"/>
          <w:iCs w:val="0"/>
          <w:color w:val="4F81BD"/>
          <w:sz w:val="28"/>
          <w:szCs w:val="26"/>
        </w:rPr>
      </w:pPr>
      <w:r w:rsidRPr="00553543">
        <w:rPr>
          <w:rFonts w:ascii="Cambria" w:eastAsia="Calibri" w:hAnsi="Cambria" w:cs="Times New Roman"/>
          <w:i w:val="0"/>
          <w:iCs w:val="0"/>
          <w:color w:val="4F81BD"/>
          <w:sz w:val="28"/>
          <w:szCs w:val="26"/>
        </w:rPr>
        <w:t>Trends over time and how we might identify them</w:t>
      </w:r>
    </w:p>
    <w:p w14:paraId="3278077F" w14:textId="77777777" w:rsidR="00553543" w:rsidRDefault="00553543" w:rsidP="00935A49">
      <w:pPr>
        <w:spacing w:after="0" w:line="240" w:lineRule="auto"/>
        <w:rPr>
          <w:rFonts w:eastAsiaTheme="majorEastAsia" w:cstheme="majorBidi"/>
          <w:bCs/>
          <w:lang w:val="en-SG"/>
        </w:rPr>
      </w:pPr>
    </w:p>
    <w:p w14:paraId="41C45F7D" w14:textId="77777777" w:rsidR="00917B5D" w:rsidRPr="00423FCC" w:rsidRDefault="00917B5D" w:rsidP="00935A49">
      <w:pPr>
        <w:spacing w:after="0" w:line="240" w:lineRule="auto"/>
        <w:rPr>
          <w:rFonts w:eastAsiaTheme="majorEastAsia" w:cstheme="majorBidi"/>
          <w:bCs/>
          <w:lang w:val="en-SG"/>
        </w:rPr>
      </w:pPr>
      <w:r w:rsidRPr="00423FCC">
        <w:rPr>
          <w:rFonts w:eastAsiaTheme="majorEastAsia" w:cstheme="majorBidi"/>
          <w:bCs/>
          <w:lang w:val="en-SG"/>
        </w:rPr>
        <w:t>It will be easier to identify trends in aid transparency as annual data</w:t>
      </w:r>
      <w:r w:rsidR="008C2431">
        <w:rPr>
          <w:rFonts w:eastAsiaTheme="majorEastAsia" w:cstheme="majorBidi"/>
          <w:bCs/>
          <w:lang w:val="en-SG"/>
        </w:rPr>
        <w:t xml:space="preserve"> is generated through the Aid Transparency Tracker</w:t>
      </w:r>
      <w:r w:rsidRPr="00423FCC">
        <w:rPr>
          <w:rFonts w:eastAsiaTheme="majorEastAsia" w:cstheme="majorBidi"/>
          <w:bCs/>
          <w:lang w:val="en-SG"/>
        </w:rPr>
        <w:t>.</w:t>
      </w:r>
      <w:r w:rsidR="00643E95">
        <w:rPr>
          <w:rFonts w:eastAsiaTheme="majorEastAsia" w:cstheme="majorBidi"/>
          <w:bCs/>
          <w:lang w:val="en-SG"/>
        </w:rPr>
        <w:t xml:space="preserve"> </w:t>
      </w:r>
      <w:r w:rsidRPr="00423FCC">
        <w:rPr>
          <w:rFonts w:eastAsiaTheme="majorEastAsia" w:cstheme="majorBidi"/>
          <w:bCs/>
          <w:lang w:val="en-SG"/>
        </w:rPr>
        <w:t xml:space="preserve">It </w:t>
      </w:r>
      <w:r w:rsidR="004F6860">
        <w:rPr>
          <w:rFonts w:eastAsiaTheme="majorEastAsia" w:cstheme="majorBidi"/>
          <w:bCs/>
          <w:lang w:val="en-SG"/>
        </w:rPr>
        <w:t>is already possible to start identifying</w:t>
      </w:r>
      <w:r w:rsidR="00F53AEA">
        <w:rPr>
          <w:rFonts w:eastAsiaTheme="majorEastAsia" w:cstheme="majorBidi"/>
          <w:bCs/>
          <w:lang w:val="en-SG"/>
        </w:rPr>
        <w:t>:</w:t>
      </w:r>
      <w:r w:rsidRPr="00423FCC">
        <w:rPr>
          <w:rFonts w:eastAsiaTheme="majorEastAsia" w:cstheme="majorBidi"/>
          <w:bCs/>
          <w:lang w:val="en-SG"/>
        </w:rPr>
        <w:t xml:space="preserve"> </w:t>
      </w:r>
    </w:p>
    <w:p w14:paraId="25901BC6" w14:textId="77777777"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Whether there are general increases in aid transparency</w:t>
      </w:r>
    </w:p>
    <w:p w14:paraId="24863AD8" w14:textId="77777777"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 xml:space="preserve">Whether more donors are publishing </w:t>
      </w:r>
      <w:r w:rsidR="004F6860">
        <w:rPr>
          <w:rFonts w:eastAsiaTheme="majorEastAsia" w:cstheme="majorBidi"/>
          <w:bCs/>
          <w:lang w:val="en-SG"/>
        </w:rPr>
        <w:t>in</w:t>
      </w:r>
      <w:r w:rsidRPr="00423FCC">
        <w:rPr>
          <w:rFonts w:eastAsiaTheme="majorEastAsia" w:cstheme="majorBidi"/>
          <w:bCs/>
          <w:lang w:val="en-SG"/>
        </w:rPr>
        <w:t xml:space="preserve"> more accessible </w:t>
      </w:r>
      <w:r w:rsidR="004F6860">
        <w:rPr>
          <w:rFonts w:eastAsiaTheme="majorEastAsia" w:cstheme="majorBidi"/>
          <w:bCs/>
          <w:lang w:val="en-SG"/>
        </w:rPr>
        <w:t xml:space="preserve">data </w:t>
      </w:r>
      <w:r w:rsidRPr="00423FCC">
        <w:rPr>
          <w:rFonts w:eastAsiaTheme="majorEastAsia" w:cstheme="majorBidi"/>
          <w:bCs/>
          <w:lang w:val="en-SG"/>
        </w:rPr>
        <w:t xml:space="preserve">formats </w:t>
      </w:r>
    </w:p>
    <w:p w14:paraId="4C8C47FC" w14:textId="77777777"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Whether more information is being published to IATI, and what types</w:t>
      </w:r>
    </w:p>
    <w:p w14:paraId="3CB26E61" w14:textId="77777777"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Whether the quality of data published to IATI is improving</w:t>
      </w:r>
    </w:p>
    <w:p w14:paraId="2441654B" w14:textId="77777777" w:rsidR="000445AB" w:rsidRDefault="000445AB" w:rsidP="00935A49">
      <w:pPr>
        <w:pStyle w:val="Heading1"/>
        <w:numPr>
          <w:ilvl w:val="0"/>
          <w:numId w:val="18"/>
        </w:numPr>
        <w:pBdr>
          <w:bottom w:val="single" w:sz="4" w:space="1" w:color="auto"/>
        </w:pBdr>
        <w:spacing w:before="0" w:line="240" w:lineRule="auto"/>
        <w:rPr>
          <w:sz w:val="36"/>
        </w:rPr>
        <w:sectPr w:rsidR="000445AB" w:rsidSect="002B2AC5">
          <w:pgSz w:w="16838" w:h="11906" w:orient="landscape"/>
          <w:pgMar w:top="1021" w:right="1021" w:bottom="1021" w:left="1021" w:header="709" w:footer="709" w:gutter="0"/>
          <w:cols w:space="708"/>
          <w:docGrid w:linePitch="360"/>
        </w:sectPr>
      </w:pPr>
    </w:p>
    <w:p w14:paraId="7BD7B0DB" w14:textId="77777777" w:rsidR="004E04F7" w:rsidRPr="00394D03" w:rsidRDefault="00284A8F" w:rsidP="00394D03">
      <w:pPr>
        <w:pStyle w:val="Heading1"/>
        <w:pBdr>
          <w:bottom w:val="single" w:sz="4" w:space="1" w:color="auto"/>
        </w:pBdr>
        <w:spacing w:before="0" w:line="240" w:lineRule="auto"/>
        <w:rPr>
          <w:sz w:val="36"/>
        </w:rPr>
      </w:pPr>
      <w:bookmarkStart w:id="16" w:name="_Toc416100915"/>
      <w:r w:rsidRPr="00394D03">
        <w:rPr>
          <w:sz w:val="36"/>
        </w:rPr>
        <w:t xml:space="preserve">Section 6. </w:t>
      </w:r>
      <w:r w:rsidR="004E04F7" w:rsidRPr="00394D03">
        <w:rPr>
          <w:sz w:val="36"/>
        </w:rPr>
        <w:t>Challenges, limitations and lessons learn</w:t>
      </w:r>
      <w:r w:rsidR="00C2647F">
        <w:rPr>
          <w:sz w:val="36"/>
        </w:rPr>
        <w:t>t</w:t>
      </w:r>
      <w:bookmarkEnd w:id="16"/>
    </w:p>
    <w:p w14:paraId="1CA8ADC2" w14:textId="77777777" w:rsidR="004E04F7" w:rsidRPr="005F2562" w:rsidRDefault="004E04F7" w:rsidP="00EF3BF3">
      <w:pPr>
        <w:spacing w:after="0" w:line="240" w:lineRule="auto"/>
      </w:pPr>
    </w:p>
    <w:p w14:paraId="0E1EAA0C" w14:textId="105441BD" w:rsidR="004E04F7" w:rsidRDefault="004E04F7" w:rsidP="00EF3BF3">
      <w:pPr>
        <w:spacing w:after="0" w:line="240" w:lineRule="auto"/>
      </w:pPr>
      <w:r>
        <w:t xml:space="preserve">The methodology </w:t>
      </w:r>
      <w:r w:rsidR="0006122C">
        <w:t xml:space="preserve">used for the Aid Transparency Index </w:t>
      </w:r>
      <w:r w:rsidR="00D073A9">
        <w:t>has been developed in close consultation with development experts</w:t>
      </w:r>
      <w:r>
        <w:t>, taking into consideration the challenges and limitations faced in previous years and any lessons learn</w:t>
      </w:r>
      <w:r w:rsidR="007C2472">
        <w:t>t</w:t>
      </w:r>
      <w:r>
        <w:t>. The following issues remain:</w:t>
      </w:r>
    </w:p>
    <w:p w14:paraId="496E352C" w14:textId="77777777" w:rsidR="00CC3BE0" w:rsidRDefault="00CC3BE0" w:rsidP="009937B8">
      <w:pPr>
        <w:spacing w:after="0" w:line="240" w:lineRule="auto"/>
      </w:pPr>
    </w:p>
    <w:p w14:paraId="23FAB646" w14:textId="77777777"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Representative nature of an organisation</w:t>
      </w:r>
    </w:p>
    <w:p w14:paraId="642F5460" w14:textId="27085E2B" w:rsidR="004E04F7" w:rsidRDefault="0000739C" w:rsidP="009937B8">
      <w:pPr>
        <w:spacing w:after="0" w:line="240" w:lineRule="auto"/>
      </w:pPr>
      <w:r>
        <w:t xml:space="preserve">The </w:t>
      </w:r>
      <w:r w:rsidR="002E390B">
        <w:t>Index</w:t>
      </w:r>
      <w:r w:rsidR="004E04F7">
        <w:t xml:space="preserve"> cover</w:t>
      </w:r>
      <w:r>
        <w:t>s</w:t>
      </w:r>
      <w:r w:rsidR="004E04F7">
        <w:t xml:space="preserve"> lead agencies of different donor countries or groups. </w:t>
      </w:r>
      <w:r w:rsidR="00893194" w:rsidRPr="00C11028">
        <w:t xml:space="preserve">We received feedback from some donors that we should not be considering agencies separately, but should rather consider that donor </w:t>
      </w:r>
      <w:r w:rsidR="00D073A9">
        <w:t xml:space="preserve">organisation </w:t>
      </w:r>
      <w:r w:rsidR="00893194" w:rsidRPr="00C11028">
        <w:t>as a whole. We opted to maintain the disaggregation of agencies</w:t>
      </w:r>
      <w:r w:rsidR="00893194">
        <w:t>.</w:t>
      </w:r>
      <w:r w:rsidR="008B5E33">
        <w:t xml:space="preserve"> </w:t>
      </w:r>
      <w:r w:rsidR="00893194">
        <w:t xml:space="preserve"> </w:t>
      </w:r>
      <w:r w:rsidR="00D95B62">
        <w:t>As a result</w:t>
      </w:r>
      <w:r w:rsidR="004E04F7">
        <w:t xml:space="preserve"> the </w:t>
      </w:r>
      <w:r w:rsidR="002E390B">
        <w:t>Index</w:t>
      </w:r>
      <w:r w:rsidR="004E04F7">
        <w:t xml:space="preserve"> reflect</w:t>
      </w:r>
      <w:r w:rsidR="00D073A9">
        <w:t>s</w:t>
      </w:r>
      <w:r w:rsidR="004E04F7">
        <w:t xml:space="preserve"> the transparency of only those organisations that have been assessed.</w:t>
      </w:r>
      <w:r w:rsidR="004E04F7" w:rsidRPr="00C11028">
        <w:t xml:space="preserve"> These results </w:t>
      </w:r>
      <w:r w:rsidR="004E04F7">
        <w:t>are</w:t>
      </w:r>
      <w:r w:rsidR="004E04F7" w:rsidRPr="00C11028">
        <w:t xml:space="preserve"> not a particularly good proxy for the whole of the donor’s aid </w:t>
      </w:r>
      <w:r w:rsidR="004E04F7">
        <w:t xml:space="preserve">transparency. Consequently the </w:t>
      </w:r>
      <w:r w:rsidR="004E04F7" w:rsidRPr="00C11028">
        <w:t>agency or organisation</w:t>
      </w:r>
      <w:r w:rsidR="004E04F7">
        <w:t xml:space="preserve"> under assessment</w:t>
      </w:r>
      <w:r w:rsidR="004E04F7" w:rsidRPr="00C11028">
        <w:t xml:space="preserve"> is always specified.</w:t>
      </w:r>
      <w:r w:rsidR="00643E95">
        <w:t xml:space="preserve"> </w:t>
      </w:r>
    </w:p>
    <w:p w14:paraId="06C4C284" w14:textId="77777777" w:rsidR="00CC3BE0" w:rsidRDefault="00CC3BE0" w:rsidP="009937B8">
      <w:pPr>
        <w:spacing w:after="0" w:line="240" w:lineRule="auto"/>
      </w:pPr>
    </w:p>
    <w:p w14:paraId="4566FB0C" w14:textId="77777777"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Exemptions</w:t>
      </w:r>
    </w:p>
    <w:p w14:paraId="1AB9E4F0" w14:textId="16FB30A1" w:rsidR="004E04F7" w:rsidRDefault="004E04F7" w:rsidP="009937B8">
      <w:pPr>
        <w:spacing w:after="0" w:line="240" w:lineRule="auto"/>
      </w:pPr>
      <w:r>
        <w:t xml:space="preserve">Exemptions are not addressed in </w:t>
      </w:r>
      <w:r w:rsidR="00D073A9">
        <w:t xml:space="preserve">the </w:t>
      </w:r>
      <w:r w:rsidR="002E390B">
        <w:t>Index</w:t>
      </w:r>
      <w:r>
        <w:t>. We recognise that there are often legitimate reasons for excluding specific information items (or sometimes entire projects) from publication where publishing such information may cause harm.</w:t>
      </w:r>
      <w:r w:rsidR="00643E95">
        <w:t xml:space="preserve"> </w:t>
      </w:r>
      <w:r>
        <w:t>However, we do not accept that certain organisations should not be measured for certain indicators; rather all organisations covered by th</w:t>
      </w:r>
      <w:r w:rsidR="00D073A9">
        <w:t xml:space="preserve">e </w:t>
      </w:r>
      <w:r w:rsidR="00B9298C">
        <w:t>Index</w:t>
      </w:r>
      <w:r w:rsidR="009F391C">
        <w:t xml:space="preserve"> </w:t>
      </w:r>
      <w:r>
        <w:t xml:space="preserve">should publish to all indicators with exclusions or redactions as necessary. The principle we have adopted is that exclusions should be transparently stated, and should be at a low enough level to allow </w:t>
      </w:r>
      <w:r w:rsidR="00893194">
        <w:t>them</w:t>
      </w:r>
      <w:r>
        <w:t xml:space="preserve"> to be challenged where they do not appear to be warranted, while at the same time ensuring the purpose of legitimate exclusions is not compromised.</w:t>
      </w:r>
      <w:r w:rsidR="00643E95">
        <w:t xml:space="preserve"> </w:t>
      </w:r>
      <w:r>
        <w:t>For instance, if contracts contain commercially sensitive information, we would still expect the contract to be published with redactions and the reasons for those redactions</w:t>
      </w:r>
      <w:r w:rsidR="00E2354D">
        <w:t>, including why publishing the information will cause material and direct harm</w:t>
      </w:r>
      <w:r w:rsidR="00640364">
        <w:t>.</w:t>
      </w:r>
    </w:p>
    <w:p w14:paraId="68907C0A" w14:textId="77777777" w:rsidR="00E2354D" w:rsidRDefault="00E2354D" w:rsidP="009937B8">
      <w:pPr>
        <w:spacing w:after="0" w:line="240" w:lineRule="auto"/>
      </w:pPr>
    </w:p>
    <w:p w14:paraId="09F375F6" w14:textId="77777777" w:rsidR="004E04F7" w:rsidRDefault="004E04F7" w:rsidP="009937B8">
      <w:pPr>
        <w:spacing w:after="0" w:line="240" w:lineRule="auto"/>
      </w:pPr>
      <w:r w:rsidRPr="00DB0D42">
        <w:t xml:space="preserve">The IATI </w:t>
      </w:r>
      <w:r w:rsidR="0006122C">
        <w:t>S</w:t>
      </w:r>
      <w:r w:rsidRPr="00DB0D42">
        <w:t>tandard allows for exemptions as long as the reasons for exemptions are stated in an exclusions policy document. However, stating exemptions for specific projects is currently no</w:t>
      </w:r>
      <w:r w:rsidR="0006122C">
        <w:t>t possible within the existing S</w:t>
      </w:r>
      <w:r w:rsidRPr="00DB0D42">
        <w:t>tandard. We will work with donors to propose an extension to address the issue of project-specific exemptions i</w:t>
      </w:r>
      <w:r w:rsidR="0006122C">
        <w:t>n a future upgrade of the IATI S</w:t>
      </w:r>
      <w:r w:rsidRPr="00DB0D42">
        <w:t>tandard.</w:t>
      </w:r>
    </w:p>
    <w:p w14:paraId="5C01082D" w14:textId="77777777" w:rsidR="004E04F7" w:rsidRDefault="004E04F7" w:rsidP="004E04F7">
      <w:pPr>
        <w:keepNext/>
        <w:keepLines/>
        <w:spacing w:after="0" w:line="240" w:lineRule="auto"/>
        <w:outlineLvl w:val="3"/>
        <w:rPr>
          <w:rFonts w:ascii="Calibri" w:eastAsia="Times New Roman" w:hAnsi="Calibri" w:cs="Times New Roman"/>
          <w:b/>
          <w:bCs/>
          <w:iCs/>
          <w:color w:val="4F81BD"/>
        </w:rPr>
      </w:pPr>
    </w:p>
    <w:p w14:paraId="2EA38DD3" w14:textId="77777777" w:rsidR="002B748F" w:rsidRDefault="002B748F" w:rsidP="002B748F">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 xml:space="preserve">Scoring all organisations on all indicators </w:t>
      </w:r>
    </w:p>
    <w:p w14:paraId="5384AB92" w14:textId="77777777" w:rsidR="00556826" w:rsidRPr="00556826" w:rsidRDefault="00556826" w:rsidP="00556826">
      <w:pPr>
        <w:spacing w:after="0" w:line="240" w:lineRule="auto"/>
      </w:pPr>
    </w:p>
    <w:p w14:paraId="23B6EAAA" w14:textId="3D85471D" w:rsidR="002B748F" w:rsidRPr="00556826" w:rsidRDefault="002B748F" w:rsidP="00556826">
      <w:pPr>
        <w:spacing w:after="0" w:line="240" w:lineRule="auto"/>
      </w:pPr>
      <w:r w:rsidRPr="00556826">
        <w:t xml:space="preserve">As in previous years, all organisations are scored on all indicators. All organisations – bilateral agencies, IFIs, multilateral institutions – are worth assessing together as they are influential providers with an explicit development or poverty reduction mandate, mostly represent official external financing and all have an impact on recipient countries and actors. They are, therefore, held to a common set of standards, within or without “official development assistance” flows. Not all donors have or collect all the information that we are looking for and so they cannot make it available. </w:t>
      </w:r>
    </w:p>
    <w:p w14:paraId="3B554171" w14:textId="77777777" w:rsidR="002B748F" w:rsidRPr="00556826" w:rsidRDefault="002B748F" w:rsidP="00556826">
      <w:pPr>
        <w:spacing w:after="0" w:line="240" w:lineRule="auto"/>
      </w:pPr>
    </w:p>
    <w:p w14:paraId="50BC630B" w14:textId="3D05E6F9" w:rsidR="002B748F" w:rsidRPr="00556826" w:rsidRDefault="002B748F" w:rsidP="00556826">
      <w:pPr>
        <w:spacing w:after="0" w:line="240" w:lineRule="auto"/>
      </w:pPr>
      <w:r w:rsidRPr="00556826">
        <w:t xml:space="preserve">We recognise that not all the indicators are a direct fit with an organisation’s particular modus operandi. To address this, the scoring guidelines for certain indicators have been amended to accept equivalent documents or information. Annex 1 lists the equivalent documents that are considered to serve similar purposes to those set out for each indicator and therefore accepted for scoring responses. </w:t>
      </w:r>
    </w:p>
    <w:p w14:paraId="6630726A" w14:textId="77777777" w:rsidR="002B748F" w:rsidRPr="00556826" w:rsidRDefault="002B748F" w:rsidP="00556826">
      <w:pPr>
        <w:spacing w:after="0" w:line="240" w:lineRule="auto"/>
        <w:rPr>
          <w:rFonts w:eastAsia="Calibri"/>
        </w:rPr>
      </w:pPr>
    </w:p>
    <w:p w14:paraId="6BA2290B" w14:textId="77777777" w:rsidR="004E04F7" w:rsidRDefault="004E04F7" w:rsidP="004E04F7">
      <w:pPr>
        <w:pStyle w:val="Heading4"/>
        <w:spacing w:before="0" w:line="240" w:lineRule="auto"/>
        <w:rPr>
          <w:rFonts w:ascii="Cambria" w:eastAsia="Calibri" w:hAnsi="Cambria" w:cs="Times New Roman"/>
          <w:i w:val="0"/>
          <w:iCs w:val="0"/>
          <w:color w:val="4F81BD"/>
          <w:sz w:val="28"/>
          <w:szCs w:val="26"/>
        </w:rPr>
      </w:pPr>
      <w:r w:rsidRPr="00C2060A">
        <w:rPr>
          <w:rFonts w:ascii="Cambria" w:eastAsia="Calibri" w:hAnsi="Cambria" w:cs="Times New Roman"/>
          <w:i w:val="0"/>
          <w:iCs w:val="0"/>
          <w:color w:val="4F81BD"/>
          <w:sz w:val="28"/>
          <w:szCs w:val="26"/>
        </w:rPr>
        <w:t>Difficult indicators</w:t>
      </w:r>
    </w:p>
    <w:p w14:paraId="470D7159" w14:textId="77777777" w:rsidR="00556826" w:rsidRDefault="00556826" w:rsidP="007257DB">
      <w:pPr>
        <w:spacing w:after="0" w:line="240" w:lineRule="auto"/>
      </w:pPr>
    </w:p>
    <w:p w14:paraId="69C241F7" w14:textId="77777777" w:rsidR="004E04F7" w:rsidRDefault="004E04F7" w:rsidP="007257DB">
      <w:pPr>
        <w:spacing w:after="0" w:line="240" w:lineRule="auto"/>
      </w:pPr>
      <w:r>
        <w:t xml:space="preserve">Some indicators </w:t>
      </w:r>
      <w:r w:rsidR="00D073A9">
        <w:t>are</w:t>
      </w:r>
      <w:r>
        <w:t xml:space="preserve"> subject to particular scrutiny to ensure that we are being fair to all donors </w:t>
      </w:r>
      <w:r w:rsidR="00B806C1">
        <w:t>assessed</w:t>
      </w:r>
      <w:r>
        <w:t xml:space="preserve"> and that we are not duplicating any indicators. </w:t>
      </w:r>
    </w:p>
    <w:p w14:paraId="5C698A61" w14:textId="77777777" w:rsidR="004D2A4C" w:rsidRDefault="004D2A4C" w:rsidP="007257DB">
      <w:pPr>
        <w:spacing w:after="0" w:line="240" w:lineRule="auto"/>
      </w:pPr>
    </w:p>
    <w:p w14:paraId="57EE896C" w14:textId="77777777"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Forward budgets</w:t>
      </w:r>
    </w:p>
    <w:p w14:paraId="751ADA6F" w14:textId="77777777" w:rsidR="004D2A4C" w:rsidRDefault="004E04F7" w:rsidP="007257DB">
      <w:pPr>
        <w:spacing w:after="0" w:line="240" w:lineRule="auto"/>
      </w:pPr>
      <w:r>
        <w:t xml:space="preserve">In </w:t>
      </w:r>
      <w:r w:rsidR="00D073A9">
        <w:t>2011 and 2012</w:t>
      </w:r>
      <w:r w:rsidR="007257DB">
        <w:t xml:space="preserve">, </w:t>
      </w:r>
      <w:r>
        <w:t xml:space="preserve">a full three years of forward visibility </w:t>
      </w:r>
      <w:r w:rsidR="007257DB">
        <w:t xml:space="preserve">was required </w:t>
      </w:r>
      <w:r>
        <w:t>in order to score on the total organisation budget and disaggregated budget indicators</w:t>
      </w:r>
      <w:r w:rsidR="00C44AC2">
        <w:t xml:space="preserve"> (indicators 9 and 10)</w:t>
      </w:r>
      <w:r>
        <w:t xml:space="preserve">. </w:t>
      </w:r>
      <w:r w:rsidR="007257DB">
        <w:t xml:space="preserve">This </w:t>
      </w:r>
      <w:r w:rsidR="00D073A9">
        <w:t>w</w:t>
      </w:r>
      <w:r w:rsidR="007257DB">
        <w:t>as amended in 2013 a</w:t>
      </w:r>
      <w:r w:rsidR="00240FD6">
        <w:t>nd is</w:t>
      </w:r>
      <w:r w:rsidR="007257DB">
        <w:t xml:space="preserve"> now</w:t>
      </w:r>
      <w:r>
        <w:t xml:space="preserve"> a graduated score based on the number of years </w:t>
      </w:r>
      <w:r w:rsidR="007257DB" w:rsidRPr="00821C7D">
        <w:t xml:space="preserve">(up to three years) for which organisations are publishing budget information. </w:t>
      </w:r>
      <w:r w:rsidR="007257DB">
        <w:t>This allows</w:t>
      </w:r>
      <w:r>
        <w:t xml:space="preserve"> some credit to donors that publish some forward budget information</w:t>
      </w:r>
      <w:r w:rsidR="007257DB">
        <w:t>, albeit not for the full three years</w:t>
      </w:r>
      <w:r>
        <w:t>.</w:t>
      </w:r>
      <w:r w:rsidRPr="00821C7D">
        <w:t xml:space="preserve"> </w:t>
      </w:r>
    </w:p>
    <w:p w14:paraId="223ACB3D" w14:textId="77777777" w:rsidR="004D2A4C" w:rsidRDefault="004D2A4C" w:rsidP="007257DB">
      <w:pPr>
        <w:spacing w:after="0" w:line="240" w:lineRule="auto"/>
      </w:pPr>
    </w:p>
    <w:p w14:paraId="4493A0D4" w14:textId="13E60CF6" w:rsidR="00D002FD" w:rsidRDefault="004E04F7" w:rsidP="007257DB">
      <w:pPr>
        <w:spacing w:after="0" w:line="240" w:lineRule="auto"/>
        <w:rPr>
          <w:rFonts w:eastAsiaTheme="minorHAnsi"/>
          <w:lang w:bidi="ar-SA"/>
        </w:rPr>
      </w:pPr>
      <w:r w:rsidRPr="00821C7D">
        <w:t>Each year ahead is worth one third of the total possible score for th</w:t>
      </w:r>
      <w:r w:rsidR="007257DB">
        <w:t>e</w:t>
      </w:r>
      <w:r w:rsidRPr="00821C7D">
        <w:t xml:space="preserve"> indicator. </w:t>
      </w:r>
      <w:r>
        <w:t>Aggregate budgets are treated the same as a one year forward looking, i.e. a lump sum budget for 201</w:t>
      </w:r>
      <w:r w:rsidR="0000739C">
        <w:t>5</w:t>
      </w:r>
      <w:r w:rsidR="00D073A9">
        <w:t>–201</w:t>
      </w:r>
      <w:r w:rsidR="0000739C">
        <w:t>7</w:t>
      </w:r>
      <w:r>
        <w:t xml:space="preserve"> is treated the same as a one year budget for 201</w:t>
      </w:r>
      <w:r w:rsidR="0000739C">
        <w:t>6</w:t>
      </w:r>
      <w:r>
        <w:t>. If a donor publishes a budget for 201</w:t>
      </w:r>
      <w:r w:rsidR="0000739C">
        <w:t>6</w:t>
      </w:r>
      <w:r>
        <w:t xml:space="preserve"> and then a lump sum budget for 20</w:t>
      </w:r>
      <w:r w:rsidR="0000739C">
        <w:t>17</w:t>
      </w:r>
      <w:r>
        <w:t>–201</w:t>
      </w:r>
      <w:r w:rsidR="0000739C">
        <w:t>8</w:t>
      </w:r>
      <w:r>
        <w:t xml:space="preserve">, then </w:t>
      </w:r>
      <w:r w:rsidR="00C44AC2">
        <w:t>this</w:t>
      </w:r>
      <w:r>
        <w:t xml:space="preserve"> is considered to be two years forward looking. In addition to the number of years, scores are also graduated based on the format in which the information is published. </w:t>
      </w:r>
      <w:r w:rsidRPr="00D1289D">
        <w:t>The final score is then (x/3) for years fo</w:t>
      </w:r>
      <w:r>
        <w:t>rward – and then multiplied by the format score (see details of</w:t>
      </w:r>
      <w:r w:rsidR="004A3C4E">
        <w:t xml:space="preserve"> scoring approach in Section 2)</w:t>
      </w:r>
      <w:r w:rsidRPr="00D1289D">
        <w:rPr>
          <w:rFonts w:eastAsiaTheme="minorHAnsi"/>
          <w:lang w:bidi="ar-SA"/>
        </w:rPr>
        <w:t>. Budgets need to run up to a minimum of December 201</w:t>
      </w:r>
      <w:r w:rsidR="0000739C">
        <w:rPr>
          <w:rFonts w:eastAsiaTheme="minorHAnsi"/>
          <w:lang w:bidi="ar-SA"/>
        </w:rPr>
        <w:t>8</w:t>
      </w:r>
      <w:r w:rsidRPr="00D1289D">
        <w:rPr>
          <w:rFonts w:eastAsiaTheme="minorHAnsi"/>
          <w:lang w:bidi="ar-SA"/>
        </w:rPr>
        <w:t xml:space="preserve"> to score for 'three years forward'. Organisations at the end of their fixed budget cycles and therefore without a published budget for the next three years do not receive points for this indicator.</w:t>
      </w:r>
    </w:p>
    <w:p w14:paraId="6E8DAB4C" w14:textId="77777777" w:rsidR="00240FD6" w:rsidRDefault="00240FD6" w:rsidP="007257DB">
      <w:pPr>
        <w:spacing w:after="0" w:line="240" w:lineRule="auto"/>
        <w:rPr>
          <w:rFonts w:eastAsiaTheme="minorHAnsi"/>
          <w:lang w:bidi="ar-SA"/>
        </w:rPr>
      </w:pPr>
    </w:p>
    <w:p w14:paraId="4BF16AFC" w14:textId="77777777" w:rsidR="00240FD6" w:rsidRDefault="00C44AC2" w:rsidP="00C44AC2">
      <w:pPr>
        <w:spacing w:after="0" w:line="240" w:lineRule="auto"/>
        <w:rPr>
          <w:rFonts w:cstheme="minorHAnsi"/>
          <w:color w:val="000000"/>
        </w:rPr>
      </w:pPr>
      <w:r w:rsidRPr="0006122C">
        <w:rPr>
          <w:rFonts w:cstheme="minorHAnsi"/>
          <w:color w:val="000000"/>
        </w:rPr>
        <w:t>Activity budgets (indicator 33) have to be forward-looking and broken down by quarter ahead to score. Information on planned expenditures need</w:t>
      </w:r>
      <w:r w:rsidR="002E6500" w:rsidRPr="0006122C">
        <w:rPr>
          <w:rFonts w:cstheme="minorHAnsi"/>
          <w:color w:val="000000"/>
        </w:rPr>
        <w:t>s</w:t>
      </w:r>
      <w:r w:rsidRPr="0006122C">
        <w:rPr>
          <w:rFonts w:cstheme="minorHAnsi"/>
          <w:color w:val="000000"/>
        </w:rPr>
        <w:t xml:space="preserve"> to be broken down by year </w:t>
      </w:r>
      <w:r w:rsidR="002E6500" w:rsidRPr="0006122C">
        <w:rPr>
          <w:rFonts w:cstheme="minorHAnsi"/>
          <w:color w:val="000000"/>
        </w:rPr>
        <w:t xml:space="preserve">and by quarter </w:t>
      </w:r>
      <w:r w:rsidRPr="0006122C">
        <w:rPr>
          <w:rFonts w:cstheme="minorHAnsi"/>
          <w:color w:val="000000"/>
        </w:rPr>
        <w:t>in order to score for the indicator.</w:t>
      </w:r>
      <w:r w:rsidR="002E6500" w:rsidRPr="0006122C">
        <w:rPr>
          <w:rFonts w:cstheme="minorHAnsi"/>
          <w:color w:val="000000"/>
        </w:rPr>
        <w:t xml:space="preserve"> For IATI data, half of the data quality points are awarded for having a one-year forward looking budget, and the remaining half</w:t>
      </w:r>
      <w:r w:rsidR="00227012" w:rsidRPr="0006122C">
        <w:rPr>
          <w:rFonts w:cstheme="minorHAnsi"/>
          <w:color w:val="000000"/>
        </w:rPr>
        <w:t xml:space="preserve"> of</w:t>
      </w:r>
      <w:r w:rsidR="002E6500" w:rsidRPr="0006122C">
        <w:rPr>
          <w:rFonts w:cstheme="minorHAnsi"/>
          <w:color w:val="000000"/>
        </w:rPr>
        <w:t xml:space="preserve"> the points are awarded for </w:t>
      </w:r>
      <w:r w:rsidR="00FA1A2F" w:rsidRPr="0006122C">
        <w:rPr>
          <w:rFonts w:cstheme="minorHAnsi"/>
          <w:color w:val="000000"/>
        </w:rPr>
        <w:t>providing a quarterly forward-looking budget</w:t>
      </w:r>
      <w:r w:rsidR="0006122C" w:rsidRPr="0006122C">
        <w:rPr>
          <w:rFonts w:cstheme="minorHAnsi"/>
          <w:color w:val="000000"/>
        </w:rPr>
        <w:t>.</w:t>
      </w:r>
    </w:p>
    <w:p w14:paraId="07A22070" w14:textId="77777777" w:rsidR="004D2A4C" w:rsidRDefault="004D2A4C" w:rsidP="007257DB">
      <w:pPr>
        <w:spacing w:after="0" w:line="240" w:lineRule="auto"/>
      </w:pPr>
    </w:p>
    <w:p w14:paraId="71C328D3" w14:textId="77777777" w:rsidR="004E04F7" w:rsidRPr="00D002FD" w:rsidRDefault="004E04F7" w:rsidP="007257DB">
      <w:pPr>
        <w:spacing w:after="0" w:line="240" w:lineRule="auto"/>
      </w:pPr>
      <w:r w:rsidRPr="00D1289D">
        <w:rPr>
          <w:rFonts w:eastAsiaTheme="minorHAnsi"/>
          <w:lang w:bidi="ar-SA"/>
        </w:rPr>
        <w:t>IFIs and DFIs do not have budgets allocated to them as traditional aid agencies do. In many cases, total budgets are established annually, once total financial figures of all investments are taken into account. However, they do have projected total spend figures that they sometimes publish. If published, these projected figures are accepted for this indicator.</w:t>
      </w:r>
      <w:r>
        <w:t xml:space="preserve"> </w:t>
      </w:r>
      <w:r w:rsidR="00E2354D">
        <w:t xml:space="preserve">Similarly, indicative figures are accepted where actual figures are not available. </w:t>
      </w:r>
      <w:r>
        <w:t>Thematic</w:t>
      </w:r>
      <w:r w:rsidRPr="00D1289D">
        <w:t xml:space="preserve"> budgets are accepted for </w:t>
      </w:r>
      <w:r>
        <w:t xml:space="preserve">the disaggregated budgets indicator for </w:t>
      </w:r>
      <w:r w:rsidRPr="00D1289D">
        <w:t>organisations that do</w:t>
      </w:r>
      <w:r>
        <w:t xml:space="preserve"> not</w:t>
      </w:r>
      <w:r w:rsidRPr="00D1289D">
        <w:t xml:space="preserve"> organise themselves by countries. Projected figures disaggregated along thematic and sectoral priorities</w:t>
      </w:r>
      <w:r w:rsidR="007257DB">
        <w:t xml:space="preserve">, </w:t>
      </w:r>
      <w:r w:rsidRPr="00D1289D">
        <w:t>at a similar level of detail to their total organisation budgets</w:t>
      </w:r>
      <w:r w:rsidR="007257DB">
        <w:t>,</w:t>
      </w:r>
      <w:r w:rsidRPr="00D1289D">
        <w:t xml:space="preserve"> are accepted. </w:t>
      </w:r>
    </w:p>
    <w:p w14:paraId="67021312" w14:textId="77777777" w:rsidR="004E04F7" w:rsidRDefault="004E04F7" w:rsidP="007257DB">
      <w:pPr>
        <w:keepNext/>
        <w:keepLines/>
        <w:spacing w:after="0" w:line="240" w:lineRule="auto"/>
        <w:outlineLvl w:val="3"/>
        <w:rPr>
          <w:rFonts w:ascii="Calibri" w:eastAsia="Times New Roman" w:hAnsi="Calibri" w:cs="Times New Roman"/>
          <w:b/>
          <w:bCs/>
          <w:iCs/>
          <w:color w:val="4F81BD"/>
        </w:rPr>
      </w:pPr>
    </w:p>
    <w:p w14:paraId="55A29372" w14:textId="77777777"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Implementation schedules</w:t>
      </w:r>
    </w:p>
    <w:p w14:paraId="58FF6A8F" w14:textId="77777777" w:rsidR="00C44AC2" w:rsidRDefault="004E04F7" w:rsidP="007257DB">
      <w:pPr>
        <w:spacing w:after="0" w:line="240" w:lineRule="auto"/>
      </w:pPr>
      <w:r w:rsidRPr="001B1752">
        <w:t xml:space="preserve">In </w:t>
      </w:r>
      <w:r w:rsidR="00D073A9">
        <w:t>2011 and 2012</w:t>
      </w:r>
      <w:r w:rsidRPr="001B1752">
        <w:t>, engagement with the International Aid Transparency Initiative was used to measure a</w:t>
      </w:r>
      <w:r w:rsidR="00764D73">
        <w:t>n organisation’s</w:t>
      </w:r>
      <w:r w:rsidRPr="001B1752">
        <w:t xml:space="preserve"> overall commitmen</w:t>
      </w:r>
      <w:r w:rsidR="00764D73">
        <w:t xml:space="preserve">t to aid transparency. </w:t>
      </w:r>
      <w:r w:rsidR="00240FD6">
        <w:t xml:space="preserve">From </w:t>
      </w:r>
      <w:r>
        <w:t>2013</w:t>
      </w:r>
      <w:r w:rsidR="00E2354D">
        <w:t xml:space="preserve"> onwards</w:t>
      </w:r>
      <w:r>
        <w:t xml:space="preserve">, </w:t>
      </w:r>
      <w:r w:rsidRPr="001B1752">
        <w:t>donors’ schedules for implementing the IATI component of the common standard</w:t>
      </w:r>
      <w:r w:rsidR="00764D73">
        <w:t xml:space="preserve"> </w:t>
      </w:r>
      <w:r w:rsidR="00240FD6">
        <w:t>a</w:t>
      </w:r>
      <w:r w:rsidR="00764D73">
        <w:t xml:space="preserve">re analysed in order </w:t>
      </w:r>
      <w:r>
        <w:t xml:space="preserve">to provide a comparative overview of </w:t>
      </w:r>
      <w:r w:rsidR="00764D73">
        <w:t xml:space="preserve">donors’ </w:t>
      </w:r>
      <w:r>
        <w:t xml:space="preserve">plans to </w:t>
      </w:r>
      <w:r w:rsidR="00764D73">
        <w:t>implement the Busan</w:t>
      </w:r>
      <w:r>
        <w:t xml:space="preserve"> </w:t>
      </w:r>
      <w:r w:rsidRPr="001B1752">
        <w:t xml:space="preserve">commitments </w:t>
      </w:r>
      <w:r>
        <w:t>within the</w:t>
      </w:r>
      <w:r w:rsidRPr="001B1752">
        <w:t xml:space="preserve"> </w:t>
      </w:r>
      <w:r w:rsidR="00764D73">
        <w:t xml:space="preserve">agreed </w:t>
      </w:r>
      <w:r w:rsidRPr="001B1752">
        <w:t>timeline.</w:t>
      </w:r>
      <w:r>
        <w:t xml:space="preserve"> </w:t>
      </w:r>
    </w:p>
    <w:p w14:paraId="59A7CA3D" w14:textId="77777777" w:rsidR="00C44AC2" w:rsidRDefault="00C44AC2" w:rsidP="007257DB">
      <w:pPr>
        <w:spacing w:after="0" w:line="240" w:lineRule="auto"/>
      </w:pPr>
    </w:p>
    <w:p w14:paraId="15065B48" w14:textId="77777777" w:rsidR="004E04F7" w:rsidRPr="00936D10" w:rsidRDefault="00764D73" w:rsidP="007257DB">
      <w:pPr>
        <w:spacing w:after="0" w:line="240" w:lineRule="auto"/>
      </w:pPr>
      <w:r>
        <w:t>The</w:t>
      </w:r>
      <w:r w:rsidR="004E04F7" w:rsidRPr="00936D10">
        <w:t xml:space="preserve"> schedules are assessed on three key criteria:</w:t>
      </w:r>
    </w:p>
    <w:p w14:paraId="2FE899D2" w14:textId="77777777" w:rsidR="004E04F7" w:rsidRPr="00764D73" w:rsidRDefault="004E04F7" w:rsidP="00764D73">
      <w:pPr>
        <w:pStyle w:val="ListParagraph"/>
        <w:numPr>
          <w:ilvl w:val="0"/>
          <w:numId w:val="30"/>
        </w:numPr>
        <w:spacing w:after="0" w:line="240" w:lineRule="auto"/>
        <w:rPr>
          <w:rFonts w:cstheme="minorHAnsi"/>
          <w:color w:val="000000"/>
        </w:rPr>
      </w:pPr>
      <w:r w:rsidRPr="00764D73">
        <w:rPr>
          <w:rFonts w:cstheme="minorHAnsi"/>
          <w:color w:val="000000"/>
        </w:rPr>
        <w:t>Intention to publish to IATI</w:t>
      </w:r>
    </w:p>
    <w:p w14:paraId="0961DDC4" w14:textId="77777777" w:rsidR="004E04F7" w:rsidRPr="00764D73" w:rsidRDefault="004E04F7" w:rsidP="00764D73">
      <w:pPr>
        <w:pStyle w:val="ListParagraph"/>
        <w:numPr>
          <w:ilvl w:val="0"/>
          <w:numId w:val="30"/>
        </w:numPr>
        <w:spacing w:after="0" w:line="240" w:lineRule="auto"/>
        <w:rPr>
          <w:rFonts w:cstheme="minorHAnsi"/>
          <w:color w:val="000000"/>
        </w:rPr>
      </w:pPr>
      <w:r w:rsidRPr="00764D73">
        <w:rPr>
          <w:rFonts w:cstheme="minorHAnsi"/>
          <w:color w:val="000000"/>
        </w:rPr>
        <w:t>Publication approach</w:t>
      </w:r>
      <w:r w:rsidR="00764D73">
        <w:rPr>
          <w:rFonts w:cstheme="minorHAnsi"/>
          <w:color w:val="000000"/>
        </w:rPr>
        <w:t>,</w:t>
      </w:r>
      <w:r w:rsidRPr="00764D73">
        <w:rPr>
          <w:rFonts w:cstheme="minorHAnsi"/>
          <w:color w:val="000000"/>
        </w:rPr>
        <w:t xml:space="preserve"> i.e. the frequency of their publication and the licence under which the information is or will be published</w:t>
      </w:r>
    </w:p>
    <w:p w14:paraId="0A855ED4" w14:textId="77777777" w:rsidR="004E04F7" w:rsidRPr="00764D73" w:rsidRDefault="00563C3D" w:rsidP="00764D73">
      <w:pPr>
        <w:pStyle w:val="ListParagraph"/>
        <w:numPr>
          <w:ilvl w:val="0"/>
          <w:numId w:val="30"/>
        </w:numPr>
        <w:spacing w:after="0" w:line="240" w:lineRule="auto"/>
        <w:rPr>
          <w:rFonts w:cstheme="minorHAnsi"/>
          <w:color w:val="000000"/>
        </w:rPr>
      </w:pPr>
      <w:r>
        <w:rPr>
          <w:rFonts w:cstheme="minorHAnsi"/>
          <w:color w:val="000000"/>
        </w:rPr>
        <w:t>Coverage of fields of the IATI S</w:t>
      </w:r>
      <w:r w:rsidR="004E04F7" w:rsidRPr="00764D73">
        <w:rPr>
          <w:rFonts w:cstheme="minorHAnsi"/>
          <w:color w:val="000000"/>
        </w:rPr>
        <w:t>tandard</w:t>
      </w:r>
    </w:p>
    <w:p w14:paraId="3993AE74" w14:textId="77777777" w:rsidR="00C44AC2" w:rsidRDefault="00C44AC2" w:rsidP="007257DB">
      <w:pPr>
        <w:spacing w:after="0" w:line="240" w:lineRule="auto"/>
      </w:pPr>
    </w:p>
    <w:p w14:paraId="71985DE5" w14:textId="77777777" w:rsidR="004E04F7" w:rsidRPr="00936D10" w:rsidRDefault="004E04F7" w:rsidP="007257DB">
      <w:pPr>
        <w:spacing w:after="0" w:line="240" w:lineRule="auto"/>
      </w:pPr>
      <w:r>
        <w:t>The full details of the scoring approach can be found</w:t>
      </w:r>
      <w:r w:rsidR="00764D73">
        <w:t xml:space="preserve"> in the ‘Plan’ section of the Aid Transparency Tracker: </w:t>
      </w:r>
      <w:hyperlink r:id="rId18" w:history="1">
        <w:r w:rsidR="00764D73">
          <w:rPr>
            <w:rStyle w:val="Hyperlink"/>
          </w:rPr>
          <w:t>http://tracker.publishwhatyoufund.org/plan/about/</w:t>
        </w:r>
      </w:hyperlink>
      <w:r>
        <w:t>.</w:t>
      </w:r>
    </w:p>
    <w:p w14:paraId="7D571E83" w14:textId="77777777" w:rsidR="004D2A4C" w:rsidRDefault="004D2A4C" w:rsidP="007257DB">
      <w:pPr>
        <w:spacing w:after="0" w:line="240" w:lineRule="auto"/>
      </w:pPr>
    </w:p>
    <w:p w14:paraId="123A7F67" w14:textId="77777777" w:rsidR="00D22CB8" w:rsidRDefault="00240FD6" w:rsidP="007257DB">
      <w:pPr>
        <w:spacing w:after="0" w:line="240" w:lineRule="auto"/>
      </w:pPr>
      <w:r>
        <w:t>There are s</w:t>
      </w:r>
      <w:r w:rsidR="004E04F7">
        <w:t xml:space="preserve">everal challenges </w:t>
      </w:r>
      <w:r>
        <w:t>with</w:t>
      </w:r>
      <w:r w:rsidR="004E04F7">
        <w:t xml:space="preserve"> completing this analysis</w:t>
      </w:r>
      <w:r w:rsidR="004E04F7" w:rsidRPr="005C3AA4">
        <w:rPr>
          <w:b/>
        </w:rPr>
        <w:t>.</w:t>
      </w:r>
      <w:r w:rsidR="004E04F7" w:rsidRPr="005C3AA4">
        <w:t xml:space="preserve"> While there is an agreed </w:t>
      </w:r>
      <w:r w:rsidR="004E04F7" w:rsidRPr="00D22CB8">
        <w:rPr>
          <w:rFonts w:cs="Times New Roman"/>
        </w:rPr>
        <w:t>template</w:t>
      </w:r>
      <w:r w:rsidR="004E04F7" w:rsidRPr="005C3AA4">
        <w:t xml:space="preserve"> for the common standard implementation schedules, several different versions of the template exist, with donors adding to this complexity by modifying it, changing options, and adding and deleting rows</w:t>
      </w:r>
      <w:r>
        <w:t>. At the time of writing, a total of</w:t>
      </w:r>
      <w:r w:rsidR="004E04F7" w:rsidRPr="005C3AA4">
        <w:t xml:space="preserve"> </w:t>
      </w:r>
      <w:r w:rsidR="00D22CB8">
        <w:t>11</w:t>
      </w:r>
      <w:r w:rsidR="004E04F7" w:rsidRPr="005C3AA4">
        <w:t xml:space="preserve"> different versions </w:t>
      </w:r>
      <w:r>
        <w:t>are being</w:t>
      </w:r>
      <w:r w:rsidR="004E04F7" w:rsidRPr="005C3AA4">
        <w:t xml:space="preserve"> used and </w:t>
      </w:r>
      <w:r>
        <w:t>have</w:t>
      </w:r>
      <w:r w:rsidR="004E04F7" w:rsidRPr="005C3AA4">
        <w:t xml:space="preserve"> to be supported by the application.</w:t>
      </w:r>
      <w:r w:rsidR="00D22CB8">
        <w:rPr>
          <w:rStyle w:val="FootnoteReference"/>
        </w:rPr>
        <w:footnoteReference w:id="13"/>
      </w:r>
      <w:r w:rsidR="004E04F7" w:rsidRPr="005C3AA4">
        <w:t xml:space="preserve"> This create</w:t>
      </w:r>
      <w:r>
        <w:t>s</w:t>
      </w:r>
      <w:r w:rsidR="004E04F7" w:rsidRPr="005C3AA4">
        <w:t xml:space="preserve"> difficulties in analysing the information and necessitate</w:t>
      </w:r>
      <w:r>
        <w:t>s</w:t>
      </w:r>
      <w:r w:rsidR="004E04F7" w:rsidRPr="005C3AA4">
        <w:rPr>
          <w:b/>
        </w:rPr>
        <w:t xml:space="preserve"> </w:t>
      </w:r>
      <w:r w:rsidR="004E04F7" w:rsidRPr="005C3AA4">
        <w:t>considerable interpretation to ensure consistency and comparability across the schedules</w:t>
      </w:r>
      <w:r w:rsidR="00D22CB8">
        <w:t xml:space="preserve">. It </w:t>
      </w:r>
      <w:r>
        <w:t>i</w:t>
      </w:r>
      <w:r w:rsidR="00D22CB8">
        <w:t>s</w:t>
      </w:r>
      <w:r w:rsidR="004E04F7">
        <w:t xml:space="preserve"> also </w:t>
      </w:r>
      <w:r w:rsidR="004E04F7" w:rsidRPr="005C3AA4">
        <w:t xml:space="preserve">evident that </w:t>
      </w:r>
      <w:r w:rsidR="004E04F7" w:rsidRPr="005C3AA4">
        <w:rPr>
          <w:bCs/>
        </w:rPr>
        <w:t>donors' have different approaches to completing the schedule.</w:t>
      </w:r>
      <w:r w:rsidR="004E04F7">
        <w:rPr>
          <w:bCs/>
        </w:rPr>
        <w:t xml:space="preserve"> </w:t>
      </w:r>
      <w:r w:rsidR="004E04F7" w:rsidRPr="00BB71ED">
        <w:rPr>
          <w:bCs/>
        </w:rPr>
        <w:t>S</w:t>
      </w:r>
      <w:r w:rsidR="004E04F7" w:rsidRPr="005C3AA4">
        <w:t xml:space="preserve">ome have taken </w:t>
      </w:r>
      <w:r w:rsidR="004E04F7" w:rsidRPr="00BB71ED">
        <w:t>a conservative approach</w:t>
      </w:r>
      <w:r w:rsidR="004E04F7" w:rsidRPr="005C3AA4">
        <w:t>, by leaving much of the schedule blank (e.g. Poland). Other</w:t>
      </w:r>
      <w:r w:rsidR="00D22CB8">
        <w:t>s</w:t>
      </w:r>
      <w:r w:rsidR="004E04F7" w:rsidRPr="005C3AA4">
        <w:t xml:space="preserve"> have potentially understated the ambition of some of their own agencies (by not specifying those which </w:t>
      </w:r>
      <w:r w:rsidR="004E04F7" w:rsidRPr="005C3AA4">
        <w:rPr>
          <w:i/>
        </w:rPr>
        <w:t>can</w:t>
      </w:r>
      <w:r w:rsidR="004E04F7" w:rsidRPr="005C3AA4">
        <w:t xml:space="preserve"> publish certain fields), where information fields are not feasible from </w:t>
      </w:r>
      <w:r w:rsidR="004E04F7" w:rsidRPr="005C3AA4">
        <w:rPr>
          <w:i/>
        </w:rPr>
        <w:t xml:space="preserve">all </w:t>
      </w:r>
      <w:r w:rsidR="004E04F7" w:rsidRPr="005C3AA4">
        <w:t>of their agencies (e.g. the U.S.).</w:t>
      </w:r>
      <w:r w:rsidR="004E04F7">
        <w:rPr>
          <w:b/>
          <w:bCs/>
        </w:rPr>
        <w:t xml:space="preserve"> </w:t>
      </w:r>
      <w:r w:rsidR="004E04F7" w:rsidRPr="005C3AA4">
        <w:t>Donors have made liberal use of the</w:t>
      </w:r>
      <w:r w:rsidR="004E04F7" w:rsidRPr="00BB71ED">
        <w:t xml:space="preserve"> “not applicable” option. This option is certainly valid in several data fields – those fields that are only sometimes applicable to organisations p</w:t>
      </w:r>
      <w:r w:rsidR="004E04F7" w:rsidRPr="005C3AA4">
        <w:t xml:space="preserve">ublishing to IATI have been excluded from the scoring and final analysis. However, some donors have stated that fields such as results, conditions and even activity budgets are “not applicable”, though rarely with any explanation. </w:t>
      </w:r>
    </w:p>
    <w:p w14:paraId="693656FA" w14:textId="77777777" w:rsidR="00D22CB8" w:rsidRDefault="00D22CB8" w:rsidP="007257DB">
      <w:pPr>
        <w:spacing w:after="0" w:line="240" w:lineRule="auto"/>
      </w:pPr>
    </w:p>
    <w:p w14:paraId="64B39660" w14:textId="77777777" w:rsidR="004E04F7" w:rsidRPr="00BB71ED" w:rsidRDefault="004E04F7" w:rsidP="007257DB">
      <w:pPr>
        <w:spacing w:after="0" w:line="240" w:lineRule="auto"/>
        <w:rPr>
          <w:b/>
          <w:bCs/>
        </w:rPr>
      </w:pPr>
      <w:r w:rsidRPr="005C3AA4">
        <w:t>We can deduce that donors have chosen “not applicable” in such cases for three broad reasons:</w:t>
      </w:r>
    </w:p>
    <w:p w14:paraId="589CCDBF" w14:textId="77777777" w:rsidR="004E04F7" w:rsidRPr="005C3AA4" w:rsidRDefault="004E04F7" w:rsidP="007257DB">
      <w:pPr>
        <w:numPr>
          <w:ilvl w:val="0"/>
          <w:numId w:val="19"/>
        </w:numPr>
        <w:spacing w:after="0" w:line="240" w:lineRule="auto"/>
      </w:pPr>
      <w:r w:rsidRPr="00D002FD">
        <w:rPr>
          <w:b/>
        </w:rPr>
        <w:t>Where information is available but seen as redundant or repetitive</w:t>
      </w:r>
      <w:r w:rsidRPr="005C3AA4">
        <w:rPr>
          <w:b/>
        </w:rPr>
        <w:t xml:space="preserve">. </w:t>
      </w:r>
      <w:r w:rsidRPr="005C3AA4">
        <w:t>In situations where the organisation’s business model defines the answer (e.g. for “tied aid status”, where tying under DAC definitions is not possible), those organisations do not always realise the utility of completing the field (which is necessary for a complete dataset on tying across donors, sectors and countries).</w:t>
      </w:r>
    </w:p>
    <w:p w14:paraId="128DEF4E" w14:textId="77777777" w:rsidR="004E04F7" w:rsidRPr="005C3AA4" w:rsidRDefault="004E04F7" w:rsidP="007257DB">
      <w:pPr>
        <w:numPr>
          <w:ilvl w:val="0"/>
          <w:numId w:val="19"/>
        </w:numPr>
        <w:spacing w:after="0" w:line="240" w:lineRule="auto"/>
      </w:pPr>
      <w:r w:rsidRPr="005C3AA4">
        <w:rPr>
          <w:b/>
        </w:rPr>
        <w:t xml:space="preserve">Misinterpretation. </w:t>
      </w:r>
      <w:r w:rsidRPr="005C3AA4">
        <w:t>Where the meaning of the field has been misinterpreted (e.g. implementing organisations). For example, some donors excluded funding organisation, even though the funding organisation is (in almost all cases) simply that donor.</w:t>
      </w:r>
    </w:p>
    <w:p w14:paraId="6A2251C9" w14:textId="77777777" w:rsidR="004E04F7" w:rsidRPr="005C3AA4" w:rsidRDefault="004E04F7" w:rsidP="007257DB">
      <w:pPr>
        <w:numPr>
          <w:ilvl w:val="0"/>
          <w:numId w:val="19"/>
        </w:numPr>
        <w:spacing w:after="0" w:line="240" w:lineRule="auto"/>
      </w:pPr>
      <w:r w:rsidRPr="005C3AA4">
        <w:rPr>
          <w:b/>
        </w:rPr>
        <w:t>In error.</w:t>
      </w:r>
      <w:r w:rsidRPr="005C3AA4">
        <w:t xml:space="preserve"> Donors often used “not applicable” when a more accurate status would have been “not publishing now”.</w:t>
      </w:r>
    </w:p>
    <w:p w14:paraId="41A86CAD" w14:textId="77777777" w:rsidR="004D2A4C" w:rsidRDefault="004D2A4C" w:rsidP="007257DB">
      <w:pPr>
        <w:spacing w:after="0" w:line="240" w:lineRule="auto"/>
      </w:pPr>
    </w:p>
    <w:p w14:paraId="755E0ED2" w14:textId="77777777" w:rsidR="004E04F7" w:rsidRDefault="004E04F7" w:rsidP="007257DB">
      <w:pPr>
        <w:spacing w:after="0" w:line="240" w:lineRule="auto"/>
      </w:pPr>
      <w:r w:rsidRPr="005C3AA4">
        <w:t xml:space="preserve">There is also some </w:t>
      </w:r>
      <w:r w:rsidRPr="00D22CB8">
        <w:t>confusion about certain data fields</w:t>
      </w:r>
      <w:r w:rsidRPr="005C3AA4">
        <w:t xml:space="preserve"> or groups of fields, especially “participating organisation” – implementing, funding, extending and accountable – and between “other activity identifiers” and “related activities”. More generally, the schedules do not distinguish whether the organisation intends to implement specific fields according to the IATI approa</w:t>
      </w:r>
      <w:r>
        <w:t xml:space="preserve">ch (e.g. timely and in the IATI </w:t>
      </w:r>
      <w:r w:rsidRPr="005C3AA4">
        <w:t xml:space="preserve">XML format), on account of the overlap between </w:t>
      </w:r>
      <w:r w:rsidR="00D22CB8">
        <w:t>some</w:t>
      </w:r>
      <w:r w:rsidRPr="005C3AA4">
        <w:t xml:space="preserve"> CRS and IATI fields. </w:t>
      </w:r>
    </w:p>
    <w:p w14:paraId="346B96A9" w14:textId="77777777" w:rsidR="00240FD6" w:rsidRDefault="00240FD6" w:rsidP="007257DB">
      <w:pPr>
        <w:spacing w:after="0" w:line="240" w:lineRule="auto"/>
      </w:pPr>
    </w:p>
    <w:p w14:paraId="1E7F9B5A" w14:textId="77777777" w:rsidR="004E04F7" w:rsidRDefault="004E04F7" w:rsidP="007257DB">
      <w:pPr>
        <w:spacing w:after="0" w:line="240" w:lineRule="auto"/>
      </w:pPr>
      <w:r>
        <w:t>We encourage donors to revise and re-submit implementation schedules to accurately reflect the current status of their publication and their future plans so that the analysis can be updated to be a more accurate reflection of donors’ publication plans</w:t>
      </w:r>
      <w:r w:rsidR="00D22CB8">
        <w:t>.</w:t>
      </w:r>
    </w:p>
    <w:p w14:paraId="207789E3" w14:textId="77777777" w:rsidR="002B748F" w:rsidRDefault="002B748F" w:rsidP="007257DB">
      <w:pPr>
        <w:spacing w:after="0" w:line="240" w:lineRule="auto"/>
      </w:pPr>
    </w:p>
    <w:p w14:paraId="24F19A2A" w14:textId="77777777" w:rsidR="002B748F" w:rsidRDefault="002B748F" w:rsidP="002B748F">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Pr>
          <w:rFonts w:ascii="Cambria" w:eastAsiaTheme="majorEastAsia" w:hAnsi="Cambria" w:cstheme="majorBidi"/>
          <w:b/>
          <w:bCs/>
          <w:iCs/>
          <w:color w:val="4F81BD" w:themeColor="accent1"/>
          <w:lang w:val="en-GB" w:eastAsia="en-US" w:bidi="en-US"/>
        </w:rPr>
        <w:t>Memorandum of Understanding</w:t>
      </w:r>
    </w:p>
    <w:p w14:paraId="63B408C9" w14:textId="77777777" w:rsidR="002B748F" w:rsidRPr="00B4239F" w:rsidRDefault="00326D8F" w:rsidP="002B748F">
      <w:pPr>
        <w:pStyle w:val="ListBullet"/>
        <w:numPr>
          <w:ilvl w:val="0"/>
          <w:numId w:val="0"/>
        </w:numPr>
        <w:spacing w:after="0" w:line="240" w:lineRule="auto"/>
      </w:pPr>
      <w:r>
        <w:t xml:space="preserve">Some organisations do not sign </w:t>
      </w:r>
      <w:r w:rsidR="00556826">
        <w:t>Memorandums of Understanding (</w:t>
      </w:r>
      <w:r>
        <w:t>MoUs</w:t>
      </w:r>
      <w:r w:rsidR="00556826">
        <w:t>)</w:t>
      </w:r>
      <w:r>
        <w:t>, which are usually government-to-government documents</w:t>
      </w:r>
      <w:r w:rsidR="00B4239F">
        <w:t>, often covering several activities</w:t>
      </w:r>
      <w:r>
        <w:t>. For example, some IFIs have highlighted that</w:t>
      </w:r>
      <w:r w:rsidR="00E86606">
        <w:t xml:space="preserve"> they</w:t>
      </w:r>
      <w:r>
        <w:t xml:space="preserve"> do not always si</w:t>
      </w:r>
      <w:r w:rsidR="00640364">
        <w:t>gn</w:t>
      </w:r>
      <w:r>
        <w:t xml:space="preserve"> MoUs with governments because they operate in the private sector. Similarly, humanitarian organisatio</w:t>
      </w:r>
      <w:r w:rsidR="00B4239F">
        <w:t xml:space="preserve">ns often operate in </w:t>
      </w:r>
      <w:r w:rsidR="00556826">
        <w:t>emergency</w:t>
      </w:r>
      <w:r w:rsidR="00B4239F">
        <w:t xml:space="preserve"> context</w:t>
      </w:r>
      <w:r w:rsidR="00556826">
        <w:t>s</w:t>
      </w:r>
      <w:r w:rsidR="00B4239F">
        <w:t xml:space="preserve"> and do not always sign MoUs, and philanthropic organisations tend to operate at the grantee level and do not have presence at an intermediate level above that of the activity. It could be argue</w:t>
      </w:r>
      <w:r w:rsidR="00640364">
        <w:t>d</w:t>
      </w:r>
      <w:r w:rsidR="00B4239F">
        <w:t xml:space="preserve"> that such organisations should not be expected to have such agreements or be scored down as a result of not publishing </w:t>
      </w:r>
      <w:r w:rsidR="00556826">
        <w:t>this information</w:t>
      </w:r>
      <w:r w:rsidR="00B4239F">
        <w:t xml:space="preserve">. We carefully considered this issue in relation to the wide variety of </w:t>
      </w:r>
      <w:r w:rsidR="00556826">
        <w:t>organisations</w:t>
      </w:r>
      <w:r w:rsidR="00B4239F">
        <w:t xml:space="preserve"> that are </w:t>
      </w:r>
      <w:r w:rsidR="00556826">
        <w:t>assessed</w:t>
      </w:r>
      <w:r w:rsidR="00B4239F">
        <w:t xml:space="preserve"> and concluded that it is possible</w:t>
      </w:r>
      <w:r w:rsidR="00640364">
        <w:t xml:space="preserve"> to</w:t>
      </w:r>
      <w:r w:rsidR="00B4239F">
        <w:t xml:space="preserve"> score all organisations based on equivalent documents such as: strategy papers that are jointly developed with recipients</w:t>
      </w:r>
      <w:r w:rsidR="00556826">
        <w:t>;</w:t>
      </w:r>
      <w:r w:rsidR="00B4239F">
        <w:t xml:space="preserve"> activity-level agreement documents</w:t>
      </w:r>
      <w:r w:rsidR="00556826">
        <w:t>;</w:t>
      </w:r>
      <w:r w:rsidR="00B4239F">
        <w:t xml:space="preserve"> and agreements between the donor and the grantee or implementing partner. However, where organisations do sign agreements with recipient governments, these are expected to be published in order to score. </w:t>
      </w:r>
    </w:p>
    <w:p w14:paraId="0CC1E475" w14:textId="77777777" w:rsidR="004D2A4C" w:rsidRPr="004D2A4C" w:rsidRDefault="004D2A4C" w:rsidP="00D22CB8">
      <w:pPr>
        <w:spacing w:after="0" w:line="240" w:lineRule="auto"/>
      </w:pPr>
    </w:p>
    <w:p w14:paraId="05662364" w14:textId="77777777" w:rsidR="004E04F7" w:rsidRDefault="004E04F7" w:rsidP="004E04F7">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Challenges of survey data collection</w:t>
      </w:r>
    </w:p>
    <w:p w14:paraId="3A68605C" w14:textId="77777777" w:rsidR="00D002FD" w:rsidRDefault="00D002FD" w:rsidP="004D2A4C">
      <w:pPr>
        <w:pStyle w:val="NoSpacing"/>
        <w:rPr>
          <w:rFonts w:eastAsia="Times New Roman"/>
          <w:color w:val="FF0000"/>
          <w:lang w:bidi="en-US"/>
        </w:rPr>
      </w:pPr>
    </w:p>
    <w:p w14:paraId="514589A1" w14:textId="77777777" w:rsidR="004E04F7" w:rsidRDefault="004E04F7" w:rsidP="004D2A4C">
      <w:pPr>
        <w:spacing w:after="0" w:line="240" w:lineRule="auto"/>
      </w:pPr>
      <w:r>
        <w:t>In previous years</w:t>
      </w:r>
      <w:r w:rsidR="00C65C0B">
        <w:t>,</w:t>
      </w:r>
      <w:r>
        <w:t xml:space="preserve"> finding information on donors’ aid activities presented a challenge particularly for those donors who had poorly designed or hard-to-navigate websites. This issue </w:t>
      </w:r>
      <w:r w:rsidR="0016646F">
        <w:t>has been addressed to some extent since</w:t>
      </w:r>
      <w:r>
        <w:t xml:space="preserve"> 2013 by taking into account donors’ IATI publication and automating its assessment. However, for organisations that do not publish information </w:t>
      </w:r>
      <w:r w:rsidR="00EB274F">
        <w:t>to IATI</w:t>
      </w:r>
      <w:r>
        <w:t>, data collection continues to be done using a survey and involves looking at organisations’ website</w:t>
      </w:r>
      <w:r w:rsidR="00C65C0B">
        <w:t>s</w:t>
      </w:r>
      <w:r>
        <w:t xml:space="preserve"> exhaustively and checking </w:t>
      </w:r>
      <w:r w:rsidR="00C65C0B">
        <w:t xml:space="preserve">any </w:t>
      </w:r>
      <w:r>
        <w:t xml:space="preserve">related websites </w:t>
      </w:r>
      <w:r w:rsidR="00C65C0B">
        <w:t>where</w:t>
      </w:r>
      <w:r>
        <w:t xml:space="preserve"> necessary. In some cases, the information may be published but not easily available using the menu or search functions on an organisation’s website</w:t>
      </w:r>
      <w:r w:rsidR="00C65C0B">
        <w:t xml:space="preserve"> or database</w:t>
      </w:r>
      <w:r>
        <w:t>. Time constraints mean that our researchers will search for information up to a reasonable point but if the information appears to be unavailable, will score the indicator as zero.</w:t>
      </w:r>
      <w:r w:rsidR="00643E95">
        <w:t xml:space="preserve"> </w:t>
      </w:r>
    </w:p>
    <w:p w14:paraId="73BDC804" w14:textId="77777777" w:rsidR="004D2A4C" w:rsidRDefault="004D2A4C" w:rsidP="004D2A4C">
      <w:pPr>
        <w:spacing w:after="0" w:line="240" w:lineRule="auto"/>
      </w:pPr>
    </w:p>
    <w:p w14:paraId="52AF3C2F" w14:textId="77777777" w:rsidR="004E04F7" w:rsidRDefault="004E04F7" w:rsidP="004D2A4C">
      <w:pPr>
        <w:spacing w:after="0" w:line="240" w:lineRule="auto"/>
      </w:pPr>
      <w:r>
        <w:t xml:space="preserve">If our researchers </w:t>
      </w:r>
      <w:r w:rsidR="00EB274F">
        <w:t>cannot find</w:t>
      </w:r>
      <w:r>
        <w:t xml:space="preserve"> a piece of information, </w:t>
      </w:r>
      <w:r w:rsidR="00C65C0B">
        <w:t xml:space="preserve">the </w:t>
      </w:r>
      <w:r>
        <w:t>organisations</w:t>
      </w:r>
      <w:r w:rsidR="00C65C0B">
        <w:t xml:space="preserve"> being assessed</w:t>
      </w:r>
      <w:r>
        <w:t xml:space="preserve"> have the opportunity to address this while reviewing the survey data.</w:t>
      </w:r>
      <w:r w:rsidR="00643E95">
        <w:t xml:space="preserve"> </w:t>
      </w:r>
      <w:r>
        <w:t xml:space="preserve">They can provide links to the information directly in order for it to be </w:t>
      </w:r>
      <w:r w:rsidR="00C65C0B">
        <w:t xml:space="preserve">assessed and </w:t>
      </w:r>
      <w:r>
        <w:t xml:space="preserve">scored. </w:t>
      </w:r>
      <w:r w:rsidR="00EB274F">
        <w:t>Surveys are also</w:t>
      </w:r>
      <w:r w:rsidR="00C65C0B">
        <w:t xml:space="preserve"> shared with independent reviewer</w:t>
      </w:r>
      <w:r w:rsidR="00EB274F">
        <w:t>s</w:t>
      </w:r>
      <w:r w:rsidR="00F61E6C">
        <w:t xml:space="preserve"> for verification and to check that information hasn’t been misunderstood or incorrectly scored. This approach to completing the surveys helps ensure</w:t>
      </w:r>
      <w:r>
        <w:t xml:space="preserve"> that the availability of </w:t>
      </w:r>
      <w:r w:rsidR="00F61E6C">
        <w:t xml:space="preserve">current </w:t>
      </w:r>
      <w:r>
        <w:t>information</w:t>
      </w:r>
      <w:r w:rsidR="00F61E6C">
        <w:t xml:space="preserve"> is reflected as accurately as possible</w:t>
      </w:r>
      <w:r>
        <w:t xml:space="preserve">, even though </w:t>
      </w:r>
      <w:r w:rsidR="00F61E6C">
        <w:t>the process of finding it</w:t>
      </w:r>
      <w:r>
        <w:t xml:space="preserve"> may not </w:t>
      </w:r>
      <w:r w:rsidR="00F61E6C">
        <w:t>always be easy</w:t>
      </w:r>
      <w:r>
        <w:t>.</w:t>
      </w:r>
      <w:r w:rsidR="00643E95">
        <w:t xml:space="preserve"> </w:t>
      </w:r>
    </w:p>
    <w:p w14:paraId="27A4C54C" w14:textId="77777777" w:rsidR="004D2A4C" w:rsidRDefault="004D2A4C" w:rsidP="004D2A4C">
      <w:pPr>
        <w:spacing w:after="0" w:line="240" w:lineRule="auto"/>
      </w:pPr>
    </w:p>
    <w:p w14:paraId="7731AF80" w14:textId="77777777" w:rsidR="004E04F7" w:rsidRPr="00C428DA" w:rsidRDefault="004E04F7" w:rsidP="004D2A4C">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Representative nature of activities</w:t>
      </w:r>
    </w:p>
    <w:p w14:paraId="4826B8DC" w14:textId="42128BC1" w:rsidR="004E04F7" w:rsidRDefault="004E04F7" w:rsidP="004D2A4C">
      <w:pPr>
        <w:spacing w:after="0" w:line="240" w:lineRule="auto"/>
      </w:pPr>
      <w:r>
        <w:t>It is difficult to ascertain</w:t>
      </w:r>
      <w:r w:rsidRPr="00C11028">
        <w:t xml:space="preserve"> how representative the activities assessed </w:t>
      </w:r>
      <w:r w:rsidR="00491ED6">
        <w:t xml:space="preserve">in the survey </w:t>
      </w:r>
      <w:r w:rsidRPr="00C11028">
        <w:t>are. The methodology continue</w:t>
      </w:r>
      <w:r w:rsidR="00171B63">
        <w:t>s</w:t>
      </w:r>
      <w:r w:rsidRPr="00C11028">
        <w:t xml:space="preserve"> to be constrained by the fact that, for most donors, it is not possible to randomly sample typical projects. Precisely because </w:t>
      </w:r>
      <w:r w:rsidR="00DA5629">
        <w:t xml:space="preserve">the </w:t>
      </w:r>
      <w:r w:rsidRPr="00C11028">
        <w:t xml:space="preserve">information is usually either not published systematically, or else is only available as unstructured data, it is difficult to calculate what a “typical” project is. There are two ways of approaching this challenge: 1) To look at all published projects for that donor and try to calculate the average based on the information they make publicly available; or 2) to ask the donor to clarify what an average size project is and provide the details for how this figure has been calculated. Option 1 would create an unfeasible increase in the resource intensity of each survey – when multiplied by the number of donors included in the </w:t>
      </w:r>
      <w:r w:rsidR="002E390B">
        <w:t>Index</w:t>
      </w:r>
      <w:r w:rsidRPr="00C11028">
        <w:t xml:space="preserve">, it would make the process impossible. Option 2 would not provide independently verifiable data, and there is a risk that responses would not be received from all donors, meaning that two different methodologies would have to be used for activity selection. </w:t>
      </w:r>
      <w:r w:rsidR="00DA5629">
        <w:t>Although</w:t>
      </w:r>
      <w:r w:rsidRPr="00C11028">
        <w:t xml:space="preserve"> the methodology used is not ideal, of the options available, it strikes the right balance </w:t>
      </w:r>
      <w:r w:rsidR="00F61E6C">
        <w:t>where</w:t>
      </w:r>
      <w:r w:rsidRPr="00C11028">
        <w:t xml:space="preserve"> information is not available in structured format</w:t>
      </w:r>
      <w:r w:rsidR="00171B63">
        <w:t>s</w:t>
      </w:r>
      <w:r w:rsidRPr="00C11028">
        <w:t xml:space="preserve">. </w:t>
      </w:r>
    </w:p>
    <w:p w14:paraId="108EB767" w14:textId="77777777" w:rsidR="002B748F" w:rsidRDefault="002B748F" w:rsidP="004D2A4C">
      <w:pPr>
        <w:keepNext/>
        <w:keepLines/>
        <w:spacing w:after="0" w:line="240" w:lineRule="auto"/>
        <w:outlineLvl w:val="3"/>
        <w:rPr>
          <w:rFonts w:ascii="Cambria" w:eastAsiaTheme="majorEastAsia" w:hAnsi="Cambria" w:cstheme="majorBidi"/>
          <w:b/>
          <w:bCs/>
          <w:iCs/>
          <w:color w:val="4F81BD" w:themeColor="accent1"/>
        </w:rPr>
      </w:pPr>
    </w:p>
    <w:p w14:paraId="4E1E97F9" w14:textId="77777777" w:rsidR="004E04F7" w:rsidRPr="00C428DA" w:rsidRDefault="004E04F7" w:rsidP="004D2A4C">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Limits on cross checking ‘always’ scores at the activity level and comprehensiveness of activity-level data</w:t>
      </w:r>
    </w:p>
    <w:p w14:paraId="06B91615" w14:textId="77777777" w:rsidR="0011136F" w:rsidRDefault="0011136F" w:rsidP="0011136F">
      <w:pPr>
        <w:spacing w:after="0" w:line="240" w:lineRule="auto"/>
      </w:pPr>
      <w:r>
        <w:t xml:space="preserve">Scores for activity-level indicators for organisations publishing information </w:t>
      </w:r>
      <w:r w:rsidR="00C44AC2">
        <w:t>to the IATI Registry</w:t>
      </w:r>
      <w:r>
        <w:t xml:space="preserve"> are calculated based on the percentage of activities that pass data quality tests underlying each indicator. This process is automated and therefore researchers are not required to sample other activities to determine whether or not information is consistently, i.e. ‘always’, published as they are with the survey data. Information on activities published in IATI XML is subject to a more rigorous assessment. </w:t>
      </w:r>
    </w:p>
    <w:p w14:paraId="12950EAA" w14:textId="77777777" w:rsidR="00D233EF" w:rsidRDefault="00D233EF" w:rsidP="0011136F">
      <w:pPr>
        <w:spacing w:after="0" w:line="240" w:lineRule="auto"/>
      </w:pPr>
    </w:p>
    <w:p w14:paraId="0590E951" w14:textId="77777777" w:rsidR="004E04F7" w:rsidRDefault="004E04F7" w:rsidP="004D2A4C">
      <w:pPr>
        <w:spacing w:after="0" w:line="240" w:lineRule="auto"/>
      </w:pPr>
      <w:r>
        <w:t>There are limits on cross-checking comprehensiveness of publication</w:t>
      </w:r>
      <w:r w:rsidR="0011136F">
        <w:t xml:space="preserve"> in other formats. </w:t>
      </w:r>
      <w:r>
        <w:t xml:space="preserve">For </w:t>
      </w:r>
      <w:r w:rsidR="00C679EF">
        <w:t>this</w:t>
      </w:r>
      <w:r>
        <w:t xml:space="preserve"> manually collected data, the</w:t>
      </w:r>
      <w:r w:rsidRPr="008972FA">
        <w:t xml:space="preserve"> </w:t>
      </w:r>
      <w:r w:rsidR="0011136F">
        <w:t>process</w:t>
      </w:r>
      <w:r w:rsidRPr="008972FA">
        <w:t xml:space="preserve"> relies on several steps to determine whether </w:t>
      </w:r>
      <w:r>
        <w:t xml:space="preserve">information at the activity level is consistently published. </w:t>
      </w:r>
      <w:r w:rsidRPr="00340E1E">
        <w:t>All surveys</w:t>
      </w:r>
      <w:r>
        <w:t xml:space="preserve"> </w:t>
      </w:r>
      <w:r w:rsidRPr="00340E1E">
        <w:t>are completed using information pertaining to the recipient country receiving the largest amount of aid by</w:t>
      </w:r>
      <w:r w:rsidR="00C679EF">
        <w:t xml:space="preserve"> value from that donor agency. In 201</w:t>
      </w:r>
      <w:r w:rsidR="00F4334A">
        <w:t>5</w:t>
      </w:r>
      <w:r w:rsidR="00C679EF">
        <w:t>, t</w:t>
      </w:r>
      <w:r w:rsidRPr="00340E1E">
        <w:t xml:space="preserve">he value of aid to recipients </w:t>
      </w:r>
      <w:r w:rsidR="00C44AC2">
        <w:t>i</w:t>
      </w:r>
      <w:r w:rsidR="00C679EF">
        <w:t>s</w:t>
      </w:r>
      <w:r w:rsidRPr="00340E1E">
        <w:t xml:space="preserve"> determined </w:t>
      </w:r>
      <w:r w:rsidR="00C679EF">
        <w:t>using</w:t>
      </w:r>
      <w:r w:rsidRPr="00340E1E">
        <w:t xml:space="preserve"> 201</w:t>
      </w:r>
      <w:r w:rsidR="00F4334A">
        <w:t>3</w:t>
      </w:r>
      <w:r w:rsidRPr="00340E1E">
        <w:t xml:space="preserve"> OECD DAC CRS figures. If this information </w:t>
      </w:r>
      <w:r w:rsidR="00C44AC2">
        <w:t>i</w:t>
      </w:r>
      <w:r w:rsidR="00C679EF">
        <w:t>s</w:t>
      </w:r>
      <w:r w:rsidRPr="00340E1E">
        <w:t xml:space="preserve"> not available in the CRS then the largest recipient </w:t>
      </w:r>
      <w:r w:rsidR="00C44AC2">
        <w:t>i</w:t>
      </w:r>
      <w:r w:rsidR="00C679EF">
        <w:t>s</w:t>
      </w:r>
      <w:r w:rsidRPr="00340E1E">
        <w:t xml:space="preserve"> determined using the latest annual report for the agency or related ministry. To establish that information is consistently published at the activity level, a</w:t>
      </w:r>
      <w:r>
        <w:t xml:space="preserve"> </w:t>
      </w:r>
      <w:r w:rsidRPr="00340E1E">
        <w:t xml:space="preserve">minimum of five activities are selected within the largest recipient country or thematic sector (if the donor agency organises itself along thematic areas or sectors rather than by countries). While checking and verifying </w:t>
      </w:r>
      <w:r w:rsidR="00497C0A">
        <w:t xml:space="preserve">the </w:t>
      </w:r>
      <w:r w:rsidRPr="00340E1E">
        <w:t>data, organisations are asked to confirm if the responses are representative as a whole.</w:t>
      </w:r>
      <w:r>
        <w:t xml:space="preserve"> </w:t>
      </w:r>
    </w:p>
    <w:p w14:paraId="2353790E" w14:textId="77777777" w:rsidR="004D2A4C" w:rsidRDefault="004D2A4C" w:rsidP="004D2A4C">
      <w:pPr>
        <w:spacing w:after="0" w:line="240" w:lineRule="auto"/>
      </w:pPr>
    </w:p>
    <w:p w14:paraId="5457E381" w14:textId="77777777" w:rsidR="004E04F7" w:rsidRDefault="004E04F7" w:rsidP="004D2A4C">
      <w:pPr>
        <w:spacing w:after="0" w:line="240" w:lineRule="auto"/>
      </w:pPr>
      <w:r>
        <w:t>If it is stated that the project information published is for ‘case studies’, ‘some projects’ or ‘selected projects’ then it is assumed that this information is published only ‘sometimes’ and the organisation is scored zero for th</w:t>
      </w:r>
      <w:r w:rsidR="00C679EF">
        <w:t>at</w:t>
      </w:r>
      <w:r>
        <w:t xml:space="preserve"> indicator. </w:t>
      </w:r>
    </w:p>
    <w:p w14:paraId="4ABFA866" w14:textId="77777777" w:rsidR="004D2A4C" w:rsidRDefault="004D2A4C" w:rsidP="004D2A4C">
      <w:pPr>
        <w:spacing w:after="0" w:line="240" w:lineRule="auto"/>
      </w:pPr>
    </w:p>
    <w:p w14:paraId="35AC3768" w14:textId="77777777" w:rsidR="004E04F7" w:rsidRDefault="004E04F7" w:rsidP="004D2A4C">
      <w:pPr>
        <w:spacing w:after="0" w:line="240" w:lineRule="auto"/>
        <w:rPr>
          <w:b/>
        </w:rPr>
      </w:pPr>
      <w:r>
        <w:t>We have always acknowledged that this approach cannot give a true picture of the amount of information being published at activity level. The ultimate constraint is not being able to identify all current activities being delivered to all countries</w:t>
      </w:r>
      <w:r w:rsidR="00C679EF">
        <w:t xml:space="preserve"> or sectors</w:t>
      </w:r>
      <w:r>
        <w:t>. Without that information being provided in a well-structured format, it is impossible to randomly sample for an ‘average’ country and an ‘average’ project. The approach taken is therefore a purposive sampling approach. We recognise that this may introduce positive bias, as it seems more likely that donors will publish the most information for their largest recipient, but this has been a deliberate decision. Arguably, it is more important that funds are transparent when flows are larger. The aim is not to try to ‘catch out’ donors.</w:t>
      </w:r>
      <w:r w:rsidR="00643E95">
        <w:t xml:space="preserve"> </w:t>
      </w:r>
      <w:r>
        <w:t>Selecting at random a smaller recipient country could introduce negative bias, and as the flows assessed would represent a much smaller proportion of the donor’s total, it would reveal less about that donor’s overall approach to aid transparency.</w:t>
      </w:r>
      <w:r w:rsidR="00643E95">
        <w:t xml:space="preserve"> </w:t>
      </w:r>
    </w:p>
    <w:p w14:paraId="2AD66F44" w14:textId="77777777" w:rsidR="004D2A4C" w:rsidRPr="00697F12" w:rsidRDefault="004D2A4C" w:rsidP="004D2A4C">
      <w:pPr>
        <w:spacing w:after="0" w:line="240" w:lineRule="auto"/>
        <w:rPr>
          <w:rFonts w:eastAsiaTheme="minorHAnsi"/>
          <w:b/>
          <w:lang w:bidi="ar-SA"/>
        </w:rPr>
      </w:pPr>
    </w:p>
    <w:p w14:paraId="7F775F69" w14:textId="77777777" w:rsidR="004E04F7" w:rsidRPr="005F32D4" w:rsidRDefault="004E04F7" w:rsidP="004D2A4C">
      <w:pPr>
        <w:keepNext/>
        <w:keepLines/>
        <w:spacing w:after="0" w:line="240" w:lineRule="auto"/>
        <w:outlineLvl w:val="3"/>
        <w:rPr>
          <w:rFonts w:ascii="Calibri" w:eastAsia="Times New Roman" w:hAnsi="Calibri" w:cs="Times New Roman"/>
          <w:b/>
          <w:bCs/>
          <w:iCs/>
          <w:color w:val="4F81BD"/>
        </w:rPr>
      </w:pPr>
      <w:r w:rsidRPr="00C428DA">
        <w:rPr>
          <w:rFonts w:ascii="Cambria" w:eastAsiaTheme="majorEastAsia" w:hAnsi="Cambria" w:cstheme="majorBidi"/>
          <w:b/>
          <w:bCs/>
          <w:iCs/>
          <w:color w:val="4F81BD" w:themeColor="accent1"/>
        </w:rPr>
        <w:t xml:space="preserve">Organisations </w:t>
      </w:r>
      <w:r w:rsidR="00563C3D">
        <w:rPr>
          <w:rFonts w:ascii="Cambria" w:eastAsiaTheme="majorEastAsia" w:hAnsi="Cambria" w:cstheme="majorBidi"/>
          <w:b/>
          <w:bCs/>
          <w:iCs/>
          <w:color w:val="4F81BD" w:themeColor="accent1"/>
        </w:rPr>
        <w:t>that do not participate in the r</w:t>
      </w:r>
      <w:r w:rsidRPr="00C428DA">
        <w:rPr>
          <w:rFonts w:ascii="Cambria" w:eastAsiaTheme="majorEastAsia" w:hAnsi="Cambria" w:cstheme="majorBidi"/>
          <w:b/>
          <w:bCs/>
          <w:iCs/>
          <w:color w:val="4F81BD" w:themeColor="accent1"/>
        </w:rPr>
        <w:t>eview process</w:t>
      </w:r>
    </w:p>
    <w:p w14:paraId="21944BF0" w14:textId="77777777" w:rsidR="004E04F7" w:rsidRDefault="004E04F7" w:rsidP="004D2A4C">
      <w:pPr>
        <w:spacing w:after="0" w:line="240" w:lineRule="auto"/>
      </w:pPr>
      <w:r>
        <w:t xml:space="preserve">All donor organisations are </w:t>
      </w:r>
      <w:r w:rsidR="00C679EF">
        <w:t>invited</w:t>
      </w:r>
      <w:r>
        <w:t xml:space="preserve"> to review </w:t>
      </w:r>
      <w:r w:rsidR="00C679EF">
        <w:t>the</w:t>
      </w:r>
      <w:r>
        <w:t xml:space="preserve"> initial </w:t>
      </w:r>
      <w:r w:rsidR="00C679EF">
        <w:t xml:space="preserve">survey </w:t>
      </w:r>
      <w:r>
        <w:t xml:space="preserve">findings and to provide feedback on any information that may have </w:t>
      </w:r>
      <w:r w:rsidR="00C679EF">
        <w:t xml:space="preserve">been </w:t>
      </w:r>
      <w:r>
        <w:t xml:space="preserve">missed or interpreted incorrectly. All surveys go through a process of verification and standardisation to ensure that what </w:t>
      </w:r>
      <w:r w:rsidR="00C44AC2">
        <w:t>is</w:t>
      </w:r>
      <w:r>
        <w:t xml:space="preserve"> accepted for scoring responses is consistent across all </w:t>
      </w:r>
      <w:r w:rsidR="00C679EF">
        <w:t>organisations</w:t>
      </w:r>
      <w:r>
        <w:t>, taking into account the feedback received from donor</w:t>
      </w:r>
      <w:r w:rsidR="00B03254">
        <w:t>s</w:t>
      </w:r>
      <w:r>
        <w:t xml:space="preserve"> and independent reviewers. For organisations that d</w:t>
      </w:r>
      <w:r w:rsidR="00C44AC2">
        <w:t>o</w:t>
      </w:r>
      <w:r>
        <w:t xml:space="preserve"> not participate in the review process, it is possible that information that </w:t>
      </w:r>
      <w:r w:rsidR="00C44AC2">
        <w:t>i</w:t>
      </w:r>
      <w:r>
        <w:t xml:space="preserve">s not easily discoverable </w:t>
      </w:r>
      <w:r w:rsidR="00B03254">
        <w:t xml:space="preserve">on their websites or databases </w:t>
      </w:r>
      <w:r w:rsidR="00C44AC2">
        <w:t>i</w:t>
      </w:r>
      <w:r>
        <w:t>s not been taken into account for their final assessment.</w:t>
      </w:r>
    </w:p>
    <w:p w14:paraId="5131F55A" w14:textId="77777777" w:rsidR="00C44AC2" w:rsidRDefault="00C44AC2" w:rsidP="004D2A4C">
      <w:pPr>
        <w:spacing w:after="0" w:line="240" w:lineRule="auto"/>
      </w:pPr>
    </w:p>
    <w:p w14:paraId="049E5C42" w14:textId="77777777" w:rsidR="004E04F7" w:rsidRDefault="004E04F7" w:rsidP="004E04F7">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Challenges of automating IATI data quality assessment</w:t>
      </w:r>
    </w:p>
    <w:p w14:paraId="4A460C4B" w14:textId="77777777" w:rsidR="004E04F7" w:rsidRPr="00710FB5" w:rsidRDefault="004E04F7" w:rsidP="00710FB5">
      <w:pPr>
        <w:spacing w:after="0" w:line="240" w:lineRule="auto"/>
        <w:rPr>
          <w:rStyle w:val="IntenseEmphasis"/>
          <w:i w:val="0"/>
        </w:rPr>
      </w:pPr>
    </w:p>
    <w:p w14:paraId="7C527B8C" w14:textId="77777777" w:rsidR="004E04F7" w:rsidRDefault="004E04F7" w:rsidP="004D2A4C">
      <w:pPr>
        <w:spacing w:after="0" w:line="240" w:lineRule="auto"/>
      </w:pPr>
      <w:r>
        <w:t xml:space="preserve">The Aid Transparency Tracker is a complex piece of software. For the first time in 2013, a portion of the data collection for the </w:t>
      </w:r>
      <w:r w:rsidR="00563C3D">
        <w:t>Index</w:t>
      </w:r>
      <w:r>
        <w:t xml:space="preserve"> was automated through the Tracker’s data quality tool. This is the first tool of its kind to assess the quality of data under any spending standard (not just aid data). Naturally, there </w:t>
      </w:r>
      <w:r w:rsidR="00C2647F">
        <w:t xml:space="preserve">are some </w:t>
      </w:r>
      <w:r>
        <w:t xml:space="preserve">challenges </w:t>
      </w:r>
      <w:r w:rsidR="00C2647F">
        <w:t>automating the testing of data across different organisations</w:t>
      </w:r>
      <w:r w:rsidR="00611778">
        <w:t xml:space="preserve"> </w:t>
      </w:r>
      <w:r>
        <w:t xml:space="preserve">and </w:t>
      </w:r>
      <w:r w:rsidR="00C679EF">
        <w:t>several</w:t>
      </w:r>
      <w:r>
        <w:t xml:space="preserve"> lessons </w:t>
      </w:r>
      <w:r w:rsidR="00C2647F">
        <w:t xml:space="preserve">have been </w:t>
      </w:r>
      <w:r>
        <w:t>learn</w:t>
      </w:r>
      <w:r w:rsidR="00C2647F">
        <w:t>t</w:t>
      </w:r>
      <w:r>
        <w:t xml:space="preserve"> for improvements in future years. </w:t>
      </w:r>
    </w:p>
    <w:p w14:paraId="035AB60E" w14:textId="77777777" w:rsidR="002B748F" w:rsidRDefault="002B748F" w:rsidP="004D2A4C">
      <w:pPr>
        <w:keepNext/>
        <w:keepLines/>
        <w:spacing w:after="0" w:line="240" w:lineRule="auto"/>
        <w:outlineLvl w:val="3"/>
        <w:rPr>
          <w:rFonts w:ascii="Cambria" w:eastAsiaTheme="majorEastAsia" w:hAnsi="Cambria" w:cstheme="majorBidi"/>
          <w:b/>
          <w:bCs/>
          <w:iCs/>
          <w:color w:val="4F81BD" w:themeColor="accent1"/>
        </w:rPr>
      </w:pPr>
    </w:p>
    <w:p w14:paraId="4A06E4DE" w14:textId="77777777" w:rsidR="004E04F7" w:rsidRPr="00C428DA" w:rsidRDefault="004E04F7" w:rsidP="004D2A4C">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Designing data quality tests</w:t>
      </w:r>
    </w:p>
    <w:p w14:paraId="0586F1D1" w14:textId="267AA438" w:rsidR="00611778" w:rsidRDefault="004E04F7" w:rsidP="00611778">
      <w:pPr>
        <w:spacing w:after="0" w:line="240" w:lineRule="auto"/>
        <w:rPr>
          <w:rFonts w:cstheme="minorHAnsi"/>
          <w:color w:val="000000"/>
        </w:rPr>
      </w:pPr>
      <w:r w:rsidRPr="00611778">
        <w:rPr>
          <w:rFonts w:ascii="Calibri" w:eastAsia="Times New Roman" w:hAnsi="Calibri" w:cs="Times New Roman"/>
        </w:rPr>
        <w:t xml:space="preserve">Data quality </w:t>
      </w:r>
      <w:r w:rsidR="00C679EF" w:rsidRPr="00611778">
        <w:rPr>
          <w:rFonts w:ascii="Calibri" w:eastAsia="Times New Roman" w:hAnsi="Calibri" w:cs="Times New Roman"/>
        </w:rPr>
        <w:t xml:space="preserve">tests </w:t>
      </w:r>
      <w:r w:rsidRPr="00611778">
        <w:rPr>
          <w:rFonts w:ascii="Calibri" w:eastAsia="Times New Roman" w:hAnsi="Calibri" w:cs="Times New Roman"/>
        </w:rPr>
        <w:t xml:space="preserve">have been designed to assess the availability, comprehensiveness and comparability of aid information and to determine whether an organisation’s </w:t>
      </w:r>
      <w:r w:rsidR="00563C3D">
        <w:rPr>
          <w:rFonts w:ascii="Calibri" w:eastAsia="Times New Roman" w:hAnsi="Calibri" w:cs="Times New Roman"/>
        </w:rPr>
        <w:t>IATI data conforms to the IATI S</w:t>
      </w:r>
      <w:r w:rsidRPr="00611778">
        <w:rPr>
          <w:rFonts w:ascii="Calibri" w:eastAsia="Times New Roman" w:hAnsi="Calibri" w:cs="Times New Roman"/>
        </w:rPr>
        <w:t xml:space="preserve">tandard appropriately. As described in Section 2, </w:t>
      </w:r>
      <w:r w:rsidR="00C679EF" w:rsidRPr="00611778">
        <w:rPr>
          <w:rFonts w:ascii="Calibri" w:eastAsia="Times New Roman" w:hAnsi="Calibri" w:cs="Times New Roman"/>
        </w:rPr>
        <w:t xml:space="preserve">the majority of </w:t>
      </w:r>
      <w:r w:rsidRPr="00611778">
        <w:rPr>
          <w:rFonts w:ascii="Calibri" w:eastAsia="Times New Roman" w:hAnsi="Calibri" w:cs="Times New Roman"/>
        </w:rPr>
        <w:t xml:space="preserve">the tests have been derived directly from the IATI schemas which provide </w:t>
      </w:r>
      <w:r w:rsidR="00907D28">
        <w:rPr>
          <w:rFonts w:ascii="Calibri" w:eastAsia="Times New Roman" w:hAnsi="Calibri" w:cs="Times New Roman"/>
        </w:rPr>
        <w:t xml:space="preserve">a </w:t>
      </w:r>
      <w:r w:rsidR="00C81EEA">
        <w:rPr>
          <w:rFonts w:ascii="Calibri" w:eastAsia="Times New Roman" w:hAnsi="Calibri" w:cs="Times New Roman"/>
        </w:rPr>
        <w:t xml:space="preserve">common </w:t>
      </w:r>
      <w:r w:rsidRPr="00611778">
        <w:rPr>
          <w:rFonts w:ascii="Calibri" w:eastAsia="Times New Roman" w:hAnsi="Calibri" w:cs="Times New Roman"/>
        </w:rPr>
        <w:t xml:space="preserve">format for reporting data on various fields to the IATI Registry. Some additional tests have been designed to check that data published </w:t>
      </w:r>
      <w:r w:rsidR="00FA226B">
        <w:rPr>
          <w:rFonts w:ascii="Calibri" w:eastAsia="Times New Roman" w:hAnsi="Calibri" w:cs="Times New Roman"/>
        </w:rPr>
        <w:t xml:space="preserve">to </w:t>
      </w:r>
      <w:r w:rsidRPr="00611778">
        <w:rPr>
          <w:rFonts w:ascii="Calibri" w:eastAsia="Times New Roman" w:hAnsi="Calibri" w:cs="Times New Roman"/>
        </w:rPr>
        <w:t>IATI is presented in a manner which allows for comparison across organisations. Technical reviewers and donors were asked to provide feedback on the tests before and during the data collection process</w:t>
      </w:r>
      <w:r w:rsidR="00611778" w:rsidRPr="00611778">
        <w:rPr>
          <w:rFonts w:ascii="Calibri" w:eastAsia="Times New Roman" w:hAnsi="Calibri" w:cs="Times New Roman"/>
        </w:rPr>
        <w:t xml:space="preserve"> in 2013</w:t>
      </w:r>
      <w:r w:rsidRPr="00611778">
        <w:rPr>
          <w:rFonts w:ascii="Calibri" w:eastAsia="Times New Roman" w:hAnsi="Calibri" w:cs="Times New Roman"/>
        </w:rPr>
        <w:t>.</w:t>
      </w:r>
      <w:r w:rsidR="00611778" w:rsidRPr="00611778">
        <w:rPr>
          <w:rFonts w:ascii="Calibri" w:eastAsia="Times New Roman" w:hAnsi="Calibri" w:cs="Times New Roman"/>
        </w:rPr>
        <w:t xml:space="preserve"> </w:t>
      </w:r>
      <w:r w:rsidR="00611778">
        <w:rPr>
          <w:rFonts w:ascii="Calibri" w:eastAsia="Times New Roman" w:hAnsi="Calibri" w:cs="Times New Roman"/>
        </w:rPr>
        <w:t xml:space="preserve">In addition, a </w:t>
      </w:r>
      <w:r w:rsidR="00611778" w:rsidRPr="00611778">
        <w:rPr>
          <w:rFonts w:cstheme="minorHAnsi"/>
        </w:rPr>
        <w:t>public consultation</w:t>
      </w:r>
      <w:r w:rsidR="00611778" w:rsidRPr="00611778">
        <w:rPr>
          <w:rFonts w:cstheme="minorHAnsi"/>
          <w:color w:val="000000"/>
        </w:rPr>
        <w:t xml:space="preserve"> </w:t>
      </w:r>
      <w:r w:rsidR="00611778">
        <w:rPr>
          <w:rFonts w:cstheme="minorHAnsi"/>
          <w:color w:val="000000"/>
        </w:rPr>
        <w:t xml:space="preserve">was </w:t>
      </w:r>
      <w:r w:rsidR="00611778" w:rsidRPr="00611778">
        <w:rPr>
          <w:rFonts w:cstheme="minorHAnsi"/>
          <w:color w:val="000000"/>
        </w:rPr>
        <w:t>held in January</w:t>
      </w:r>
      <w:r w:rsidR="00641BF3">
        <w:rPr>
          <w:rFonts w:cstheme="minorHAnsi"/>
          <w:color w:val="000000"/>
        </w:rPr>
        <w:t>–</w:t>
      </w:r>
      <w:r w:rsidR="00611778" w:rsidRPr="00611778">
        <w:rPr>
          <w:rFonts w:cstheme="minorHAnsi"/>
          <w:color w:val="000000"/>
        </w:rPr>
        <w:t>February 2014</w:t>
      </w:r>
      <w:r w:rsidR="00611778">
        <w:rPr>
          <w:rFonts w:cstheme="minorHAnsi"/>
          <w:color w:val="000000"/>
        </w:rPr>
        <w:t>.</w:t>
      </w:r>
      <w:r w:rsidR="00611778" w:rsidRPr="00611778">
        <w:rPr>
          <w:rFonts w:cstheme="minorHAnsi"/>
          <w:color w:val="000000"/>
        </w:rPr>
        <w:t xml:space="preserve"> Based on </w:t>
      </w:r>
      <w:r w:rsidR="00611778">
        <w:rPr>
          <w:rFonts w:cstheme="minorHAnsi"/>
          <w:color w:val="000000"/>
        </w:rPr>
        <w:t xml:space="preserve">the </w:t>
      </w:r>
      <w:r w:rsidR="00611778" w:rsidRPr="00611778">
        <w:rPr>
          <w:rFonts w:cstheme="minorHAnsi"/>
          <w:color w:val="000000"/>
        </w:rPr>
        <w:t xml:space="preserve">feedback </w:t>
      </w:r>
      <w:r w:rsidR="00611778">
        <w:rPr>
          <w:rFonts w:cstheme="minorHAnsi"/>
          <w:color w:val="000000"/>
        </w:rPr>
        <w:t>received</w:t>
      </w:r>
      <w:r w:rsidR="00611778" w:rsidRPr="00611778">
        <w:rPr>
          <w:rFonts w:cstheme="minorHAnsi"/>
          <w:color w:val="000000"/>
        </w:rPr>
        <w:t xml:space="preserve">, some of the </w:t>
      </w:r>
      <w:r w:rsidR="00611778" w:rsidRPr="00611778">
        <w:rPr>
          <w:rFonts w:cstheme="minorHAnsi"/>
        </w:rPr>
        <w:t>data quality tests</w:t>
      </w:r>
      <w:r w:rsidR="00611778" w:rsidRPr="00611778">
        <w:rPr>
          <w:rFonts w:cstheme="minorHAnsi"/>
          <w:color w:val="000000"/>
        </w:rPr>
        <w:t xml:space="preserve"> have been tightened up to improve the quality of the auto</w:t>
      </w:r>
      <w:r w:rsidR="00611778" w:rsidRPr="00FA226B">
        <w:rPr>
          <w:rFonts w:cstheme="minorHAnsi"/>
          <w:color w:val="000000"/>
        </w:rPr>
        <w:t>mated assessment of IATI data.</w:t>
      </w:r>
      <w:r w:rsidR="00FA226B" w:rsidRPr="00FA226B">
        <w:t xml:space="preserve"> Information on the public consultation, the feedback received and Publish What You Fund’s responses is available at: </w:t>
      </w:r>
      <w:hyperlink r:id="rId19" w:history="1">
        <w:r w:rsidR="00FA226B" w:rsidRPr="00FA226B">
          <w:rPr>
            <w:rStyle w:val="Hyperlink"/>
          </w:rPr>
          <w:t>https://github.com/pwyf/index-data-quality-tests/</w:t>
        </w:r>
      </w:hyperlink>
    </w:p>
    <w:p w14:paraId="49988101" w14:textId="77777777" w:rsidR="004E04F7" w:rsidRDefault="004E04F7" w:rsidP="00611778">
      <w:pPr>
        <w:keepNext/>
        <w:keepLines/>
        <w:spacing w:after="0" w:line="240" w:lineRule="auto"/>
        <w:outlineLvl w:val="3"/>
      </w:pPr>
      <w:r>
        <w:t xml:space="preserve">Several methodological changes were made to the data quality tests in response to the feedback received. The feedback suggested that where possible and reasonably practicable, donors should not be penalised for not publishing information where it should not be expected to be published. For example, </w:t>
      </w:r>
      <w:r w:rsidR="00D43320">
        <w:t xml:space="preserve">activity end dates </w:t>
      </w:r>
      <w:r>
        <w:t xml:space="preserve">should not be expected to exist for projects which are not yet completed. These nuances </w:t>
      </w:r>
      <w:r w:rsidR="00FA226B">
        <w:t>have been</w:t>
      </w:r>
      <w:r>
        <w:t xml:space="preserve"> incorporated into the methodology by </w:t>
      </w:r>
      <w:r w:rsidR="00C679EF">
        <w:t>altering</w:t>
      </w:r>
      <w:r>
        <w:t xml:space="preserve"> the tests to return results based on other related elements in the data. For example, based on activity status codes to only look at activities at least in the implementation stage; or aid type codes to look only at budget support activities.</w:t>
      </w:r>
    </w:p>
    <w:p w14:paraId="7A99CE37" w14:textId="77777777" w:rsidR="00C679EF" w:rsidRDefault="00C679EF" w:rsidP="00611778">
      <w:pPr>
        <w:spacing w:after="0" w:line="240" w:lineRule="auto"/>
      </w:pPr>
    </w:p>
    <w:p w14:paraId="7988FF6D" w14:textId="77777777" w:rsidR="004E04F7" w:rsidRPr="0036065F" w:rsidRDefault="004E04F7" w:rsidP="00611778">
      <w:pPr>
        <w:keepNext/>
        <w:keepLines/>
        <w:spacing w:after="0" w:line="240" w:lineRule="auto"/>
        <w:outlineLvl w:val="3"/>
        <w:rPr>
          <w:rFonts w:eastAsiaTheme="minorHAnsi"/>
          <w:lang w:bidi="ar-SA"/>
        </w:rPr>
      </w:pPr>
      <w:r w:rsidRPr="0036065F">
        <w:rPr>
          <w:rFonts w:eastAsiaTheme="minorHAnsi"/>
          <w:lang w:bidi="ar-SA"/>
        </w:rPr>
        <w:t xml:space="preserve">Tests for </w:t>
      </w:r>
      <w:r w:rsidR="002B748F">
        <w:rPr>
          <w:rFonts w:eastAsiaTheme="minorHAnsi"/>
          <w:lang w:bidi="ar-SA"/>
        </w:rPr>
        <w:t>the following</w:t>
      </w:r>
      <w:r w:rsidR="002B748F" w:rsidRPr="0036065F">
        <w:rPr>
          <w:rFonts w:eastAsiaTheme="minorHAnsi"/>
          <w:lang w:bidi="ar-SA"/>
        </w:rPr>
        <w:t xml:space="preserve"> </w:t>
      </w:r>
      <w:r w:rsidRPr="0036065F">
        <w:rPr>
          <w:rFonts w:eastAsiaTheme="minorHAnsi"/>
          <w:lang w:bidi="ar-SA"/>
        </w:rPr>
        <w:t>indicators were particularly difficult to design</w:t>
      </w:r>
      <w:r w:rsidR="00C679EF">
        <w:rPr>
          <w:rFonts w:eastAsiaTheme="minorHAnsi"/>
          <w:lang w:bidi="ar-SA"/>
        </w:rPr>
        <w:t>:</w:t>
      </w:r>
    </w:p>
    <w:p w14:paraId="17BBE4B9" w14:textId="77777777" w:rsidR="004E04F7" w:rsidRDefault="004E04F7" w:rsidP="004D2A4C">
      <w:pPr>
        <w:pStyle w:val="Heading2"/>
        <w:spacing w:before="0" w:line="240" w:lineRule="auto"/>
        <w:rPr>
          <w:rFonts w:ascii="Calibri" w:eastAsia="Calibri" w:hAnsi="Calibri" w:cs="Times New Roman"/>
          <w:b w:val="0"/>
          <w:bCs w:val="0"/>
          <w:color w:val="4F81BD"/>
          <w:sz w:val="22"/>
          <w:szCs w:val="22"/>
        </w:rPr>
      </w:pPr>
    </w:p>
    <w:p w14:paraId="1E4244E2" w14:textId="77777777" w:rsidR="004E04F7" w:rsidRPr="0087570D" w:rsidRDefault="004E04F7" w:rsidP="00C679EF">
      <w:pPr>
        <w:pStyle w:val="ListParagraph"/>
        <w:keepNext/>
        <w:keepLines/>
        <w:numPr>
          <w:ilvl w:val="0"/>
          <w:numId w:val="31"/>
        </w:numPr>
        <w:spacing w:after="0" w:line="240" w:lineRule="auto"/>
        <w:outlineLvl w:val="3"/>
        <w:rPr>
          <w:rFonts w:ascii="Calibri" w:eastAsia="Times New Roman" w:hAnsi="Calibri" w:cs="Times New Roman"/>
          <w:b/>
          <w:bCs/>
          <w:iCs/>
        </w:rPr>
      </w:pPr>
      <w:r w:rsidRPr="0087570D">
        <w:rPr>
          <w:rFonts w:ascii="Calibri" w:eastAsia="Times New Roman" w:hAnsi="Calibri" w:cs="Times New Roman"/>
          <w:b/>
          <w:bCs/>
          <w:iCs/>
        </w:rPr>
        <w:t>Disaggregated budgets</w:t>
      </w:r>
    </w:p>
    <w:p w14:paraId="6F594400" w14:textId="77777777" w:rsidR="00D709C0" w:rsidRDefault="004E04F7" w:rsidP="004D2A4C">
      <w:pPr>
        <w:spacing w:after="0" w:line="240" w:lineRule="auto"/>
      </w:pPr>
      <w:r>
        <w:t>Disaggregated budgets are scored for each of the three years ahead for which they are available. This is assessed as the value of all recipient country budgets available for the relevant year as a percentage of 50% of the average of Country Programmable Aid (CPA)</w:t>
      </w:r>
      <w:r>
        <w:rPr>
          <w:rStyle w:val="FootnoteReference"/>
        </w:rPr>
        <w:footnoteReference w:id="14"/>
      </w:r>
      <w:r>
        <w:t xml:space="preserve">, multiplied by the total budget for the relevant year. If the relevant year is not available, the current year is used instead. </w:t>
      </w:r>
    </w:p>
    <w:p w14:paraId="4E92B327" w14:textId="77777777" w:rsidR="00D709C0" w:rsidRDefault="00D709C0" w:rsidP="004D2A4C">
      <w:pPr>
        <w:spacing w:after="0" w:line="240" w:lineRule="auto"/>
      </w:pPr>
    </w:p>
    <w:p w14:paraId="6CEFC272" w14:textId="77777777" w:rsidR="004E04F7" w:rsidRPr="00330B04" w:rsidRDefault="00D709C0" w:rsidP="004D2A4C">
      <w:pPr>
        <w:spacing w:after="0" w:line="240" w:lineRule="auto"/>
        <w:rPr>
          <w:color w:val="FF0000"/>
        </w:rPr>
      </w:pPr>
      <w:r>
        <w:t xml:space="preserve">The first year must have an end date of at least </w:t>
      </w:r>
      <w:r w:rsidR="00725563" w:rsidRPr="0006122C">
        <w:t>230</w:t>
      </w:r>
      <w:r w:rsidR="00725563">
        <w:t xml:space="preserve"> </w:t>
      </w:r>
      <w:r>
        <w:t xml:space="preserve">days forward </w:t>
      </w:r>
      <w:r w:rsidR="00A67FE2">
        <w:t>from</w:t>
      </w:r>
      <w:r>
        <w:t xml:space="preserve"> the </w:t>
      </w:r>
      <w:r w:rsidR="00A67FE2">
        <w:t xml:space="preserve">last </w:t>
      </w:r>
      <w:r>
        <w:t xml:space="preserve">date on which tests </w:t>
      </w:r>
      <w:r w:rsidR="00A67FE2">
        <w:t>are run</w:t>
      </w:r>
      <w:r>
        <w:t>.</w:t>
      </w:r>
      <w:r w:rsidR="00D95B62">
        <w:rPr>
          <w:rStyle w:val="FootnoteReference"/>
        </w:rPr>
        <w:footnoteReference w:id="15"/>
      </w:r>
      <w:r>
        <w:t xml:space="preserve"> The second year must be 365 days later, and the third year a further </w:t>
      </w:r>
      <w:r w:rsidR="00725563">
        <w:t xml:space="preserve">365 </w:t>
      </w:r>
      <w:r>
        <w:t xml:space="preserve">days forward. The points available are </w:t>
      </w:r>
      <w:r w:rsidR="00A67FE2">
        <w:t>derived from an average of the points available from each of the three years</w:t>
      </w:r>
      <w:r>
        <w:t>.</w:t>
      </w:r>
      <w:r w:rsidR="004E04F7">
        <w:rPr>
          <w:color w:val="FF0000"/>
        </w:rPr>
        <w:t xml:space="preserve"> </w:t>
      </w:r>
    </w:p>
    <w:p w14:paraId="4503831A" w14:textId="77777777" w:rsidR="004E04F7" w:rsidRDefault="004E04F7" w:rsidP="004D2A4C">
      <w:pPr>
        <w:spacing w:after="0" w:line="240" w:lineRule="auto"/>
      </w:pPr>
    </w:p>
    <w:p w14:paraId="32C967AB" w14:textId="77777777" w:rsidR="004E04F7" w:rsidRDefault="004E04F7" w:rsidP="004D2A4C">
      <w:pPr>
        <w:spacing w:after="0" w:line="240" w:lineRule="auto"/>
      </w:pPr>
      <w:r>
        <w:t>For example</w:t>
      </w:r>
      <w:r w:rsidR="00D709C0">
        <w:t>, f</w:t>
      </w:r>
      <w:r>
        <w:t>or an organisation with a total budget of USD 1,000</w:t>
      </w:r>
      <w:r w:rsidR="00A67FE2">
        <w:t>,</w:t>
      </w:r>
      <w:r>
        <w:t xml:space="preserve"> the total country spend per year required to receive the full score is USD 213.60. If the following figures on annual spend are found in an organisation’s IATI files</w:t>
      </w:r>
      <w:r w:rsidR="004D2A4C">
        <w:t>:</w:t>
      </w:r>
    </w:p>
    <w:p w14:paraId="739AE22F" w14:textId="77777777" w:rsidR="008B115C" w:rsidRPr="008B115C" w:rsidRDefault="008B115C" w:rsidP="008B115C">
      <w:pPr>
        <w:pStyle w:val="ListParagraph"/>
        <w:numPr>
          <w:ilvl w:val="0"/>
          <w:numId w:val="47"/>
        </w:numPr>
        <w:spacing w:after="0" w:line="240" w:lineRule="auto"/>
      </w:pPr>
      <w:r w:rsidRPr="008B115C">
        <w:t>Total country budgets in Year 1: USD 300 =&gt; over USD 213.60, so 100 points for year 1</w:t>
      </w:r>
    </w:p>
    <w:p w14:paraId="17E427D4" w14:textId="77777777" w:rsidR="008B115C" w:rsidRPr="008B115C" w:rsidRDefault="008B115C" w:rsidP="008B115C">
      <w:pPr>
        <w:pStyle w:val="ListParagraph"/>
        <w:numPr>
          <w:ilvl w:val="0"/>
          <w:numId w:val="47"/>
        </w:numPr>
        <w:spacing w:after="0" w:line="240" w:lineRule="auto"/>
      </w:pPr>
      <w:r w:rsidRPr="008B115C">
        <w:t>Total country budgets in Year 2: USD 150 =&gt; 70% of USD 213.60, so 70 points for year 2</w:t>
      </w:r>
    </w:p>
    <w:p w14:paraId="26D8A225" w14:textId="77777777" w:rsidR="008B115C" w:rsidRPr="008B115C" w:rsidRDefault="008B115C" w:rsidP="008B115C">
      <w:pPr>
        <w:pStyle w:val="ListParagraph"/>
        <w:numPr>
          <w:ilvl w:val="0"/>
          <w:numId w:val="47"/>
        </w:numPr>
        <w:spacing w:after="0" w:line="240" w:lineRule="auto"/>
      </w:pPr>
      <w:r w:rsidRPr="008B115C">
        <w:t>Total country budgets in Year 3: USD 0 =&gt; 0% of USD 213.60, so 0 for year 3</w:t>
      </w:r>
    </w:p>
    <w:p w14:paraId="5FD12CC6" w14:textId="77777777" w:rsidR="008B115C" w:rsidRPr="008B115C" w:rsidRDefault="008B115C" w:rsidP="008B115C">
      <w:pPr>
        <w:spacing w:after="0" w:line="240" w:lineRule="auto"/>
      </w:pPr>
    </w:p>
    <w:p w14:paraId="76AF7EC5" w14:textId="77777777" w:rsidR="008B115C" w:rsidRPr="008B115C" w:rsidRDefault="008B115C" w:rsidP="008B115C">
      <w:pPr>
        <w:spacing w:after="0" w:line="240" w:lineRule="auto"/>
      </w:pPr>
      <w:r w:rsidRPr="008B115C">
        <w:t>Total data quality score: (100+70+0)/3 = 57</w:t>
      </w:r>
    </w:p>
    <w:p w14:paraId="459F3969" w14:textId="77777777" w:rsidR="00D50CC7" w:rsidRDefault="00D50CC7" w:rsidP="004D2A4C">
      <w:pPr>
        <w:spacing w:after="0" w:line="240" w:lineRule="auto"/>
      </w:pPr>
    </w:p>
    <w:p w14:paraId="086A5614" w14:textId="77777777" w:rsidR="004E04F7" w:rsidRDefault="004E04F7" w:rsidP="004D2A4C">
      <w:pPr>
        <w:spacing w:after="0" w:line="240" w:lineRule="auto"/>
      </w:pPr>
      <w:r>
        <w:t xml:space="preserve">This means that the scoring approaching for this indicator is </w:t>
      </w:r>
      <w:r w:rsidR="0087570D">
        <w:t>rather</w:t>
      </w:r>
      <w:r>
        <w:t xml:space="preserve"> generous as most donor organisations are likely to allocate more than 21.36% of their overall organisation budget as CPA. </w:t>
      </w:r>
      <w:r w:rsidR="0087570D">
        <w:t>However, i</w:t>
      </w:r>
      <w:r>
        <w:t xml:space="preserve">t also means that an organisation that does not publish at least a total budget for the current year does not score for disaggregated budgets even if the latter are provided in the organisation’s IATI feed. We accept that this methodology is not perfect and welcome suggestions for making further improvements to this test. </w:t>
      </w:r>
    </w:p>
    <w:p w14:paraId="3ABD5B67" w14:textId="77777777" w:rsidR="00D233EF" w:rsidRDefault="00D233EF" w:rsidP="004D2A4C">
      <w:pPr>
        <w:spacing w:after="0" w:line="240" w:lineRule="auto"/>
      </w:pPr>
    </w:p>
    <w:p w14:paraId="7274E413" w14:textId="70E16C4C" w:rsidR="003433E8" w:rsidRDefault="00AA26A0" w:rsidP="004D2A4C">
      <w:pPr>
        <w:spacing w:after="0" w:line="240" w:lineRule="auto"/>
      </w:pPr>
      <w:r>
        <w:t xml:space="preserve">For organisations that do not allocate </w:t>
      </w:r>
      <w:r w:rsidRPr="002F0AF9">
        <w:t xml:space="preserve">their resources by country, but instead do so by sector or thematic area, </w:t>
      </w:r>
      <w:r w:rsidR="002E6500" w:rsidRPr="002F0AF9">
        <w:t xml:space="preserve">we will consider developing a methodology in the future to use new 2.01 budget-line elements for </w:t>
      </w:r>
      <w:r w:rsidRPr="002F0AF9">
        <w:t xml:space="preserve"> thematic/sector budgets</w:t>
      </w:r>
      <w:r w:rsidRPr="002A52E5">
        <w:t>.</w:t>
      </w:r>
      <w:r w:rsidRPr="002F0AF9">
        <w:t xml:space="preserve"> </w:t>
      </w:r>
      <w:r w:rsidR="002E6500" w:rsidRPr="00FA1A2F">
        <w:t>As this</w:t>
      </w:r>
      <w:r w:rsidR="002E6500">
        <w:t xml:space="preserve"> methodology will be complex and require some consultation with affected publishers, we will not introduce</w:t>
      </w:r>
      <w:r w:rsidR="00563C3D">
        <w:t xml:space="preserve"> such a change in the mid-term </w:t>
      </w:r>
      <w:r w:rsidR="002E390B">
        <w:t>Index</w:t>
      </w:r>
      <w:r w:rsidR="002E6500">
        <w:t xml:space="preserve">. </w:t>
      </w:r>
      <w:r>
        <w:t>Such organisations are scored via the survey.</w:t>
      </w:r>
    </w:p>
    <w:p w14:paraId="442EE7CD" w14:textId="77777777" w:rsidR="0016721C" w:rsidRDefault="0016721C" w:rsidP="004D2A4C">
      <w:pPr>
        <w:spacing w:after="0" w:line="240" w:lineRule="auto"/>
        <w:rPr>
          <w:rFonts w:eastAsia="Times New Roman"/>
          <w:b/>
        </w:rPr>
      </w:pPr>
    </w:p>
    <w:p w14:paraId="10A7F09C" w14:textId="77777777" w:rsidR="003433E8" w:rsidRPr="003433E8" w:rsidRDefault="002B748F" w:rsidP="003433E8">
      <w:pPr>
        <w:pStyle w:val="ListParagraph"/>
        <w:numPr>
          <w:ilvl w:val="0"/>
          <w:numId w:val="31"/>
        </w:numPr>
        <w:spacing w:after="0" w:line="240" w:lineRule="auto"/>
        <w:rPr>
          <w:rFonts w:eastAsia="Times New Roman"/>
          <w:b/>
        </w:rPr>
      </w:pPr>
      <w:r w:rsidRPr="003433E8">
        <w:rPr>
          <w:rFonts w:eastAsia="Times New Roman"/>
          <w:b/>
        </w:rPr>
        <w:t>Forward-looking activity budgets</w:t>
      </w:r>
    </w:p>
    <w:p w14:paraId="15C64CEB" w14:textId="77777777" w:rsidR="00802FE3" w:rsidRPr="00563C3D" w:rsidRDefault="00802FE3" w:rsidP="00802FE3">
      <w:pPr>
        <w:spacing w:after="0" w:line="240" w:lineRule="auto"/>
      </w:pPr>
      <w:r w:rsidRPr="00563C3D">
        <w:t>A forward-looking budget is expected for the all activities that are at least in implementation stage and do not have end dates that fall within the next six month</w:t>
      </w:r>
      <w:r w:rsidR="002F0AF9" w:rsidRPr="00563C3D">
        <w:t>s</w:t>
      </w:r>
      <w:r w:rsidRPr="00563C3D">
        <w:t xml:space="preserve"> (pipeline/identification activities are also explicitly excluded). </w:t>
      </w:r>
    </w:p>
    <w:p w14:paraId="73818858" w14:textId="77777777" w:rsidR="00802FE3" w:rsidRPr="00563C3D" w:rsidRDefault="00802FE3" w:rsidP="00802FE3">
      <w:pPr>
        <w:spacing w:after="0" w:line="240" w:lineRule="auto"/>
      </w:pPr>
    </w:p>
    <w:p w14:paraId="4B5881EB" w14:textId="7236B705" w:rsidR="00802FE3" w:rsidRPr="00563C3D" w:rsidRDefault="00802FE3" w:rsidP="00802FE3">
      <w:pPr>
        <w:spacing w:after="0" w:line="240" w:lineRule="auto"/>
      </w:pPr>
      <w:r w:rsidRPr="00563C3D">
        <w:t xml:space="preserve">The budget end date must fall within a window period which starts on the date of the test-run and ends 367 days later (so if the test is run on 1 </w:t>
      </w:r>
      <w:r w:rsidR="0000739C">
        <w:t>October</w:t>
      </w:r>
      <w:r w:rsidR="0000739C" w:rsidRPr="00563C3D">
        <w:t xml:space="preserve"> </w:t>
      </w:r>
      <w:r w:rsidRPr="00563C3D">
        <w:t xml:space="preserve">2015, for an activity to pass this test, it must have a budget with an end date which falls within the period of 1 </w:t>
      </w:r>
      <w:r w:rsidR="0000739C">
        <w:t>November</w:t>
      </w:r>
      <w:r w:rsidR="0000739C" w:rsidRPr="00563C3D">
        <w:t xml:space="preserve"> </w:t>
      </w:r>
      <w:r w:rsidRPr="00563C3D">
        <w:t>2015–</w:t>
      </w:r>
      <w:r w:rsidR="0000739C">
        <w:t>1 October</w:t>
      </w:r>
      <w:r w:rsidRPr="00563C3D">
        <w:t xml:space="preserve"> 2016.) </w:t>
      </w:r>
    </w:p>
    <w:p w14:paraId="1D7CE838" w14:textId="77777777" w:rsidR="00802FE3" w:rsidRPr="00563C3D" w:rsidRDefault="00802FE3" w:rsidP="00802FE3">
      <w:pPr>
        <w:spacing w:after="0" w:line="240" w:lineRule="auto"/>
      </w:pPr>
    </w:p>
    <w:p w14:paraId="5BE569A2" w14:textId="77777777" w:rsidR="00802FE3" w:rsidRDefault="00802FE3" w:rsidP="00802FE3">
      <w:pPr>
        <w:spacing w:after="0" w:line="240" w:lineRule="auto"/>
      </w:pPr>
      <w:r w:rsidRPr="00563C3D">
        <w:t>If a single budget end date exists within the window period above, then the organisation passes the first of the two data quality tests for this indicator which checks to see if a forward-looking budget is available. In order to pass the second test for this indicator, which checks to see if the budget is broken down by quarters, one of the budget elements must have a maximum length of 94 days and be within the window period.</w:t>
      </w:r>
    </w:p>
    <w:p w14:paraId="0B125C06" w14:textId="77777777" w:rsidR="001615AB" w:rsidRDefault="001615AB" w:rsidP="004D2A4C">
      <w:pPr>
        <w:keepNext/>
        <w:keepLines/>
        <w:spacing w:after="0" w:line="240" w:lineRule="auto"/>
        <w:outlineLvl w:val="3"/>
      </w:pPr>
    </w:p>
    <w:p w14:paraId="5A61026F" w14:textId="77777777" w:rsidR="001615AB" w:rsidRPr="003D65E5" w:rsidRDefault="00277752" w:rsidP="004D2A4C">
      <w:pPr>
        <w:keepNext/>
        <w:keepLines/>
        <w:spacing w:after="0" w:line="240" w:lineRule="auto"/>
        <w:outlineLvl w:val="3"/>
      </w:pPr>
      <w:r>
        <w:t xml:space="preserve">This means that </w:t>
      </w:r>
      <w:r w:rsidR="003D65E5">
        <w:t xml:space="preserve">for the purposes of the first test, </w:t>
      </w:r>
      <w:r>
        <w:t>an activity with a forward-looking budget that covers one week is treated the same as a forward-look</w:t>
      </w:r>
      <w:r w:rsidR="00710FB5">
        <w:t xml:space="preserve">ing budget that covers one year, </w:t>
      </w:r>
      <w:r>
        <w:t>as long as it falls within the window pe</w:t>
      </w:r>
      <w:r w:rsidR="003D65E5">
        <w:t>riod assessed.</w:t>
      </w:r>
      <w:r>
        <w:t xml:space="preserve"> However, for an </w:t>
      </w:r>
      <w:r w:rsidR="003D65E5">
        <w:t>organisation to do well on the sec</w:t>
      </w:r>
      <w:r w:rsidR="00710FB5">
        <w:t xml:space="preserve">ond </w:t>
      </w:r>
      <w:r w:rsidR="002F0AF9">
        <w:t>test, there</w:t>
      </w:r>
      <w:r w:rsidR="002E6500">
        <w:t xml:space="preserve"> must be one budget within the window period that lasts for a maximum of one quarter (94 days)</w:t>
      </w:r>
      <w:r w:rsidR="003D65E5">
        <w:t>. This test was extremely difficult to design in a way that could programmatically take into account different budget cycles as well as distinguish between activities under implementation that are expected to have additional budgets allocated to them in the future and those that do not. As a result</w:t>
      </w:r>
      <w:r w:rsidR="00710FB5">
        <w:t>,</w:t>
      </w:r>
      <w:r w:rsidR="003D65E5">
        <w:t xml:space="preserve"> it is possible that some organisations may have been over</w:t>
      </w:r>
      <w:r w:rsidR="00710FB5">
        <w:t xml:space="preserve"> or under</w:t>
      </w:r>
      <w:r w:rsidR="003D65E5">
        <w:t>-rewarded. Suggestions on improving this test are welcomed.</w:t>
      </w:r>
    </w:p>
    <w:p w14:paraId="56A73543" w14:textId="77777777" w:rsidR="00FF62E8" w:rsidRDefault="00FF62E8" w:rsidP="004D2A4C">
      <w:pPr>
        <w:keepNext/>
        <w:keepLines/>
        <w:spacing w:after="0" w:line="240" w:lineRule="auto"/>
        <w:outlineLvl w:val="3"/>
        <w:rPr>
          <w:rFonts w:ascii="Calibri" w:eastAsia="Times New Roman" w:hAnsi="Calibri" w:cs="Times New Roman"/>
          <w:b/>
          <w:bCs/>
          <w:iCs/>
          <w:color w:val="4F81BD"/>
        </w:rPr>
      </w:pPr>
    </w:p>
    <w:p w14:paraId="67B33C7B" w14:textId="77777777" w:rsidR="004E04F7" w:rsidRPr="00394D03" w:rsidRDefault="004E04F7" w:rsidP="00394D03">
      <w:pPr>
        <w:pStyle w:val="ListParagraph"/>
        <w:keepNext/>
        <w:keepLines/>
        <w:numPr>
          <w:ilvl w:val="0"/>
          <w:numId w:val="31"/>
        </w:numPr>
        <w:spacing w:after="0" w:line="240" w:lineRule="auto"/>
        <w:outlineLvl w:val="3"/>
        <w:rPr>
          <w:rFonts w:eastAsia="Times New Roman"/>
          <w:b/>
        </w:rPr>
      </w:pPr>
      <w:bookmarkStart w:id="17" w:name="_Toc370375780"/>
      <w:bookmarkStart w:id="18" w:name="_Toc370376056"/>
      <w:r w:rsidRPr="00394D03">
        <w:rPr>
          <w:rFonts w:eastAsia="Times New Roman"/>
          <w:b/>
        </w:rPr>
        <w:t>Country strategy papers</w:t>
      </w:r>
      <w:bookmarkEnd w:id="17"/>
      <w:bookmarkEnd w:id="18"/>
      <w:r w:rsidRPr="00394D03">
        <w:rPr>
          <w:rFonts w:eastAsia="Times New Roman"/>
          <w:b/>
        </w:rPr>
        <w:t xml:space="preserve"> </w:t>
      </w:r>
    </w:p>
    <w:p w14:paraId="62241F29" w14:textId="77777777" w:rsidR="00904A8C" w:rsidRDefault="004E04F7" w:rsidP="0087570D">
      <w:pPr>
        <w:spacing w:after="0" w:line="240" w:lineRule="auto"/>
      </w:pPr>
      <w:r>
        <w:t>Country strategy papers are defined as available if, for each recipient country budget published, there is an equivalent country strategy paper available. Scoring on the country strategy indicator is therefore conditional upon publishing current year bud</w:t>
      </w:r>
      <w:r w:rsidR="0087570D">
        <w:t xml:space="preserve">gets for each recipient country. </w:t>
      </w:r>
      <w:r>
        <w:t>Designing a test for this indicator</w:t>
      </w:r>
      <w:r w:rsidR="0087570D">
        <w:t xml:space="preserve"> proved to be</w:t>
      </w:r>
      <w:r>
        <w:t xml:space="preserve"> difficult g</w:t>
      </w:r>
      <w:r w:rsidR="00563C3D">
        <w:t>iven the structure of the IATI S</w:t>
      </w:r>
      <w:r>
        <w:t xml:space="preserve">tandard and the fact that country strategy papers cannot be identified as being related to </w:t>
      </w:r>
      <w:r w:rsidR="00563C3D">
        <w:t>specific countries in the IATI S</w:t>
      </w:r>
      <w:r>
        <w:t xml:space="preserve">tandard except by comparing text strings. </w:t>
      </w:r>
      <w:r w:rsidR="0087570D">
        <w:t>Publish What You Fund has</w:t>
      </w:r>
      <w:r>
        <w:t xml:space="preserve"> made a propo</w:t>
      </w:r>
      <w:r w:rsidR="00563C3D">
        <w:t>sal in the past to improve the S</w:t>
      </w:r>
      <w:r>
        <w:t>tandard to address th</w:t>
      </w:r>
      <w:r w:rsidR="00FF62E8">
        <w:t>ese</w:t>
      </w:r>
      <w:r>
        <w:t xml:space="preserve"> issue. We welcome feedback on how links between country budgets and country strategies might be improved. </w:t>
      </w:r>
    </w:p>
    <w:p w14:paraId="1ECC57FD" w14:textId="77777777" w:rsidR="00904A8C" w:rsidRDefault="00904A8C" w:rsidP="0087570D">
      <w:pPr>
        <w:spacing w:after="0" w:line="240" w:lineRule="auto"/>
      </w:pPr>
    </w:p>
    <w:p w14:paraId="20585490" w14:textId="313C81D9" w:rsidR="0087570D" w:rsidRDefault="00A230EE" w:rsidP="0087570D">
      <w:pPr>
        <w:spacing w:after="0" w:line="240" w:lineRule="auto"/>
      </w:pPr>
      <w:r w:rsidRPr="00563C3D">
        <w:t>For organisations that do not allo</w:t>
      </w:r>
      <w:r w:rsidR="00563C3D">
        <w:t>cate their resources by country</w:t>
      </w:r>
      <w:r w:rsidRPr="00563C3D">
        <w:t xml:space="preserve"> but </w:t>
      </w:r>
      <w:r w:rsidR="00563C3D">
        <w:t xml:space="preserve">instead </w:t>
      </w:r>
      <w:r w:rsidRPr="00563C3D">
        <w:t xml:space="preserve">by sector or thematic area, </w:t>
      </w:r>
      <w:r w:rsidR="002E6500" w:rsidRPr="00563C3D">
        <w:t xml:space="preserve">we will consider developing a methodology </w:t>
      </w:r>
      <w:r w:rsidR="00563C3D">
        <w:t>that uses</w:t>
      </w:r>
      <w:r w:rsidR="002E6500" w:rsidRPr="00563C3D">
        <w:t xml:space="preserve"> new</w:t>
      </w:r>
      <w:r w:rsidR="00563C3D">
        <w:t xml:space="preserve"> </w:t>
      </w:r>
      <w:r w:rsidR="002E6500" w:rsidRPr="00563C3D">
        <w:t xml:space="preserve">budget-line elements for </w:t>
      </w:r>
      <w:r w:rsidR="00904A8C" w:rsidRPr="00563C3D">
        <w:t>reporting sector or thematic</w:t>
      </w:r>
      <w:r w:rsidRPr="00563C3D">
        <w:t xml:space="preserve"> budgets. </w:t>
      </w:r>
      <w:r w:rsidR="002E6500" w:rsidRPr="00563C3D">
        <w:t>A</w:t>
      </w:r>
      <w:r w:rsidR="00904A8C" w:rsidRPr="00563C3D">
        <w:t>n</w:t>
      </w:r>
      <w:r w:rsidRPr="00563C3D">
        <w:t xml:space="preserve"> element for </w:t>
      </w:r>
      <w:r w:rsidR="002E6500" w:rsidRPr="00563C3D">
        <w:t xml:space="preserve">sector </w:t>
      </w:r>
      <w:r w:rsidRPr="00563C3D">
        <w:t xml:space="preserve">or thematic strategies </w:t>
      </w:r>
      <w:r w:rsidR="00AB1C76">
        <w:t>w</w:t>
      </w:r>
      <w:r w:rsidR="00904A8C" w:rsidRPr="00563C3D">
        <w:t>as added in v2.01 of the</w:t>
      </w:r>
      <w:r w:rsidRPr="00563C3D">
        <w:t xml:space="preserve"> </w:t>
      </w:r>
      <w:r w:rsidR="00563C3D">
        <w:t xml:space="preserve">IATI </w:t>
      </w:r>
      <w:r w:rsidRPr="00563C3D">
        <w:t>Standard</w:t>
      </w:r>
      <w:r w:rsidR="00563C3D">
        <w:t>,</w:t>
      </w:r>
      <w:r w:rsidR="002E6500" w:rsidRPr="00563C3D">
        <w:t xml:space="preserve"> but</w:t>
      </w:r>
      <w:r w:rsidRPr="00563C3D">
        <w:t xml:space="preserve"> </w:t>
      </w:r>
      <w:r w:rsidR="002E6500" w:rsidRPr="00563C3D">
        <w:t xml:space="preserve">as the methodology </w:t>
      </w:r>
      <w:r w:rsidR="00563C3D">
        <w:t>is</w:t>
      </w:r>
      <w:r w:rsidR="002E6500" w:rsidRPr="00563C3D">
        <w:t xml:space="preserve"> complex and </w:t>
      </w:r>
      <w:r w:rsidR="00563C3D">
        <w:t xml:space="preserve">will </w:t>
      </w:r>
      <w:r w:rsidR="002E6500" w:rsidRPr="00563C3D">
        <w:t xml:space="preserve">require consultation with affected publishers, we </w:t>
      </w:r>
      <w:r w:rsidR="00563C3D">
        <w:t>have not</w:t>
      </w:r>
      <w:r w:rsidR="002E6500" w:rsidRPr="00563C3D">
        <w:t xml:space="preserve"> introduce</w:t>
      </w:r>
      <w:r w:rsidR="00563C3D">
        <w:t xml:space="preserve">d this change for the mid-term </w:t>
      </w:r>
      <w:r w:rsidR="002E390B">
        <w:t>Index</w:t>
      </w:r>
      <w:r w:rsidR="002E6500" w:rsidRPr="00563C3D">
        <w:t xml:space="preserve">. </w:t>
      </w:r>
      <w:r w:rsidR="00E37A01" w:rsidRPr="00563C3D">
        <w:t>Such organisations are scored via the survey for this indicator.</w:t>
      </w:r>
    </w:p>
    <w:p w14:paraId="77B0CF02" w14:textId="77777777" w:rsidR="002B748F" w:rsidRDefault="002B748F" w:rsidP="0087570D">
      <w:pPr>
        <w:spacing w:after="0" w:line="240" w:lineRule="auto"/>
      </w:pPr>
    </w:p>
    <w:p w14:paraId="5502707E" w14:textId="77777777" w:rsidR="00D53618" w:rsidRPr="003433E8" w:rsidRDefault="002B748F" w:rsidP="003433E8">
      <w:pPr>
        <w:pStyle w:val="ListParagraph"/>
        <w:keepNext/>
        <w:keepLines/>
        <w:numPr>
          <w:ilvl w:val="0"/>
          <w:numId w:val="31"/>
        </w:numPr>
        <w:spacing w:after="0" w:line="240" w:lineRule="auto"/>
        <w:outlineLvl w:val="3"/>
        <w:rPr>
          <w:rFonts w:eastAsiaTheme="minorHAnsi"/>
          <w:b/>
          <w:lang w:bidi="ar-SA"/>
        </w:rPr>
      </w:pPr>
      <w:r w:rsidRPr="003433E8">
        <w:rPr>
          <w:b/>
        </w:rPr>
        <w:t xml:space="preserve">Evaluations </w:t>
      </w:r>
    </w:p>
    <w:p w14:paraId="59A279D9" w14:textId="77777777" w:rsidR="002B748F" w:rsidRDefault="00D53618" w:rsidP="002A52E5">
      <w:pPr>
        <w:spacing w:line="240" w:lineRule="auto"/>
        <w:rPr>
          <w:rFonts w:eastAsiaTheme="minorHAnsi"/>
          <w:b/>
          <w:u w:val="single"/>
          <w:lang w:bidi="ar-SA"/>
        </w:rPr>
      </w:pPr>
      <w:r>
        <w:t xml:space="preserve">The data quality </w:t>
      </w:r>
      <w:r w:rsidRPr="007B59F5">
        <w:t>test</w:t>
      </w:r>
      <w:r>
        <w:t xml:space="preserve"> for the evaluations indicator</w:t>
      </w:r>
      <w:r w:rsidR="00710FB5">
        <w:t xml:space="preserve"> (indicator 28)</w:t>
      </w:r>
      <w:r w:rsidRPr="007B59F5">
        <w:t xml:space="preserve"> </w:t>
      </w:r>
      <w:r>
        <w:t>takes into account</w:t>
      </w:r>
      <w:r w:rsidRPr="007B59F5">
        <w:t xml:space="preserve"> </w:t>
      </w:r>
      <w:r>
        <w:t xml:space="preserve">all activities </w:t>
      </w:r>
      <w:r w:rsidRPr="007B59F5">
        <w:t>that are tagged in IATI as being in completion</w:t>
      </w:r>
      <w:r>
        <w:t xml:space="preserve"> or later</w:t>
      </w:r>
      <w:r w:rsidRPr="007B59F5">
        <w:t xml:space="preserve"> stage</w:t>
      </w:r>
      <w:r>
        <w:t>s</w:t>
      </w:r>
      <w:r w:rsidRPr="007B59F5">
        <w:t xml:space="preserve"> without taking into account the dates when the activities ended. This means that projects that </w:t>
      </w:r>
      <w:r>
        <w:t xml:space="preserve">are completed in recent months before the date of the test run </w:t>
      </w:r>
      <w:r w:rsidRPr="007B59F5">
        <w:t xml:space="preserve">are checked to see if an evaluation report is published. </w:t>
      </w:r>
      <w:r w:rsidR="00710FB5">
        <w:t>A</w:t>
      </w:r>
      <w:r w:rsidR="004714C9">
        <w:t>ll types of activities, regardless of size and type</w:t>
      </w:r>
      <w:r w:rsidR="00710FB5">
        <w:t>,</w:t>
      </w:r>
      <w:r w:rsidR="004714C9">
        <w:t xml:space="preserve"> are expected to have evaluations. We recognise that it is not </w:t>
      </w:r>
      <w:r>
        <w:t>reasonable</w:t>
      </w:r>
      <w:r w:rsidRPr="007B59F5">
        <w:t xml:space="preserve"> to expect evaluation documents to be published</w:t>
      </w:r>
      <w:r w:rsidR="004714C9">
        <w:t xml:space="preserve"> for all projects and</w:t>
      </w:r>
      <w:r w:rsidRPr="007B59F5">
        <w:t xml:space="preserve"> immediately </w:t>
      </w:r>
      <w:r>
        <w:t xml:space="preserve">after a project is completed. </w:t>
      </w:r>
      <w:r w:rsidR="00710FB5">
        <w:t>W</w:t>
      </w:r>
      <w:r>
        <w:t>e</w:t>
      </w:r>
      <w:r w:rsidRPr="007B59F5">
        <w:t xml:space="preserve"> considered adding a time-lag </w:t>
      </w:r>
      <w:r>
        <w:t xml:space="preserve">after project completion to the test and consulted with peer reviewers and several donor organisations to </w:t>
      </w:r>
      <w:r w:rsidR="004714C9">
        <w:t>understand whether this would work</w:t>
      </w:r>
      <w:r>
        <w:t xml:space="preserve">. </w:t>
      </w:r>
      <w:r w:rsidR="004714C9">
        <w:t xml:space="preserve">Based on our consultations, we found that </w:t>
      </w:r>
      <w:r w:rsidR="00036641" w:rsidRPr="007B59F5">
        <w:t xml:space="preserve">approaches vary widely depending on the project intervention </w:t>
      </w:r>
      <w:r w:rsidR="004714C9" w:rsidRPr="007B59F5">
        <w:t>type and size. Further, s</w:t>
      </w:r>
      <w:r w:rsidR="00036641" w:rsidRPr="007B59F5">
        <w:t xml:space="preserve">ome </w:t>
      </w:r>
      <w:r>
        <w:t>large</w:t>
      </w:r>
      <w:r w:rsidR="00036641" w:rsidRPr="007B59F5">
        <w:t xml:space="preserve"> donors ha</w:t>
      </w:r>
      <w:r w:rsidRPr="007B59F5">
        <w:t>ve dedicated, semi-independent monitoring and evaluations</w:t>
      </w:r>
      <w:r w:rsidR="00036641" w:rsidRPr="007B59F5">
        <w:t xml:space="preserve"> divisions whereas others complete evaluations internally or </w:t>
      </w:r>
      <w:r w:rsidR="00163163">
        <w:t>contract</w:t>
      </w:r>
      <w:r w:rsidR="00036641" w:rsidRPr="007B59F5">
        <w:t xml:space="preserve"> external consultants</w:t>
      </w:r>
      <w:r w:rsidR="00710FB5">
        <w:t xml:space="preserve"> to conduct them</w:t>
      </w:r>
      <w:r w:rsidR="00036641" w:rsidRPr="007B59F5">
        <w:t xml:space="preserve">, meaning that the timelines </w:t>
      </w:r>
      <w:r>
        <w:t xml:space="preserve">for publishing evaluations </w:t>
      </w:r>
      <w:r w:rsidR="00036641" w:rsidRPr="007B59F5">
        <w:t>vary significantly.</w:t>
      </w:r>
      <w:r>
        <w:t xml:space="preserve"> </w:t>
      </w:r>
      <w:r w:rsidR="00036641" w:rsidRPr="007B59F5">
        <w:t>Given that we want to assess the comprehensiveness of publication for evaluations (rather than assessing different</w:t>
      </w:r>
      <w:r w:rsidR="004714C9" w:rsidRPr="007B59F5">
        <w:t xml:space="preserve"> approaches to conducting them), the difficulties associated with</w:t>
      </w:r>
      <w:r>
        <w:t xml:space="preserve"> programmatically</w:t>
      </w:r>
      <w:r w:rsidRPr="007B59F5">
        <w:t xml:space="preserve"> </w:t>
      </w:r>
      <w:r>
        <w:t>assess</w:t>
      </w:r>
      <w:r w:rsidR="004714C9">
        <w:t>ing</w:t>
      </w:r>
      <w:r>
        <w:t xml:space="preserve"> donors based on their individual approaches to evaluations</w:t>
      </w:r>
      <w:r w:rsidR="00036641" w:rsidRPr="007B59F5">
        <w:t xml:space="preserve">, </w:t>
      </w:r>
      <w:r w:rsidR="004714C9">
        <w:t xml:space="preserve">and that we want to encourage best case practices and timely publication, we did not include a time lag in the test used in 2014. While we recognise that the test as it stands is imperfect and would like to consider further </w:t>
      </w:r>
      <w:r w:rsidR="00163163">
        <w:t>improvements</w:t>
      </w:r>
      <w:r w:rsidR="004714C9">
        <w:t xml:space="preserve">, we did not want to make changes that would not be sustainable </w:t>
      </w:r>
      <w:r w:rsidR="00163163">
        <w:t>in</w:t>
      </w:r>
      <w:r w:rsidR="004714C9">
        <w:t xml:space="preserve"> the future. One </w:t>
      </w:r>
      <w:r w:rsidR="00163163">
        <w:t xml:space="preserve">suggested </w:t>
      </w:r>
      <w:r w:rsidR="004714C9">
        <w:t xml:space="preserve">option for testing evaluations </w:t>
      </w:r>
      <w:r w:rsidR="00163163">
        <w:t xml:space="preserve">published to </w:t>
      </w:r>
      <w:r w:rsidR="00D81462">
        <w:t xml:space="preserve">IATI </w:t>
      </w:r>
      <w:r w:rsidR="004714C9">
        <w:t xml:space="preserve">in the future </w:t>
      </w:r>
      <w:r w:rsidR="00163163">
        <w:t>i</w:t>
      </w:r>
      <w:r w:rsidR="000B647D">
        <w:t>s to allow organisations to</w:t>
      </w:r>
      <w:r w:rsidR="004714C9">
        <w:t xml:space="preserve"> </w:t>
      </w:r>
      <w:r w:rsidR="000B647D">
        <w:t>add</w:t>
      </w:r>
      <w:r w:rsidR="004714C9">
        <w:t xml:space="preserve"> a flag or marker against activities that are expected to</w:t>
      </w:r>
      <w:r w:rsidR="000B647D">
        <w:t xml:space="preserve"> be</w:t>
      </w:r>
      <w:r w:rsidR="004714C9">
        <w:t xml:space="preserve"> evaluated </w:t>
      </w:r>
      <w:r w:rsidR="000B647D">
        <w:t xml:space="preserve">along with dates for expected publication, so </w:t>
      </w:r>
      <w:r w:rsidR="004714C9">
        <w:t xml:space="preserve">activities </w:t>
      </w:r>
      <w:r w:rsidR="000B647D">
        <w:t xml:space="preserve">can be selected </w:t>
      </w:r>
      <w:r w:rsidR="004714C9">
        <w:t>for assessment accordingly.</w:t>
      </w:r>
      <w:r w:rsidR="000B647D">
        <w:t xml:space="preserve"> However, such a flagging system does not exist in the Standard currently.</w:t>
      </w:r>
      <w:r w:rsidR="004714C9">
        <w:t xml:space="preserve"> </w:t>
      </w:r>
    </w:p>
    <w:p w14:paraId="49295F23" w14:textId="77777777" w:rsidR="0087570D" w:rsidRPr="00C428DA" w:rsidRDefault="0087570D" w:rsidP="00C428DA">
      <w:pPr>
        <w:keepNext/>
        <w:keepLines/>
        <w:spacing w:after="0" w:line="240" w:lineRule="auto"/>
        <w:outlineLvl w:val="3"/>
        <w:rPr>
          <w:rFonts w:ascii="Cambria" w:eastAsiaTheme="majorEastAsia" w:hAnsi="Cambria" w:cstheme="majorBidi"/>
          <w:b/>
          <w:bCs/>
          <w:iCs/>
          <w:color w:val="4F81BD" w:themeColor="accent1"/>
        </w:rPr>
      </w:pPr>
      <w:r w:rsidRPr="00FC0BC5">
        <w:rPr>
          <w:rFonts w:ascii="Cambria" w:eastAsiaTheme="majorEastAsia" w:hAnsi="Cambria" w:cstheme="majorBidi"/>
          <w:b/>
          <w:bCs/>
          <w:iCs/>
          <w:color w:val="4F81BD" w:themeColor="accent1"/>
        </w:rPr>
        <w:t>E</w:t>
      </w:r>
      <w:r w:rsidR="004E04F7" w:rsidRPr="00FC0BC5">
        <w:rPr>
          <w:rFonts w:ascii="Cambria" w:eastAsiaTheme="majorEastAsia" w:hAnsi="Cambria" w:cstheme="majorBidi"/>
          <w:b/>
          <w:bCs/>
          <w:iCs/>
          <w:color w:val="4F81BD" w:themeColor="accent1"/>
        </w:rPr>
        <w:t>nsuring documents published as links in IATI meet the criteria set out in the scoring guidelines for indicators</w:t>
      </w:r>
    </w:p>
    <w:p w14:paraId="53338B5E" w14:textId="59170245" w:rsidR="00A75829" w:rsidRDefault="0087570D" w:rsidP="0087570D">
      <w:pPr>
        <w:spacing w:after="0" w:line="240" w:lineRule="auto"/>
      </w:pPr>
      <w:r w:rsidRPr="0087570D">
        <w:rPr>
          <w:rFonts w:ascii="Calibri" w:eastAsia="Times New Roman" w:hAnsi="Calibri" w:cs="Times New Roman"/>
          <w:bCs/>
          <w:iCs/>
        </w:rPr>
        <w:t>I</w:t>
      </w:r>
      <w:r w:rsidR="004E04F7" w:rsidRPr="0087570D">
        <w:rPr>
          <w:rFonts w:eastAsiaTheme="minorHAnsi"/>
          <w:lang w:bidi="ar-SA"/>
        </w:rPr>
        <w:t xml:space="preserve">t </w:t>
      </w:r>
      <w:r w:rsidR="004E04F7" w:rsidRPr="00984A0F">
        <w:rPr>
          <w:rFonts w:eastAsiaTheme="minorHAnsi"/>
          <w:lang w:bidi="ar-SA"/>
        </w:rPr>
        <w:t xml:space="preserve">is possible to add </w:t>
      </w:r>
      <w:r w:rsidR="004E04F7">
        <w:t xml:space="preserve">organisation documents such as annual reports, allocation </w:t>
      </w:r>
      <w:r>
        <w:t>policies and</w:t>
      </w:r>
      <w:r w:rsidR="004E04F7">
        <w:t xml:space="preserve"> procurement </w:t>
      </w:r>
      <w:r>
        <w:t>guidelines,</w:t>
      </w:r>
      <w:r w:rsidR="004E04F7">
        <w:t xml:space="preserve"> and </w:t>
      </w:r>
      <w:r w:rsidR="004E04F7" w:rsidRPr="00984A0F">
        <w:rPr>
          <w:rFonts w:eastAsiaTheme="minorHAnsi"/>
          <w:lang w:bidi="ar-SA"/>
        </w:rPr>
        <w:t xml:space="preserve">related </w:t>
      </w:r>
      <w:r w:rsidR="004E04F7">
        <w:t>documents for</w:t>
      </w:r>
      <w:r w:rsidR="004E04F7" w:rsidRPr="00984A0F">
        <w:rPr>
          <w:rFonts w:eastAsiaTheme="minorHAnsi"/>
          <w:lang w:bidi="ar-SA"/>
        </w:rPr>
        <w:t xml:space="preserve"> an activity</w:t>
      </w:r>
      <w:r>
        <w:t xml:space="preserve"> </w:t>
      </w:r>
      <w:r w:rsidR="004E04F7">
        <w:t>such as contracts, budget documents, evaluations</w:t>
      </w:r>
      <w:r>
        <w:t>,</w:t>
      </w:r>
      <w:r w:rsidR="004E04F7">
        <w:t xml:space="preserve"> etc.</w:t>
      </w:r>
      <w:r w:rsidR="004E04F7" w:rsidRPr="00984A0F">
        <w:rPr>
          <w:rFonts w:eastAsiaTheme="minorHAnsi"/>
          <w:lang w:bidi="ar-SA"/>
        </w:rPr>
        <w:t xml:space="preserve"> in order to provide a wider context for </w:t>
      </w:r>
      <w:r>
        <w:rPr>
          <w:rFonts w:eastAsiaTheme="minorHAnsi"/>
          <w:lang w:bidi="ar-SA"/>
        </w:rPr>
        <w:t>an activity. T</w:t>
      </w:r>
      <w:r w:rsidR="004E04F7" w:rsidRPr="00423FCC">
        <w:t xml:space="preserve">his makes </w:t>
      </w:r>
      <w:r w:rsidR="00221A8B">
        <w:t>documents</w:t>
      </w:r>
      <w:r w:rsidR="00221A8B" w:rsidRPr="00423FCC">
        <w:t xml:space="preserve"> </w:t>
      </w:r>
      <w:r w:rsidR="004E04F7" w:rsidRPr="00423FCC">
        <w:t>easier to locate and identify than documents available just on the organisation’s website</w:t>
      </w:r>
      <w:r w:rsidR="00221A8B">
        <w:t>,</w:t>
      </w:r>
      <w:r w:rsidR="004E04F7" w:rsidRPr="00423FCC">
        <w:t xml:space="preserve"> he</w:t>
      </w:r>
      <w:r w:rsidR="004E04F7">
        <w:t xml:space="preserve">nce they are scored more highly in the </w:t>
      </w:r>
      <w:r w:rsidR="002E390B">
        <w:t>Index</w:t>
      </w:r>
      <w:r w:rsidR="004E04F7">
        <w:t>.</w:t>
      </w:r>
      <w:r w:rsidR="00A75829">
        <w:t xml:space="preserve"> </w:t>
      </w:r>
    </w:p>
    <w:p w14:paraId="7B768430" w14:textId="77777777" w:rsidR="00A75829" w:rsidRDefault="00A75829" w:rsidP="0087570D">
      <w:pPr>
        <w:spacing w:after="0" w:line="240" w:lineRule="auto"/>
      </w:pPr>
    </w:p>
    <w:p w14:paraId="0CBA2CFC" w14:textId="794E3EBD" w:rsidR="0087570D" w:rsidRDefault="004E04F7" w:rsidP="0087570D">
      <w:pPr>
        <w:spacing w:after="0" w:line="240" w:lineRule="auto"/>
      </w:pPr>
      <w:r>
        <w:t xml:space="preserve">However, it is difficult to verify the quality of each document linked in an organisation’s </w:t>
      </w:r>
      <w:r w:rsidRPr="00497C0A">
        <w:t xml:space="preserve">IATI file. The number of documents that would </w:t>
      </w:r>
      <w:r w:rsidR="00DA5629" w:rsidRPr="00497C0A">
        <w:t>require individual</w:t>
      </w:r>
      <w:r w:rsidRPr="00497C0A">
        <w:t xml:space="preserve"> checking is prohibitive (especially for donors reporting thousands of activities in their IATI files). </w:t>
      </w:r>
      <w:r w:rsidR="00DA5629" w:rsidRPr="00497C0A">
        <w:t xml:space="preserve">In 2013, </w:t>
      </w:r>
      <w:r w:rsidR="001670E1" w:rsidRPr="00497C0A">
        <w:t xml:space="preserve">some </w:t>
      </w:r>
      <w:r w:rsidRPr="00497C0A">
        <w:t xml:space="preserve">random spot checks </w:t>
      </w:r>
      <w:r w:rsidR="00DA5629" w:rsidRPr="00497C0A">
        <w:t>were made</w:t>
      </w:r>
      <w:r w:rsidR="001670E1" w:rsidRPr="00497C0A">
        <w:t xml:space="preserve"> on organisation-level documents</w:t>
      </w:r>
      <w:r w:rsidRPr="00497C0A">
        <w:t xml:space="preserve"> to ensure </w:t>
      </w:r>
      <w:r w:rsidR="001670E1" w:rsidRPr="00497C0A">
        <w:t>these</w:t>
      </w:r>
      <w:r w:rsidRPr="00497C0A">
        <w:t xml:space="preserve"> met the criteria defined in the scoring guidelines. </w:t>
      </w:r>
      <w:r w:rsidR="00802FE3" w:rsidRPr="00497C0A">
        <w:t>From 2014 onwards</w:t>
      </w:r>
      <w:r w:rsidR="00FC0BC5" w:rsidRPr="00497C0A">
        <w:t xml:space="preserve">, </w:t>
      </w:r>
      <w:r w:rsidRPr="00497C0A">
        <w:t xml:space="preserve">a more systematic procedure </w:t>
      </w:r>
      <w:r w:rsidR="00216D75" w:rsidRPr="00497C0A">
        <w:t>is</w:t>
      </w:r>
      <w:r w:rsidR="00FC0BC5" w:rsidRPr="00497C0A">
        <w:t xml:space="preserve"> used </w:t>
      </w:r>
      <w:r w:rsidRPr="00497C0A">
        <w:t xml:space="preserve">for </w:t>
      </w:r>
      <w:r w:rsidR="001670E1" w:rsidRPr="00497C0A">
        <w:t xml:space="preserve">sampling and </w:t>
      </w:r>
      <w:r w:rsidRPr="00497C0A">
        <w:t>conducting checks</w:t>
      </w:r>
      <w:r w:rsidR="00FC0BC5" w:rsidRPr="00497C0A">
        <w:t xml:space="preserve"> against all </w:t>
      </w:r>
      <w:r w:rsidR="001670E1" w:rsidRPr="00497C0A">
        <w:t>document types published at both the organisation and activity level</w:t>
      </w:r>
      <w:r w:rsidR="00FC0BC5" w:rsidRPr="00497C0A">
        <w:t xml:space="preserve">, as detailed </w:t>
      </w:r>
      <w:r w:rsidR="00163163" w:rsidRPr="00497C0A">
        <w:t xml:space="preserve">in </w:t>
      </w:r>
      <w:r w:rsidR="006D2717" w:rsidRPr="00497C0A">
        <w:t>section 2</w:t>
      </w:r>
      <w:r w:rsidR="00163163" w:rsidRPr="00497C0A">
        <w:t xml:space="preserve"> </w:t>
      </w:r>
      <w:r w:rsidR="00FC0BC5" w:rsidRPr="00497C0A">
        <w:t>on p.</w:t>
      </w:r>
      <w:r w:rsidR="00AB1C76">
        <w:t>9</w:t>
      </w:r>
      <w:r w:rsidRPr="00497C0A">
        <w:t>.</w:t>
      </w:r>
      <w:r>
        <w:t xml:space="preserve"> </w:t>
      </w:r>
    </w:p>
    <w:p w14:paraId="5D5C89A6" w14:textId="77777777" w:rsidR="0087570D" w:rsidRDefault="0087570D" w:rsidP="0087570D">
      <w:pPr>
        <w:spacing w:after="0" w:line="240" w:lineRule="auto"/>
      </w:pPr>
    </w:p>
    <w:p w14:paraId="421997CC" w14:textId="77777777" w:rsidR="0087570D" w:rsidRPr="00C428DA" w:rsidRDefault="0087570D" w:rsidP="00C428DA">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C</w:t>
      </w:r>
      <w:r w:rsidR="004E04F7" w:rsidRPr="00C428DA">
        <w:rPr>
          <w:rFonts w:ascii="Cambria" w:eastAsiaTheme="majorEastAsia" w:hAnsi="Cambria" w:cstheme="majorBidi"/>
          <w:b/>
          <w:bCs/>
          <w:iCs/>
          <w:color w:val="4F81BD" w:themeColor="accent1"/>
        </w:rPr>
        <w:t>larifying the methodology of the automated assessment to donors and partner organisations</w:t>
      </w:r>
    </w:p>
    <w:p w14:paraId="6AE13590" w14:textId="77777777" w:rsidR="00FA226B" w:rsidRDefault="00171B63" w:rsidP="00FA226B">
      <w:pPr>
        <w:spacing w:after="0" w:line="240" w:lineRule="auto"/>
      </w:pPr>
      <w:r>
        <w:t xml:space="preserve">Explaining the process for automatically collecting and assessing IATI XML data </w:t>
      </w:r>
      <w:r w:rsidR="00A67FE2">
        <w:t>is</w:t>
      </w:r>
      <w:r>
        <w:t xml:space="preserve"> challenging. I</w:t>
      </w:r>
      <w:r w:rsidR="004E04F7">
        <w:t xml:space="preserve">ndicator scoring guidelines and </w:t>
      </w:r>
      <w:r>
        <w:t xml:space="preserve">details of </w:t>
      </w:r>
      <w:r w:rsidR="004E04F7">
        <w:t xml:space="preserve">the tests underlying the automated assessment </w:t>
      </w:r>
      <w:r w:rsidR="00A67FE2">
        <w:t>a</w:t>
      </w:r>
      <w:r w:rsidR="004E04F7">
        <w:t xml:space="preserve">re made available on </w:t>
      </w:r>
      <w:r w:rsidR="00DA5629">
        <w:t>Publish What You Fund’s</w:t>
      </w:r>
      <w:r w:rsidR="004E04F7">
        <w:t xml:space="preserve"> website and the Tracker </w:t>
      </w:r>
      <w:r w:rsidR="00DA5629">
        <w:t xml:space="preserve">during </w:t>
      </w:r>
      <w:r w:rsidR="004E04F7">
        <w:t xml:space="preserve">data collection. </w:t>
      </w:r>
      <w:r w:rsidR="00FA226B">
        <w:t xml:space="preserve">Cross-references have also been included in the indicator guidelines so publishers can see which element of IATI the tests are being run against for a particular indicator. </w:t>
      </w:r>
    </w:p>
    <w:p w14:paraId="5CD0C7F4" w14:textId="77777777" w:rsidR="00FA226B" w:rsidRDefault="00FA226B" w:rsidP="00FA226B">
      <w:pPr>
        <w:spacing w:after="0" w:line="240" w:lineRule="auto"/>
      </w:pPr>
    </w:p>
    <w:p w14:paraId="161B1615" w14:textId="3284E732" w:rsidR="00563C3D" w:rsidRPr="00D57AA7" w:rsidRDefault="00A67FE2" w:rsidP="00FA226B">
      <w:pPr>
        <w:spacing w:after="0" w:line="240" w:lineRule="auto"/>
      </w:pPr>
      <w:r>
        <w:t xml:space="preserve">We are happy to provide clarifications to donors and CSOs on how </w:t>
      </w:r>
      <w:r w:rsidR="005232AF">
        <w:t>scores</w:t>
      </w:r>
      <w:r w:rsidR="00171B63">
        <w:t xml:space="preserve"> from the automated tests </w:t>
      </w:r>
      <w:r>
        <w:t>are</w:t>
      </w:r>
      <w:r w:rsidR="00171B63">
        <w:t xml:space="preserve"> amalgamated with those</w:t>
      </w:r>
      <w:r w:rsidR="005232AF">
        <w:t xml:space="preserve"> from the survey</w:t>
      </w:r>
      <w:r w:rsidR="009311CD">
        <w:t xml:space="preserve">, </w:t>
      </w:r>
      <w:r w:rsidR="004E04F7">
        <w:t xml:space="preserve">particularly </w:t>
      </w:r>
      <w:r w:rsidR="009311CD">
        <w:t>so that</w:t>
      </w:r>
      <w:r w:rsidR="004E04F7">
        <w:t xml:space="preserve"> donors </w:t>
      </w:r>
      <w:r w:rsidR="009311CD">
        <w:t>can</w:t>
      </w:r>
      <w:r w:rsidR="004E04F7">
        <w:t xml:space="preserve"> understand the gaps in their data and identify areas of improvement. </w:t>
      </w:r>
    </w:p>
    <w:p w14:paraId="282AF0E2" w14:textId="77777777" w:rsidR="00563C3D" w:rsidRDefault="00563C3D" w:rsidP="00FA226B">
      <w:pPr>
        <w:spacing w:after="0" w:line="240" w:lineRule="auto"/>
        <w:rPr>
          <w:rFonts w:ascii="Cambria" w:eastAsia="Calibri" w:hAnsi="Cambria" w:cs="Times New Roman"/>
          <w:b/>
          <w:bCs/>
          <w:color w:val="4F81BD"/>
          <w:sz w:val="28"/>
          <w:szCs w:val="26"/>
        </w:rPr>
      </w:pPr>
    </w:p>
    <w:p w14:paraId="1267D77F" w14:textId="77777777" w:rsidR="00EE5EEE" w:rsidRPr="00EE5EEE" w:rsidRDefault="00EE5EEE" w:rsidP="00FA226B">
      <w:pPr>
        <w:spacing w:after="0" w:line="240" w:lineRule="auto"/>
        <w:rPr>
          <w:rFonts w:ascii="Cambria" w:eastAsia="Calibri" w:hAnsi="Cambria" w:cs="Times New Roman"/>
          <w:b/>
          <w:bCs/>
          <w:color w:val="4F81BD"/>
          <w:sz w:val="28"/>
          <w:szCs w:val="26"/>
        </w:rPr>
      </w:pPr>
      <w:r w:rsidRPr="00EE5EEE">
        <w:rPr>
          <w:rFonts w:ascii="Cambria" w:eastAsia="Calibri" w:hAnsi="Cambria" w:cs="Times New Roman"/>
          <w:b/>
          <w:bCs/>
          <w:color w:val="4F81BD"/>
          <w:sz w:val="28"/>
          <w:szCs w:val="26"/>
        </w:rPr>
        <w:t xml:space="preserve">Future iterations of </w:t>
      </w:r>
      <w:r w:rsidR="00C04A5B">
        <w:rPr>
          <w:rFonts w:ascii="Cambria" w:eastAsia="Calibri" w:hAnsi="Cambria" w:cs="Times New Roman"/>
          <w:b/>
          <w:bCs/>
          <w:color w:val="4F81BD"/>
          <w:sz w:val="28"/>
          <w:szCs w:val="26"/>
        </w:rPr>
        <w:t>the assessment</w:t>
      </w:r>
    </w:p>
    <w:p w14:paraId="34C2E69C" w14:textId="77777777" w:rsidR="00EE5EEE" w:rsidRDefault="00EE5EEE" w:rsidP="00EE5EEE">
      <w:pPr>
        <w:spacing w:after="0" w:line="240" w:lineRule="auto"/>
      </w:pPr>
    </w:p>
    <w:p w14:paraId="3415CB19" w14:textId="77777777" w:rsidR="00EE5EEE" w:rsidRDefault="00EE5EEE" w:rsidP="00EE5EEE">
      <w:pPr>
        <w:spacing w:after="0" w:line="240" w:lineRule="auto"/>
      </w:pPr>
      <w:r>
        <w:t xml:space="preserve">The new methodology that was introduced in 2013 allows for a more accurate reflection of </w:t>
      </w:r>
      <w:r w:rsidR="00163163">
        <w:t>organisation</w:t>
      </w:r>
      <w:r>
        <w:t xml:space="preserve">s’ publication practices. However, we recognise that the automated component used to assess the quality of IATI data needed some refinement. A key priority in 2014 </w:t>
      </w:r>
      <w:r w:rsidR="00C04A5B">
        <w:t>was</w:t>
      </w:r>
      <w:r>
        <w:t xml:space="preserve"> to improve the data quality tests to address some of the challenges described above. We will continue to revisit the tests, particularly those used for measuring country strategy papers and disaggregated budgets. </w:t>
      </w:r>
    </w:p>
    <w:p w14:paraId="431D46CD" w14:textId="77777777" w:rsidR="00EE5EEE" w:rsidRDefault="00EE5EEE" w:rsidP="00EE5EEE">
      <w:pPr>
        <w:spacing w:after="0" w:line="240" w:lineRule="auto"/>
      </w:pPr>
    </w:p>
    <w:p w14:paraId="5531F7F5" w14:textId="49C9E1DB" w:rsidR="00EE5EEE" w:rsidRDefault="00EE5EEE" w:rsidP="00EE5EEE">
      <w:pPr>
        <w:spacing w:after="0" w:line="240" w:lineRule="auto"/>
      </w:pPr>
      <w:r>
        <w:t xml:space="preserve">It is anticipated that data collection and analysis will become easier in future years as more donors publish to IATI, automating a large amount of the data collection. This may allow for the inclusion of an increased </w:t>
      </w:r>
      <w:r w:rsidR="00D233EF">
        <w:t>range</w:t>
      </w:r>
      <w:r>
        <w:t xml:space="preserve"> of donors in future iterations. We would also like to consider extending our assessment to include more D</w:t>
      </w:r>
      <w:r w:rsidR="00163163">
        <w:t>FIs</w:t>
      </w:r>
      <w:r>
        <w:t xml:space="preserve"> and/or providers of south-south cooperation, either as part of the annual </w:t>
      </w:r>
      <w:r w:rsidR="00563C3D">
        <w:t>Index</w:t>
      </w:r>
      <w:r>
        <w:t xml:space="preserve"> process or in separate publications that focus on the specific practices of these </w:t>
      </w:r>
      <w:r w:rsidR="00163163">
        <w:t>organisations</w:t>
      </w:r>
      <w:r>
        <w:t xml:space="preserve"> and the challenges they face in enhancing their transparency. </w:t>
      </w:r>
    </w:p>
    <w:p w14:paraId="79024D1D" w14:textId="77777777" w:rsidR="00EE5EEE" w:rsidRDefault="00EE5EEE" w:rsidP="00EE5EEE">
      <w:pPr>
        <w:spacing w:after="0" w:line="240" w:lineRule="auto"/>
      </w:pPr>
    </w:p>
    <w:p w14:paraId="68554CF1" w14:textId="77777777" w:rsidR="00EE5EEE" w:rsidRDefault="00EE5EEE" w:rsidP="00EE5EEE">
      <w:pPr>
        <w:spacing w:after="0" w:line="240" w:lineRule="auto"/>
      </w:pPr>
      <w:r>
        <w:t xml:space="preserve">We welcome feedback and comments on further improvements and in response to the challenges outlined in Section 6. Please send suggestions to: </w:t>
      </w:r>
      <w:hyperlink r:id="rId20" w:history="1">
        <w:r w:rsidR="00202447" w:rsidRPr="00B46D73">
          <w:rPr>
            <w:rStyle w:val="Hyperlink"/>
          </w:rPr>
          <w:t>tracker@publishwhatyoufund.org</w:t>
        </w:r>
      </w:hyperlink>
    </w:p>
    <w:p w14:paraId="2B7599AF" w14:textId="77777777" w:rsidR="00EE5EEE" w:rsidRDefault="00EE5EEE" w:rsidP="00FA226B">
      <w:pPr>
        <w:spacing w:after="0" w:line="240" w:lineRule="auto"/>
      </w:pPr>
    </w:p>
    <w:p w14:paraId="5995AA23" w14:textId="77777777" w:rsidR="00EE5EEE" w:rsidRDefault="00EE5EEE" w:rsidP="00FA226B">
      <w:pPr>
        <w:spacing w:after="0" w:line="240" w:lineRule="auto"/>
        <w:rPr>
          <w:sz w:val="36"/>
        </w:rPr>
        <w:sectPr w:rsidR="00EE5EEE" w:rsidSect="002B2AC5">
          <w:pgSz w:w="16838" w:h="11906" w:orient="landscape"/>
          <w:pgMar w:top="1021" w:right="1021" w:bottom="1021" w:left="1021" w:header="709" w:footer="709" w:gutter="0"/>
          <w:cols w:space="708"/>
          <w:docGrid w:linePitch="360"/>
        </w:sectPr>
      </w:pPr>
    </w:p>
    <w:p w14:paraId="5DACD934" w14:textId="77777777" w:rsidR="00FD2C62" w:rsidRPr="000445AB" w:rsidRDefault="007B1271" w:rsidP="000D5F0D">
      <w:pPr>
        <w:pStyle w:val="Heading1"/>
        <w:spacing w:before="0" w:line="240" w:lineRule="auto"/>
        <w:rPr>
          <w:sz w:val="36"/>
        </w:rPr>
      </w:pPr>
      <w:bookmarkStart w:id="19" w:name="_Toc416100916"/>
      <w:r w:rsidRPr="000445AB">
        <w:rPr>
          <w:sz w:val="36"/>
        </w:rPr>
        <w:t>Annex 1: Indicator definitions</w:t>
      </w:r>
      <w:bookmarkEnd w:id="19"/>
    </w:p>
    <w:p w14:paraId="4B158D96" w14:textId="77777777" w:rsidR="007B1271" w:rsidRPr="00F01BB0" w:rsidRDefault="007B1271" w:rsidP="00935A49">
      <w:pPr>
        <w:spacing w:after="0" w:line="240" w:lineRule="auto"/>
        <w:rPr>
          <w:sz w:val="20"/>
          <w:szCs w:val="20"/>
        </w:rPr>
      </w:pPr>
    </w:p>
    <w:p w14:paraId="14E58A56" w14:textId="77777777" w:rsidR="00553543" w:rsidRDefault="00A326C5" w:rsidP="00935A49">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Table 5</w:t>
      </w:r>
      <w:r w:rsidR="00553543" w:rsidRPr="00913ED9">
        <w:rPr>
          <w:rFonts w:ascii="Cambria" w:eastAsia="Calibri" w:hAnsi="Cambria" w:cs="Times New Roman"/>
          <w:b/>
          <w:bCs/>
          <w:color w:val="4F81BD"/>
          <w:sz w:val="24"/>
        </w:rPr>
        <w:t xml:space="preserve">: </w:t>
      </w:r>
      <w:r w:rsidR="00553543">
        <w:rPr>
          <w:rFonts w:ascii="Cambria" w:eastAsia="Calibri" w:hAnsi="Cambria" w:cs="Times New Roman"/>
          <w:b/>
          <w:bCs/>
          <w:color w:val="4F81BD"/>
          <w:sz w:val="24"/>
        </w:rPr>
        <w:t>Definitions used for the 39 indicators</w:t>
      </w:r>
    </w:p>
    <w:p w14:paraId="44F8CCB9" w14:textId="77777777" w:rsidR="00553543" w:rsidRPr="00F01BB0" w:rsidRDefault="00553543" w:rsidP="00935A49">
      <w:pPr>
        <w:spacing w:after="0" w:line="240" w:lineRule="auto"/>
        <w:rPr>
          <w:sz w:val="20"/>
          <w:szCs w:val="20"/>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418"/>
        <w:gridCol w:w="1843"/>
        <w:gridCol w:w="2126"/>
        <w:gridCol w:w="4961"/>
        <w:gridCol w:w="4394"/>
      </w:tblGrid>
      <w:tr w:rsidR="009C7D14" w:rsidRPr="007D3871" w14:paraId="746EFB74" w14:textId="77777777" w:rsidTr="00AF7769">
        <w:trPr>
          <w:trHeight w:val="227"/>
          <w:tblHeader/>
        </w:trPr>
        <w:tc>
          <w:tcPr>
            <w:tcW w:w="1418" w:type="dxa"/>
            <w:tcBorders>
              <w:bottom w:val="single" w:sz="4" w:space="0" w:color="auto"/>
            </w:tcBorders>
            <w:shd w:val="clear" w:color="auto" w:fill="8DB3E2"/>
            <w:hideMark/>
          </w:tcPr>
          <w:p w14:paraId="17D2B9FD" w14:textId="77777777" w:rsidR="009C7D14" w:rsidRPr="007D3871" w:rsidRDefault="009C7D14" w:rsidP="003B57E4">
            <w:pPr>
              <w:spacing w:after="0" w:line="240" w:lineRule="auto"/>
              <w:jc w:val="center"/>
              <w:rPr>
                <w:b/>
                <w:bCs/>
                <w:sz w:val="20"/>
                <w:szCs w:val="20"/>
              </w:rPr>
            </w:pPr>
            <w:r w:rsidRPr="007D3871">
              <w:rPr>
                <w:b/>
                <w:bCs/>
                <w:sz w:val="20"/>
                <w:szCs w:val="20"/>
              </w:rPr>
              <w:t>Sub</w:t>
            </w:r>
            <w:r>
              <w:rPr>
                <w:b/>
                <w:bCs/>
                <w:sz w:val="20"/>
                <w:szCs w:val="20"/>
              </w:rPr>
              <w:t>-</w:t>
            </w:r>
            <w:r w:rsidRPr="007D3871">
              <w:rPr>
                <w:b/>
                <w:bCs/>
                <w:sz w:val="20"/>
                <w:szCs w:val="20"/>
              </w:rPr>
              <w:t>group</w:t>
            </w:r>
          </w:p>
        </w:tc>
        <w:tc>
          <w:tcPr>
            <w:tcW w:w="1843" w:type="dxa"/>
            <w:tcBorders>
              <w:bottom w:val="single" w:sz="4" w:space="0" w:color="auto"/>
            </w:tcBorders>
            <w:shd w:val="clear" w:color="auto" w:fill="8DB3E2"/>
            <w:noWrap/>
            <w:hideMark/>
          </w:tcPr>
          <w:p w14:paraId="0A35DE27" w14:textId="77777777" w:rsidR="009C7D14" w:rsidRPr="007D3871" w:rsidRDefault="009C7D14" w:rsidP="003B57E4">
            <w:pPr>
              <w:spacing w:after="0" w:line="240" w:lineRule="auto"/>
              <w:jc w:val="center"/>
              <w:rPr>
                <w:b/>
                <w:bCs/>
                <w:sz w:val="20"/>
                <w:szCs w:val="20"/>
              </w:rPr>
            </w:pPr>
            <w:r w:rsidRPr="007D3871">
              <w:rPr>
                <w:b/>
                <w:bCs/>
                <w:sz w:val="20"/>
                <w:szCs w:val="20"/>
              </w:rPr>
              <w:t>Indicator</w:t>
            </w:r>
          </w:p>
        </w:tc>
        <w:tc>
          <w:tcPr>
            <w:tcW w:w="2126" w:type="dxa"/>
            <w:tcBorders>
              <w:bottom w:val="single" w:sz="4" w:space="0" w:color="auto"/>
            </w:tcBorders>
            <w:shd w:val="clear" w:color="auto" w:fill="8DB3E2"/>
          </w:tcPr>
          <w:p w14:paraId="4F983D55" w14:textId="77777777" w:rsidR="009C7D14" w:rsidRPr="007D3871" w:rsidRDefault="009C7D14" w:rsidP="003B57E4">
            <w:pPr>
              <w:spacing w:after="0" w:line="240" w:lineRule="auto"/>
              <w:jc w:val="center"/>
              <w:rPr>
                <w:b/>
                <w:bCs/>
                <w:sz w:val="20"/>
                <w:szCs w:val="20"/>
              </w:rPr>
            </w:pPr>
            <w:r w:rsidRPr="007D3871">
              <w:rPr>
                <w:b/>
                <w:bCs/>
                <w:sz w:val="20"/>
                <w:szCs w:val="20"/>
              </w:rPr>
              <w:t xml:space="preserve">Survey </w:t>
            </w:r>
            <w:r>
              <w:rPr>
                <w:b/>
                <w:bCs/>
                <w:sz w:val="20"/>
                <w:szCs w:val="20"/>
              </w:rPr>
              <w:t>q</w:t>
            </w:r>
            <w:r w:rsidRPr="007D3871">
              <w:rPr>
                <w:b/>
                <w:bCs/>
                <w:sz w:val="20"/>
                <w:szCs w:val="20"/>
              </w:rPr>
              <w:t>uestion</w:t>
            </w:r>
          </w:p>
        </w:tc>
        <w:tc>
          <w:tcPr>
            <w:tcW w:w="4961" w:type="dxa"/>
            <w:tcBorders>
              <w:bottom w:val="single" w:sz="4" w:space="0" w:color="auto"/>
            </w:tcBorders>
            <w:shd w:val="clear" w:color="auto" w:fill="8DB3E2"/>
          </w:tcPr>
          <w:p w14:paraId="1E75C471" w14:textId="77777777" w:rsidR="009C7D14" w:rsidRPr="007D3871" w:rsidRDefault="009C7D14" w:rsidP="003B57E4">
            <w:pPr>
              <w:spacing w:after="0" w:line="240" w:lineRule="auto"/>
              <w:jc w:val="center"/>
              <w:rPr>
                <w:b/>
                <w:bCs/>
                <w:sz w:val="20"/>
                <w:szCs w:val="20"/>
              </w:rPr>
            </w:pPr>
            <w:r w:rsidRPr="007D3871">
              <w:rPr>
                <w:b/>
                <w:bCs/>
                <w:sz w:val="20"/>
                <w:szCs w:val="20"/>
              </w:rPr>
              <w:t>Definition</w:t>
            </w:r>
          </w:p>
        </w:tc>
        <w:tc>
          <w:tcPr>
            <w:tcW w:w="4394" w:type="dxa"/>
            <w:tcBorders>
              <w:bottom w:val="single" w:sz="4" w:space="0" w:color="auto"/>
            </w:tcBorders>
            <w:shd w:val="clear" w:color="auto" w:fill="8DB3E2"/>
          </w:tcPr>
          <w:p w14:paraId="26FDDF5F" w14:textId="77777777" w:rsidR="009C7D14" w:rsidRPr="007D3871" w:rsidRDefault="009C7D14" w:rsidP="003B57E4">
            <w:pPr>
              <w:spacing w:after="0" w:line="240" w:lineRule="auto"/>
              <w:jc w:val="center"/>
              <w:rPr>
                <w:b/>
                <w:bCs/>
                <w:sz w:val="20"/>
                <w:szCs w:val="20"/>
              </w:rPr>
            </w:pPr>
            <w:r w:rsidRPr="007D3871">
              <w:rPr>
                <w:b/>
                <w:bCs/>
                <w:sz w:val="20"/>
                <w:szCs w:val="20"/>
              </w:rPr>
              <w:t>Additional definitions and notes</w:t>
            </w:r>
          </w:p>
        </w:tc>
      </w:tr>
      <w:tr w:rsidR="009C7D14" w:rsidRPr="007D3871" w14:paraId="132DDC3E" w14:textId="77777777" w:rsidTr="00AF7769">
        <w:trPr>
          <w:trHeight w:val="227"/>
        </w:trPr>
        <w:tc>
          <w:tcPr>
            <w:tcW w:w="14742" w:type="dxa"/>
            <w:gridSpan w:val="5"/>
            <w:shd w:val="clear" w:color="auto" w:fill="auto"/>
          </w:tcPr>
          <w:p w14:paraId="60B176F7" w14:textId="77777777" w:rsidR="009C7D14" w:rsidRPr="007D3871" w:rsidRDefault="009C7D14" w:rsidP="003B57E4">
            <w:pPr>
              <w:pStyle w:val="ListParagraph"/>
              <w:spacing w:after="0" w:line="240" w:lineRule="auto"/>
              <w:ind w:left="33"/>
              <w:contextualSpacing w:val="0"/>
              <w:rPr>
                <w:b/>
                <w:sz w:val="20"/>
                <w:szCs w:val="20"/>
              </w:rPr>
            </w:pPr>
            <w:r w:rsidRPr="007D3871">
              <w:rPr>
                <w:b/>
                <w:sz w:val="20"/>
                <w:szCs w:val="20"/>
              </w:rPr>
              <w:t>Commitment level</w:t>
            </w:r>
          </w:p>
        </w:tc>
      </w:tr>
      <w:tr w:rsidR="009C7D14" w:rsidRPr="007D3871" w14:paraId="798B8ABE" w14:textId="77777777" w:rsidTr="00AF7769">
        <w:trPr>
          <w:trHeight w:val="227"/>
        </w:trPr>
        <w:tc>
          <w:tcPr>
            <w:tcW w:w="1418" w:type="dxa"/>
            <w:vMerge w:val="restart"/>
            <w:shd w:val="clear" w:color="auto" w:fill="auto"/>
          </w:tcPr>
          <w:p w14:paraId="6166E953" w14:textId="77777777" w:rsidR="009C7D14" w:rsidRPr="007D3871" w:rsidRDefault="009C7D14" w:rsidP="003B57E4">
            <w:pPr>
              <w:spacing w:after="0" w:line="240" w:lineRule="auto"/>
              <w:rPr>
                <w:sz w:val="20"/>
                <w:szCs w:val="20"/>
              </w:rPr>
            </w:pPr>
            <w:r w:rsidRPr="007D3871">
              <w:rPr>
                <w:sz w:val="20"/>
                <w:szCs w:val="20"/>
              </w:rPr>
              <w:t>Commitment</w:t>
            </w:r>
          </w:p>
          <w:p w14:paraId="4411F4D6" w14:textId="77777777" w:rsidR="009C7D14" w:rsidRPr="007D3871" w:rsidRDefault="009C7D14" w:rsidP="003B57E4">
            <w:pPr>
              <w:spacing w:after="0" w:line="240" w:lineRule="auto"/>
              <w:rPr>
                <w:sz w:val="20"/>
                <w:szCs w:val="20"/>
              </w:rPr>
            </w:pPr>
          </w:p>
        </w:tc>
        <w:tc>
          <w:tcPr>
            <w:tcW w:w="1843" w:type="dxa"/>
            <w:shd w:val="clear" w:color="auto" w:fill="auto"/>
            <w:noWrap/>
            <w:hideMark/>
          </w:tcPr>
          <w:p w14:paraId="7FEA8DDB"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Quality of FOI legislation</w:t>
            </w:r>
          </w:p>
        </w:tc>
        <w:tc>
          <w:tcPr>
            <w:tcW w:w="2126" w:type="dxa"/>
            <w:shd w:val="clear" w:color="auto" w:fill="auto"/>
          </w:tcPr>
          <w:p w14:paraId="6450FBC6" w14:textId="77777777" w:rsidR="009C7D14" w:rsidRPr="007D3871" w:rsidRDefault="009C7D14" w:rsidP="003B57E4">
            <w:pPr>
              <w:pStyle w:val="ListParagraph"/>
              <w:spacing w:after="0" w:line="240" w:lineRule="auto"/>
              <w:ind w:left="33"/>
              <w:contextualSpacing w:val="0"/>
              <w:rPr>
                <w:sz w:val="20"/>
                <w:szCs w:val="20"/>
              </w:rPr>
            </w:pPr>
            <w:r w:rsidRPr="007D3871">
              <w:rPr>
                <w:sz w:val="20"/>
                <w:szCs w:val="20"/>
              </w:rPr>
              <w:t>Quality of Freedom of Information Act (FOIA) or disclosure policy</w:t>
            </w:r>
          </w:p>
        </w:tc>
        <w:tc>
          <w:tcPr>
            <w:tcW w:w="4961" w:type="dxa"/>
            <w:shd w:val="clear" w:color="auto" w:fill="auto"/>
          </w:tcPr>
          <w:p w14:paraId="11D7C674" w14:textId="77777777" w:rsidR="003B57E4" w:rsidRPr="007D3871" w:rsidRDefault="009C7D14" w:rsidP="003B57E4">
            <w:pPr>
              <w:spacing w:after="0" w:line="240" w:lineRule="auto"/>
              <w:rPr>
                <w:sz w:val="20"/>
                <w:szCs w:val="20"/>
              </w:rPr>
            </w:pPr>
            <w:r w:rsidRPr="007D3871">
              <w:rPr>
                <w:sz w:val="20"/>
                <w:szCs w:val="20"/>
              </w:rPr>
              <w:t xml:space="preserve">The definition used in the </w:t>
            </w:r>
            <w:r>
              <w:rPr>
                <w:sz w:val="20"/>
                <w:szCs w:val="20"/>
              </w:rPr>
              <w:t xml:space="preserve">Global </w:t>
            </w:r>
            <w:r w:rsidRPr="007D3871">
              <w:rPr>
                <w:sz w:val="20"/>
                <w:szCs w:val="20"/>
              </w:rPr>
              <w:t>RTI Rating is that it has to be a law in the strict sense, it must include the right of access to information, this right has to be enforceable and there must be complaint, court and high court appeal possibilities. Decrees are included if they meet the same standards. In addition, the FOIA must be in use for at least the executive part of the government; therefore, FOIAs which are only adopted, approved or still in draft form are not counted.</w:t>
            </w:r>
          </w:p>
        </w:tc>
        <w:tc>
          <w:tcPr>
            <w:tcW w:w="4394" w:type="dxa"/>
            <w:shd w:val="clear" w:color="auto" w:fill="auto"/>
          </w:tcPr>
          <w:p w14:paraId="1DE51CB8" w14:textId="77777777" w:rsidR="009C7D14" w:rsidRPr="007D3871" w:rsidRDefault="009C7D14" w:rsidP="003B57E4">
            <w:pPr>
              <w:pStyle w:val="ListParagraph"/>
              <w:spacing w:after="0" w:line="240" w:lineRule="auto"/>
              <w:ind w:left="33"/>
              <w:contextualSpacing w:val="0"/>
              <w:rPr>
                <w:sz w:val="20"/>
                <w:szCs w:val="20"/>
              </w:rPr>
            </w:pPr>
            <w:r w:rsidRPr="007D3871">
              <w:rPr>
                <w:sz w:val="20"/>
                <w:szCs w:val="20"/>
              </w:rPr>
              <w:t>For multilateral donors, international finance institutions (IFIs) and private foundations, a disclosure or transparency policy is accepted as equivalent to a FOIA. Publish What You Fund completes an assessment of the quality of these disclosure policies based on the overarching approach taken in the Global RTI Rating.</w:t>
            </w:r>
          </w:p>
        </w:tc>
      </w:tr>
      <w:tr w:rsidR="009C7D14" w:rsidRPr="007D3871" w14:paraId="09061F25" w14:textId="77777777" w:rsidTr="00AF7769">
        <w:trPr>
          <w:trHeight w:val="1924"/>
        </w:trPr>
        <w:tc>
          <w:tcPr>
            <w:tcW w:w="1418" w:type="dxa"/>
            <w:vMerge/>
            <w:shd w:val="clear" w:color="auto" w:fill="auto"/>
            <w:hideMark/>
          </w:tcPr>
          <w:p w14:paraId="79569B4C" w14:textId="77777777" w:rsidR="009C7D14" w:rsidRPr="007D3871" w:rsidRDefault="009C7D14" w:rsidP="003B57E4">
            <w:pPr>
              <w:spacing w:after="0" w:line="240" w:lineRule="auto"/>
              <w:rPr>
                <w:sz w:val="20"/>
                <w:szCs w:val="20"/>
              </w:rPr>
            </w:pPr>
          </w:p>
        </w:tc>
        <w:tc>
          <w:tcPr>
            <w:tcW w:w="1843" w:type="dxa"/>
            <w:shd w:val="clear" w:color="auto" w:fill="auto"/>
            <w:noWrap/>
            <w:hideMark/>
          </w:tcPr>
          <w:p w14:paraId="0A90B19E"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Implementation schedules</w:t>
            </w:r>
          </w:p>
        </w:tc>
        <w:tc>
          <w:tcPr>
            <w:tcW w:w="2126" w:type="dxa"/>
            <w:shd w:val="clear" w:color="auto" w:fill="auto"/>
          </w:tcPr>
          <w:p w14:paraId="6BFAA960" w14:textId="77777777" w:rsidR="009C7D14" w:rsidRPr="007D3871" w:rsidRDefault="009C7D14" w:rsidP="003B57E4">
            <w:pPr>
              <w:spacing w:after="0" w:line="240" w:lineRule="auto"/>
              <w:ind w:left="34"/>
              <w:rPr>
                <w:sz w:val="20"/>
                <w:szCs w:val="20"/>
              </w:rPr>
            </w:pPr>
            <w:r w:rsidRPr="007D3871">
              <w:rPr>
                <w:sz w:val="20"/>
                <w:szCs w:val="20"/>
              </w:rPr>
              <w:t>Quality of Implementation Schedules</w:t>
            </w:r>
          </w:p>
        </w:tc>
        <w:tc>
          <w:tcPr>
            <w:tcW w:w="4961" w:type="dxa"/>
            <w:shd w:val="clear" w:color="auto" w:fill="auto"/>
          </w:tcPr>
          <w:p w14:paraId="0A40C3CF" w14:textId="77777777" w:rsidR="009C7D14" w:rsidRPr="00F01BB0" w:rsidRDefault="009C7D14" w:rsidP="00F01BB0">
            <w:pPr>
              <w:spacing w:after="0" w:line="240" w:lineRule="auto"/>
              <w:rPr>
                <w:sz w:val="20"/>
                <w:szCs w:val="20"/>
              </w:rPr>
            </w:pPr>
            <w:r w:rsidRPr="007D3871">
              <w:rPr>
                <w:sz w:val="20"/>
                <w:szCs w:val="20"/>
              </w:rPr>
              <w:t xml:space="preserve">The Busan </w:t>
            </w:r>
            <w:r>
              <w:rPr>
                <w:sz w:val="20"/>
                <w:szCs w:val="20"/>
              </w:rPr>
              <w:t xml:space="preserve">Partnership </w:t>
            </w:r>
            <w:r w:rsidRPr="007D3871">
              <w:rPr>
                <w:sz w:val="20"/>
                <w:szCs w:val="20"/>
              </w:rPr>
              <w:t xml:space="preserve">agreement required schedules for implementing the common standard to be published by December 2012. Publish What You Fund </w:t>
            </w:r>
            <w:r>
              <w:rPr>
                <w:sz w:val="20"/>
                <w:szCs w:val="20"/>
              </w:rPr>
              <w:t>conducted</w:t>
            </w:r>
            <w:r w:rsidRPr="007D3871">
              <w:rPr>
                <w:sz w:val="20"/>
                <w:szCs w:val="20"/>
              </w:rPr>
              <w:t xml:space="preserve"> an assessment of the schedules completed by </w:t>
            </w:r>
            <w:r>
              <w:rPr>
                <w:sz w:val="20"/>
                <w:szCs w:val="20"/>
              </w:rPr>
              <w:t>development providers and submitted to the OECD common standard i</w:t>
            </w:r>
            <w:r w:rsidRPr="007D3871">
              <w:rPr>
                <w:sz w:val="20"/>
                <w:szCs w:val="20"/>
              </w:rPr>
              <w:t>mplementation website</w:t>
            </w:r>
            <w:r>
              <w:rPr>
                <w:sz w:val="20"/>
                <w:szCs w:val="20"/>
              </w:rPr>
              <w:t>. S</w:t>
            </w:r>
            <w:r w:rsidRPr="007D3871">
              <w:rPr>
                <w:sz w:val="20"/>
                <w:szCs w:val="20"/>
              </w:rPr>
              <w:t xml:space="preserve">chedules are scored on the level of ambition shown by </w:t>
            </w:r>
            <w:r>
              <w:rPr>
                <w:sz w:val="20"/>
                <w:szCs w:val="20"/>
              </w:rPr>
              <w:t>organisations</w:t>
            </w:r>
            <w:r w:rsidRPr="007D3871">
              <w:rPr>
                <w:sz w:val="20"/>
                <w:szCs w:val="20"/>
              </w:rPr>
              <w:t xml:space="preserve"> in implementing the IATI component of the common standard.</w:t>
            </w:r>
          </w:p>
        </w:tc>
        <w:tc>
          <w:tcPr>
            <w:tcW w:w="4394" w:type="dxa"/>
            <w:shd w:val="clear" w:color="auto" w:fill="auto"/>
          </w:tcPr>
          <w:p w14:paraId="71A4A075" w14:textId="77777777" w:rsidR="009C7D14" w:rsidRPr="007D3871" w:rsidRDefault="009C7D14" w:rsidP="003B57E4">
            <w:pPr>
              <w:spacing w:after="0" w:line="240" w:lineRule="auto"/>
              <w:ind w:left="34"/>
              <w:rPr>
                <w:sz w:val="20"/>
                <w:szCs w:val="20"/>
              </w:rPr>
            </w:pPr>
            <w:r w:rsidRPr="007D3871">
              <w:rPr>
                <w:sz w:val="20"/>
                <w:szCs w:val="20"/>
              </w:rPr>
              <w:t xml:space="preserve">The complete assessment can be found on Publish What You Fund’s </w:t>
            </w:r>
            <w:hyperlink r:id="rId21" w:history="1">
              <w:r w:rsidRPr="003B57E4">
                <w:rPr>
                  <w:rStyle w:val="Hyperlink"/>
                  <w:sz w:val="20"/>
                  <w:szCs w:val="20"/>
                </w:rPr>
                <w:t>Aid Transparency Tracker</w:t>
              </w:r>
            </w:hyperlink>
            <w:r w:rsidRPr="007D3871">
              <w:rPr>
                <w:sz w:val="20"/>
                <w:szCs w:val="20"/>
              </w:rPr>
              <w:t xml:space="preserve"> website.</w:t>
            </w:r>
          </w:p>
          <w:p w14:paraId="53AC948D" w14:textId="77777777" w:rsidR="009C7D14" w:rsidRPr="007D3871" w:rsidRDefault="009C7D14" w:rsidP="003B57E4">
            <w:pPr>
              <w:spacing w:after="0" w:line="240" w:lineRule="auto"/>
              <w:ind w:left="34"/>
              <w:rPr>
                <w:sz w:val="20"/>
                <w:szCs w:val="20"/>
              </w:rPr>
            </w:pPr>
          </w:p>
          <w:p w14:paraId="1ECBBC5E" w14:textId="77777777" w:rsidR="009C7D14" w:rsidRPr="00807CCC" w:rsidRDefault="009C7D14" w:rsidP="00F01BB0">
            <w:pPr>
              <w:spacing w:after="0" w:line="240" w:lineRule="auto"/>
              <w:ind w:left="34"/>
              <w:rPr>
                <w:sz w:val="20"/>
                <w:szCs w:val="20"/>
              </w:rPr>
            </w:pPr>
            <w:r w:rsidRPr="007D3871">
              <w:rPr>
                <w:sz w:val="20"/>
                <w:szCs w:val="20"/>
              </w:rPr>
              <w:t>IATI implementation schedules are also accepted.</w:t>
            </w:r>
          </w:p>
        </w:tc>
      </w:tr>
      <w:tr w:rsidR="009C7D14" w:rsidRPr="007D3871" w14:paraId="228659D7" w14:textId="77777777" w:rsidTr="00AF7769">
        <w:trPr>
          <w:trHeight w:val="227"/>
        </w:trPr>
        <w:tc>
          <w:tcPr>
            <w:tcW w:w="1418" w:type="dxa"/>
            <w:vMerge/>
            <w:shd w:val="clear" w:color="auto" w:fill="auto"/>
            <w:hideMark/>
          </w:tcPr>
          <w:p w14:paraId="4AE57C5F" w14:textId="77777777" w:rsidR="009C7D14" w:rsidRPr="007D3871" w:rsidRDefault="009C7D14" w:rsidP="003B57E4">
            <w:pPr>
              <w:spacing w:after="0" w:line="240" w:lineRule="auto"/>
              <w:rPr>
                <w:sz w:val="20"/>
                <w:szCs w:val="20"/>
              </w:rPr>
            </w:pPr>
          </w:p>
        </w:tc>
        <w:tc>
          <w:tcPr>
            <w:tcW w:w="1843" w:type="dxa"/>
            <w:shd w:val="clear" w:color="auto" w:fill="auto"/>
            <w:noWrap/>
            <w:hideMark/>
          </w:tcPr>
          <w:p w14:paraId="60E12F9D"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 xml:space="preserve">Accessibility </w:t>
            </w:r>
          </w:p>
        </w:tc>
        <w:tc>
          <w:tcPr>
            <w:tcW w:w="2126" w:type="dxa"/>
            <w:shd w:val="clear" w:color="auto" w:fill="auto"/>
          </w:tcPr>
          <w:p w14:paraId="39EC717A" w14:textId="77777777" w:rsidR="009C7D14" w:rsidRPr="007D3871" w:rsidRDefault="009C7D14" w:rsidP="003B57E4">
            <w:pPr>
              <w:spacing w:after="0" w:line="240" w:lineRule="auto"/>
              <w:ind w:left="34"/>
              <w:rPr>
                <w:sz w:val="20"/>
                <w:szCs w:val="20"/>
              </w:rPr>
            </w:pPr>
            <w:r w:rsidRPr="007D3871">
              <w:rPr>
                <w:sz w:val="20"/>
                <w:szCs w:val="20"/>
              </w:rPr>
              <w:t>Does this organisation promote access and use of its aid information?</w:t>
            </w:r>
          </w:p>
        </w:tc>
        <w:tc>
          <w:tcPr>
            <w:tcW w:w="4961" w:type="dxa"/>
            <w:shd w:val="clear" w:color="auto" w:fill="auto"/>
          </w:tcPr>
          <w:p w14:paraId="3ECA2E30" w14:textId="77777777" w:rsidR="009C7D14" w:rsidRPr="007D3871" w:rsidRDefault="009C7D14" w:rsidP="003B57E4">
            <w:pPr>
              <w:spacing w:after="0" w:line="240" w:lineRule="auto"/>
              <w:ind w:left="34"/>
              <w:rPr>
                <w:sz w:val="20"/>
                <w:szCs w:val="20"/>
              </w:rPr>
            </w:pPr>
            <w:r w:rsidRPr="007D3871">
              <w:rPr>
                <w:sz w:val="20"/>
                <w:szCs w:val="20"/>
              </w:rPr>
              <w:t>The overall accessibility of aid information through the organisations’ portals, project databases or searchable data sources. These are scored using three criteria: 1) the portal allows free, bulk export of data; 2) it contains detailed disaggregated data; 3) the data is published under an open licence.</w:t>
            </w:r>
          </w:p>
        </w:tc>
        <w:tc>
          <w:tcPr>
            <w:tcW w:w="4394" w:type="dxa"/>
            <w:shd w:val="clear" w:color="auto" w:fill="auto"/>
          </w:tcPr>
          <w:p w14:paraId="6D5AAB3F" w14:textId="77777777" w:rsidR="009C7D14" w:rsidRPr="001512BB" w:rsidRDefault="009C7D14" w:rsidP="003B57E4">
            <w:pPr>
              <w:spacing w:after="0" w:line="240" w:lineRule="auto"/>
              <w:rPr>
                <w:sz w:val="20"/>
                <w:szCs w:val="20"/>
              </w:rPr>
            </w:pPr>
            <w:r w:rsidRPr="001512BB">
              <w:rPr>
                <w:sz w:val="20"/>
                <w:szCs w:val="20"/>
              </w:rPr>
              <w:t>Data sources are the organisations’ own aid portals, publicly accessible databases or websites – accessed in that order. The portal or database must include information on current activities for the countries or sectors the organisation is working in rather than just one individual country/sector</w:t>
            </w:r>
            <w:r w:rsidR="00FB6702" w:rsidRPr="001512BB">
              <w:rPr>
                <w:sz w:val="20"/>
                <w:szCs w:val="20"/>
              </w:rPr>
              <w:t xml:space="preserve"> or a selected group</w:t>
            </w:r>
            <w:r w:rsidRPr="001512BB">
              <w:rPr>
                <w:sz w:val="20"/>
                <w:szCs w:val="20"/>
              </w:rPr>
              <w:t>. It should contain information on at least five of the activity-level indicators, at least one of which should cover financial information.</w:t>
            </w:r>
          </w:p>
          <w:p w14:paraId="4A68787C" w14:textId="77777777" w:rsidR="009C7D14" w:rsidRDefault="009C7D14" w:rsidP="003B57E4">
            <w:pPr>
              <w:spacing w:after="0" w:line="240" w:lineRule="auto"/>
              <w:rPr>
                <w:sz w:val="20"/>
                <w:szCs w:val="20"/>
              </w:rPr>
            </w:pPr>
          </w:p>
          <w:p w14:paraId="24E31CC4" w14:textId="77777777" w:rsidR="00EE25A0" w:rsidRDefault="009C7D14" w:rsidP="003B57E4">
            <w:pPr>
              <w:spacing w:after="0" w:line="240" w:lineRule="auto"/>
              <w:rPr>
                <w:sz w:val="20"/>
                <w:szCs w:val="20"/>
              </w:rPr>
            </w:pPr>
            <w:r w:rsidRPr="007D3871">
              <w:rPr>
                <w:sz w:val="20"/>
                <w:szCs w:val="20"/>
              </w:rPr>
              <w:t xml:space="preserve">The same data source </w:t>
            </w:r>
            <w:r>
              <w:rPr>
                <w:sz w:val="20"/>
                <w:szCs w:val="20"/>
              </w:rPr>
              <w:t>is</w:t>
            </w:r>
            <w:r w:rsidRPr="007D3871">
              <w:rPr>
                <w:sz w:val="20"/>
                <w:szCs w:val="20"/>
              </w:rPr>
              <w:t xml:space="preserve"> used for all three checks. For example, if the aid portal does not state that the data is published under an open licence, this </w:t>
            </w:r>
            <w:r w:rsidR="00D7254E">
              <w:rPr>
                <w:sz w:val="20"/>
                <w:szCs w:val="20"/>
              </w:rPr>
              <w:t>is not</w:t>
            </w:r>
            <w:r w:rsidRPr="007D3871">
              <w:rPr>
                <w:sz w:val="20"/>
                <w:szCs w:val="20"/>
              </w:rPr>
              <w:t xml:space="preserve"> checked elsewhere on the organisation’s project database or website. If the organisation’s website is the data source then it cannot score on the “free bulk export” criterion. </w:t>
            </w:r>
          </w:p>
          <w:p w14:paraId="37D35E60" w14:textId="77777777" w:rsidR="00EE25A0" w:rsidRDefault="00EE25A0" w:rsidP="003B57E4">
            <w:pPr>
              <w:spacing w:after="0" w:line="240" w:lineRule="auto"/>
              <w:rPr>
                <w:sz w:val="20"/>
                <w:szCs w:val="20"/>
              </w:rPr>
            </w:pPr>
          </w:p>
          <w:p w14:paraId="42D8542E" w14:textId="77777777" w:rsidR="009C7D14" w:rsidRDefault="009C7D14" w:rsidP="003B57E4">
            <w:pPr>
              <w:spacing w:after="0" w:line="240" w:lineRule="auto"/>
              <w:rPr>
                <w:sz w:val="20"/>
                <w:szCs w:val="20"/>
              </w:rPr>
            </w:pPr>
            <w:r w:rsidRPr="007D3871">
              <w:rPr>
                <w:sz w:val="20"/>
                <w:szCs w:val="20"/>
              </w:rPr>
              <w:t>If a portal allows bulk export through its API but not through its web-user interface, this is accepted as allowing free, bulk export of data.</w:t>
            </w:r>
          </w:p>
          <w:p w14:paraId="0022313F" w14:textId="77777777" w:rsidR="00FB6702" w:rsidRDefault="00FB6702" w:rsidP="003B57E4">
            <w:pPr>
              <w:spacing w:after="0" w:line="240" w:lineRule="auto"/>
              <w:rPr>
                <w:sz w:val="20"/>
                <w:szCs w:val="20"/>
              </w:rPr>
            </w:pPr>
          </w:p>
          <w:p w14:paraId="3AC7EAC5" w14:textId="77777777" w:rsidR="00FB6702" w:rsidRPr="007D3871" w:rsidRDefault="00FB6702" w:rsidP="003B57E4">
            <w:pPr>
              <w:spacing w:after="0" w:line="240" w:lineRule="auto"/>
              <w:rPr>
                <w:sz w:val="20"/>
                <w:szCs w:val="20"/>
              </w:rPr>
            </w:pPr>
            <w:r>
              <w:rPr>
                <w:sz w:val="20"/>
                <w:szCs w:val="20"/>
              </w:rPr>
              <w:t>Note: that raw IATI files are not accepted for this indicator as the underlying principle behind this indicator is to assess what organisations are doing to promote access and use of their aid information. Information published to the IATI Registry is taken into account for the publication indicators.</w:t>
            </w:r>
          </w:p>
        </w:tc>
      </w:tr>
      <w:tr w:rsidR="009C7D14" w:rsidRPr="007D3871" w14:paraId="5C38EFBE" w14:textId="77777777" w:rsidTr="00AF7769">
        <w:trPr>
          <w:trHeight w:val="227"/>
        </w:trPr>
        <w:tc>
          <w:tcPr>
            <w:tcW w:w="14742" w:type="dxa"/>
            <w:gridSpan w:val="5"/>
            <w:shd w:val="clear" w:color="auto" w:fill="FFFFFF" w:themeFill="background1"/>
          </w:tcPr>
          <w:p w14:paraId="17315FE7" w14:textId="77777777" w:rsidR="009C7D14" w:rsidRPr="007D3871" w:rsidRDefault="009C7D14" w:rsidP="003B57E4">
            <w:pPr>
              <w:spacing w:after="0" w:line="240" w:lineRule="auto"/>
              <w:ind w:left="34"/>
              <w:rPr>
                <w:b/>
                <w:sz w:val="20"/>
                <w:szCs w:val="20"/>
              </w:rPr>
            </w:pPr>
            <w:r w:rsidRPr="007D3871">
              <w:rPr>
                <w:b/>
                <w:sz w:val="20"/>
                <w:szCs w:val="20"/>
              </w:rPr>
              <w:t>Publication – organisation level</w:t>
            </w:r>
          </w:p>
        </w:tc>
      </w:tr>
      <w:tr w:rsidR="009C7D14" w:rsidRPr="007D3871" w14:paraId="00BFDBB9" w14:textId="77777777" w:rsidTr="00AF7769">
        <w:trPr>
          <w:trHeight w:val="227"/>
        </w:trPr>
        <w:tc>
          <w:tcPr>
            <w:tcW w:w="1418" w:type="dxa"/>
            <w:vMerge w:val="restart"/>
            <w:shd w:val="clear" w:color="auto" w:fill="FFFFFF" w:themeFill="background1"/>
          </w:tcPr>
          <w:p w14:paraId="0F52292A" w14:textId="77777777" w:rsidR="009C7D14" w:rsidRPr="007D3871" w:rsidRDefault="009C7D14" w:rsidP="003B57E4">
            <w:pPr>
              <w:spacing w:after="0" w:line="240" w:lineRule="auto"/>
              <w:rPr>
                <w:sz w:val="20"/>
                <w:szCs w:val="20"/>
              </w:rPr>
            </w:pPr>
            <w:r w:rsidRPr="007D3871">
              <w:rPr>
                <w:sz w:val="20"/>
                <w:szCs w:val="20"/>
              </w:rPr>
              <w:t>Planning</w:t>
            </w:r>
          </w:p>
          <w:p w14:paraId="5E01DB44"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0845A396"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Strategy</w:t>
            </w:r>
          </w:p>
        </w:tc>
        <w:tc>
          <w:tcPr>
            <w:tcW w:w="2126" w:type="dxa"/>
            <w:shd w:val="clear" w:color="auto" w:fill="FFFFFF" w:themeFill="background1"/>
          </w:tcPr>
          <w:p w14:paraId="72A169D6" w14:textId="77777777" w:rsidR="009C7D14" w:rsidRPr="007D3871" w:rsidRDefault="009C7D14" w:rsidP="003B57E4">
            <w:pPr>
              <w:spacing w:after="0" w:line="240" w:lineRule="auto"/>
              <w:rPr>
                <w:sz w:val="20"/>
                <w:szCs w:val="20"/>
              </w:rPr>
            </w:pPr>
            <w:r w:rsidRPr="007D3871">
              <w:rPr>
                <w:sz w:val="20"/>
                <w:szCs w:val="20"/>
              </w:rPr>
              <w:t>Does this organisation publish an overarching strategy document?</w:t>
            </w:r>
          </w:p>
        </w:tc>
        <w:tc>
          <w:tcPr>
            <w:tcW w:w="4961" w:type="dxa"/>
            <w:shd w:val="clear" w:color="auto" w:fill="FFFFFF" w:themeFill="background1"/>
          </w:tcPr>
          <w:p w14:paraId="3566275C" w14:textId="77777777" w:rsidR="009C7D14" w:rsidRDefault="009C7D14" w:rsidP="003B57E4">
            <w:pPr>
              <w:spacing w:after="0" w:line="240" w:lineRule="auto"/>
              <w:rPr>
                <w:sz w:val="20"/>
                <w:szCs w:val="20"/>
              </w:rPr>
            </w:pPr>
            <w:r w:rsidRPr="007D3871">
              <w:rPr>
                <w:sz w:val="20"/>
                <w:szCs w:val="20"/>
              </w:rPr>
              <w:t xml:space="preserve">An overarching strategy document explains the general approach and policies of the organisation towards international development. This should be forward looking. </w:t>
            </w:r>
          </w:p>
          <w:p w14:paraId="2B00CE90" w14:textId="77777777" w:rsidR="009C7D14" w:rsidRDefault="009C7D14" w:rsidP="003B57E4">
            <w:pPr>
              <w:spacing w:after="0" w:line="240" w:lineRule="auto"/>
              <w:rPr>
                <w:sz w:val="20"/>
                <w:szCs w:val="20"/>
              </w:rPr>
            </w:pPr>
          </w:p>
          <w:p w14:paraId="5901317E" w14:textId="77777777" w:rsidR="009C7D14" w:rsidRPr="007D3871" w:rsidRDefault="009C7D14" w:rsidP="003B57E4">
            <w:pPr>
              <w:spacing w:after="0" w:line="240" w:lineRule="auto"/>
              <w:rPr>
                <w:sz w:val="20"/>
                <w:szCs w:val="20"/>
              </w:rPr>
            </w:pPr>
            <w:r>
              <w:rPr>
                <w:sz w:val="20"/>
                <w:szCs w:val="20"/>
              </w:rPr>
              <w:t>The IATI reference for this indicator is: Institutional strategy paper (document code = B02).</w:t>
            </w:r>
          </w:p>
        </w:tc>
        <w:tc>
          <w:tcPr>
            <w:tcW w:w="4394" w:type="dxa"/>
            <w:shd w:val="clear" w:color="auto" w:fill="FFFFFF" w:themeFill="background1"/>
          </w:tcPr>
          <w:p w14:paraId="1DD49E0B" w14:textId="77777777" w:rsidR="009C7D14" w:rsidRPr="007D3871" w:rsidRDefault="009C7D14" w:rsidP="003B57E4">
            <w:pPr>
              <w:spacing w:after="0" w:line="240" w:lineRule="auto"/>
              <w:ind w:left="34"/>
              <w:rPr>
                <w:sz w:val="20"/>
                <w:szCs w:val="20"/>
              </w:rPr>
            </w:pPr>
            <w:r w:rsidRPr="007D3871">
              <w:rPr>
                <w:sz w:val="20"/>
                <w:szCs w:val="20"/>
              </w:rPr>
              <w:t xml:space="preserve">For organisations whose primary mandate is not development, </w:t>
            </w:r>
            <w:r>
              <w:rPr>
                <w:sz w:val="20"/>
                <w:szCs w:val="20"/>
              </w:rPr>
              <w:t xml:space="preserve">a </w:t>
            </w:r>
            <w:r w:rsidRPr="007D3871">
              <w:rPr>
                <w:sz w:val="20"/>
                <w:szCs w:val="20"/>
              </w:rPr>
              <w:t xml:space="preserve">document clarifying </w:t>
            </w:r>
            <w:r>
              <w:rPr>
                <w:sz w:val="20"/>
                <w:szCs w:val="20"/>
              </w:rPr>
              <w:t>that its</w:t>
            </w:r>
            <w:r w:rsidRPr="007D3871">
              <w:rPr>
                <w:sz w:val="20"/>
                <w:szCs w:val="20"/>
              </w:rPr>
              <w:t xml:space="preserve"> overarching development strategy </w:t>
            </w:r>
            <w:r>
              <w:rPr>
                <w:sz w:val="20"/>
                <w:szCs w:val="20"/>
              </w:rPr>
              <w:t>is</w:t>
            </w:r>
            <w:r w:rsidRPr="007D3871">
              <w:rPr>
                <w:sz w:val="20"/>
                <w:szCs w:val="20"/>
              </w:rPr>
              <w:t xml:space="preserve"> accepted. This information needs to be forward</w:t>
            </w:r>
            <w:r>
              <w:rPr>
                <w:sz w:val="20"/>
                <w:szCs w:val="20"/>
              </w:rPr>
              <w:t xml:space="preserve"> </w:t>
            </w:r>
            <w:r w:rsidRPr="007D3871">
              <w:rPr>
                <w:sz w:val="20"/>
                <w:szCs w:val="20"/>
              </w:rPr>
              <w:t>looking.</w:t>
            </w:r>
            <w:r>
              <w:rPr>
                <w:sz w:val="20"/>
                <w:szCs w:val="20"/>
              </w:rPr>
              <w:t xml:space="preserve"> </w:t>
            </w:r>
          </w:p>
        </w:tc>
      </w:tr>
      <w:tr w:rsidR="009C7D14" w:rsidRPr="007D3871" w14:paraId="13AE5575" w14:textId="77777777" w:rsidTr="00AF7769">
        <w:trPr>
          <w:trHeight w:val="227"/>
        </w:trPr>
        <w:tc>
          <w:tcPr>
            <w:tcW w:w="1418" w:type="dxa"/>
            <w:vMerge/>
            <w:shd w:val="clear" w:color="auto" w:fill="FFFFFF" w:themeFill="background1"/>
            <w:hideMark/>
          </w:tcPr>
          <w:p w14:paraId="5B5D05DF"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1AB728A9"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Annual report</w:t>
            </w:r>
          </w:p>
        </w:tc>
        <w:tc>
          <w:tcPr>
            <w:tcW w:w="2126" w:type="dxa"/>
            <w:shd w:val="clear" w:color="auto" w:fill="FFFFFF" w:themeFill="background1"/>
          </w:tcPr>
          <w:p w14:paraId="7F9FA8DE" w14:textId="77777777" w:rsidR="009C7D14" w:rsidRPr="007D3871" w:rsidRDefault="009C7D14" w:rsidP="003B57E4">
            <w:pPr>
              <w:spacing w:after="0" w:line="240" w:lineRule="auto"/>
              <w:rPr>
                <w:sz w:val="20"/>
                <w:szCs w:val="20"/>
              </w:rPr>
            </w:pPr>
            <w:r w:rsidRPr="007D3871">
              <w:rPr>
                <w:sz w:val="20"/>
                <w:szCs w:val="20"/>
              </w:rPr>
              <w:t>Does this organisation publish an annual report?</w:t>
            </w:r>
          </w:p>
        </w:tc>
        <w:tc>
          <w:tcPr>
            <w:tcW w:w="4961" w:type="dxa"/>
            <w:shd w:val="clear" w:color="auto" w:fill="FFFFFF" w:themeFill="background1"/>
          </w:tcPr>
          <w:p w14:paraId="2B1E45CF" w14:textId="77777777" w:rsidR="009C7D14" w:rsidRPr="007D3871" w:rsidRDefault="009C7D14" w:rsidP="003B57E4">
            <w:pPr>
              <w:spacing w:after="0" w:line="240" w:lineRule="auto"/>
              <w:rPr>
                <w:sz w:val="20"/>
                <w:szCs w:val="20"/>
              </w:rPr>
            </w:pPr>
            <w:r w:rsidRPr="007D3871">
              <w:rPr>
                <w:sz w:val="20"/>
                <w:szCs w:val="20"/>
              </w:rPr>
              <w:t xml:space="preserve">Annual reports outline basic (normally aggregate) information about how aid was spent in the previous year, broken down by sector and/or country. This should be backward looking. </w:t>
            </w:r>
          </w:p>
          <w:p w14:paraId="4368E519" w14:textId="77777777" w:rsidR="009C7D14" w:rsidRPr="007D3871" w:rsidRDefault="009C7D14" w:rsidP="003B57E4">
            <w:pPr>
              <w:spacing w:after="0" w:line="240" w:lineRule="auto"/>
              <w:rPr>
                <w:sz w:val="20"/>
                <w:szCs w:val="20"/>
              </w:rPr>
            </w:pPr>
          </w:p>
          <w:p w14:paraId="2A29D430" w14:textId="77777777" w:rsidR="009C7D14" w:rsidRDefault="009C7D14" w:rsidP="003B57E4">
            <w:pPr>
              <w:spacing w:after="0" w:line="240" w:lineRule="auto"/>
              <w:rPr>
                <w:sz w:val="20"/>
                <w:szCs w:val="20"/>
              </w:rPr>
            </w:pPr>
            <w:r w:rsidRPr="007D3871">
              <w:rPr>
                <w:sz w:val="20"/>
                <w:szCs w:val="20"/>
              </w:rPr>
              <w:t>Annual reports which are up to date within their regular cycle, i.e. the organisation publishes an annual report a year behind, the most recent document within this time frame are accepted.</w:t>
            </w:r>
          </w:p>
          <w:p w14:paraId="21BE02B1" w14:textId="77777777" w:rsidR="009C7D14" w:rsidRDefault="009C7D14" w:rsidP="003B57E4">
            <w:pPr>
              <w:spacing w:after="0" w:line="240" w:lineRule="auto"/>
              <w:rPr>
                <w:sz w:val="20"/>
                <w:szCs w:val="20"/>
              </w:rPr>
            </w:pPr>
          </w:p>
          <w:p w14:paraId="1179FE32" w14:textId="77777777" w:rsidR="009C7D14" w:rsidRPr="007D3871" w:rsidRDefault="009C7D14" w:rsidP="003B57E4">
            <w:pPr>
              <w:spacing w:after="0" w:line="240" w:lineRule="auto"/>
              <w:rPr>
                <w:sz w:val="20"/>
                <w:szCs w:val="20"/>
              </w:rPr>
            </w:pPr>
            <w:r>
              <w:rPr>
                <w:sz w:val="20"/>
                <w:szCs w:val="20"/>
              </w:rPr>
              <w:t>The IATI reference for this indicator is: Annual report (document code = B01).</w:t>
            </w:r>
          </w:p>
        </w:tc>
        <w:tc>
          <w:tcPr>
            <w:tcW w:w="4394" w:type="dxa"/>
            <w:shd w:val="clear" w:color="auto" w:fill="FFFFFF" w:themeFill="background1"/>
          </w:tcPr>
          <w:p w14:paraId="101978FE" w14:textId="77777777" w:rsidR="009C7D14" w:rsidRPr="007D3871" w:rsidRDefault="009C7D14" w:rsidP="003B57E4">
            <w:pPr>
              <w:spacing w:after="0" w:line="240" w:lineRule="auto"/>
              <w:ind w:left="34"/>
              <w:rPr>
                <w:sz w:val="20"/>
                <w:szCs w:val="20"/>
              </w:rPr>
            </w:pPr>
            <w:r w:rsidRPr="007D3871">
              <w:rPr>
                <w:sz w:val="20"/>
                <w:szCs w:val="20"/>
              </w:rPr>
              <w:t>To score for this indicator, the annual report needs to include details of where the organisation is spending its resources and the information needs to be forward</w:t>
            </w:r>
            <w:r>
              <w:rPr>
                <w:sz w:val="20"/>
                <w:szCs w:val="20"/>
              </w:rPr>
              <w:t xml:space="preserve"> </w:t>
            </w:r>
            <w:r w:rsidRPr="007D3871">
              <w:rPr>
                <w:sz w:val="20"/>
                <w:szCs w:val="20"/>
              </w:rPr>
              <w:t xml:space="preserve">looking, i.e. cover current activity period. </w:t>
            </w:r>
          </w:p>
          <w:p w14:paraId="3C435DEC" w14:textId="77777777" w:rsidR="009C7D14" w:rsidRPr="007D3871" w:rsidRDefault="009C7D14" w:rsidP="003B57E4">
            <w:pPr>
              <w:spacing w:after="0" w:line="240" w:lineRule="auto"/>
              <w:ind w:left="34"/>
              <w:rPr>
                <w:sz w:val="20"/>
                <w:szCs w:val="20"/>
              </w:rPr>
            </w:pPr>
          </w:p>
          <w:p w14:paraId="7F7702AB" w14:textId="77777777" w:rsidR="009C7D14" w:rsidRPr="007D3871" w:rsidRDefault="009C7D14" w:rsidP="003B57E4">
            <w:pPr>
              <w:spacing w:after="0" w:line="240" w:lineRule="auto"/>
              <w:ind w:left="34"/>
              <w:rPr>
                <w:sz w:val="20"/>
                <w:szCs w:val="20"/>
              </w:rPr>
            </w:pPr>
          </w:p>
        </w:tc>
      </w:tr>
      <w:tr w:rsidR="009C7D14" w:rsidRPr="007D3871" w14:paraId="33920581" w14:textId="77777777" w:rsidTr="00AF7769">
        <w:trPr>
          <w:trHeight w:val="1723"/>
        </w:trPr>
        <w:tc>
          <w:tcPr>
            <w:tcW w:w="1418" w:type="dxa"/>
            <w:vMerge/>
            <w:shd w:val="clear" w:color="auto" w:fill="FFFFFF" w:themeFill="background1"/>
            <w:hideMark/>
          </w:tcPr>
          <w:p w14:paraId="22111C62"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057A9BE5"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Allocation policy</w:t>
            </w:r>
          </w:p>
        </w:tc>
        <w:tc>
          <w:tcPr>
            <w:tcW w:w="2126" w:type="dxa"/>
            <w:shd w:val="clear" w:color="auto" w:fill="FFFFFF" w:themeFill="background1"/>
          </w:tcPr>
          <w:p w14:paraId="4BBB4DD3" w14:textId="77777777" w:rsidR="009C7D14" w:rsidRPr="007D3871" w:rsidRDefault="009C7D14" w:rsidP="003B57E4">
            <w:pPr>
              <w:spacing w:after="0" w:line="240" w:lineRule="auto"/>
              <w:rPr>
                <w:sz w:val="20"/>
                <w:szCs w:val="20"/>
              </w:rPr>
            </w:pPr>
            <w:r w:rsidRPr="007D3871">
              <w:rPr>
                <w:sz w:val="20"/>
                <w:szCs w:val="20"/>
              </w:rPr>
              <w:t>Does this organisation publish its aid allocation policy?</w:t>
            </w:r>
          </w:p>
        </w:tc>
        <w:tc>
          <w:tcPr>
            <w:tcW w:w="4961" w:type="dxa"/>
            <w:shd w:val="clear" w:color="auto" w:fill="FFFFFF" w:themeFill="background1"/>
          </w:tcPr>
          <w:p w14:paraId="6BA562E1" w14:textId="77777777" w:rsidR="009C7D14" w:rsidRDefault="009C7D14" w:rsidP="003B57E4">
            <w:pPr>
              <w:spacing w:after="0" w:line="240" w:lineRule="auto"/>
              <w:rPr>
                <w:sz w:val="20"/>
                <w:szCs w:val="20"/>
              </w:rPr>
            </w:pPr>
            <w:r w:rsidRPr="007D3871">
              <w:rPr>
                <w:sz w:val="20"/>
                <w:szCs w:val="20"/>
              </w:rPr>
              <w:t>Aid allocation policies are the detailed policy documents by which the organisation chooses where to spend its resources, i.e. on which countries or themes rather than others. Relatively general documents or web pages outlining which countries, themes and institutions the agency will fund are accepted, as long as this is forward</w:t>
            </w:r>
            <w:r>
              <w:rPr>
                <w:sz w:val="20"/>
                <w:szCs w:val="20"/>
              </w:rPr>
              <w:t xml:space="preserve"> </w:t>
            </w:r>
            <w:r w:rsidRPr="007D3871">
              <w:rPr>
                <w:sz w:val="20"/>
                <w:szCs w:val="20"/>
              </w:rPr>
              <w:t>looking and not wholly retrospective.</w:t>
            </w:r>
          </w:p>
          <w:p w14:paraId="42CF39AA" w14:textId="77777777" w:rsidR="009C7D14" w:rsidRDefault="009C7D14" w:rsidP="003B57E4">
            <w:pPr>
              <w:spacing w:after="0" w:line="240" w:lineRule="auto"/>
              <w:rPr>
                <w:sz w:val="20"/>
                <w:szCs w:val="20"/>
              </w:rPr>
            </w:pPr>
          </w:p>
          <w:p w14:paraId="22E40634" w14:textId="77777777" w:rsidR="009C7D14" w:rsidRPr="007D3871" w:rsidRDefault="009C7D14" w:rsidP="003B57E4">
            <w:pPr>
              <w:spacing w:after="0" w:line="240" w:lineRule="auto"/>
              <w:rPr>
                <w:sz w:val="20"/>
                <w:szCs w:val="20"/>
              </w:rPr>
            </w:pPr>
            <w:r>
              <w:rPr>
                <w:sz w:val="20"/>
                <w:szCs w:val="20"/>
              </w:rPr>
              <w:t>The IATI reference for this indicator is: Aid allocation policy (document code = B04).</w:t>
            </w:r>
          </w:p>
        </w:tc>
        <w:tc>
          <w:tcPr>
            <w:tcW w:w="4394" w:type="dxa"/>
            <w:shd w:val="clear" w:color="auto" w:fill="FFFFFF" w:themeFill="background1"/>
          </w:tcPr>
          <w:p w14:paraId="20CEAB65" w14:textId="77777777" w:rsidR="009C7D14" w:rsidRPr="007D3871" w:rsidRDefault="009C7D14" w:rsidP="003B57E4">
            <w:pPr>
              <w:spacing w:after="0" w:line="240" w:lineRule="auto"/>
              <w:ind w:left="34"/>
              <w:rPr>
                <w:sz w:val="20"/>
                <w:szCs w:val="20"/>
              </w:rPr>
            </w:pPr>
            <w:r w:rsidRPr="007D3871">
              <w:rPr>
                <w:sz w:val="20"/>
                <w:szCs w:val="20"/>
              </w:rPr>
              <w:t xml:space="preserve">For organisations such as IFIs and private foundations which do not have an “aid allocation” policy, equivalent documents are accepted; for example, “investment strategy/policy” or “grant-making policy”. </w:t>
            </w:r>
          </w:p>
        </w:tc>
      </w:tr>
      <w:tr w:rsidR="009C7D14" w:rsidRPr="007D3871" w14:paraId="278FBF16" w14:textId="77777777" w:rsidTr="00AF7769">
        <w:trPr>
          <w:trHeight w:val="2394"/>
        </w:trPr>
        <w:tc>
          <w:tcPr>
            <w:tcW w:w="1418" w:type="dxa"/>
            <w:vMerge/>
            <w:shd w:val="clear" w:color="auto" w:fill="FFFFFF" w:themeFill="background1"/>
            <w:hideMark/>
          </w:tcPr>
          <w:p w14:paraId="03E9E81B"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3F79F6CD"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Procurement policy</w:t>
            </w:r>
          </w:p>
        </w:tc>
        <w:tc>
          <w:tcPr>
            <w:tcW w:w="2126" w:type="dxa"/>
            <w:shd w:val="clear" w:color="auto" w:fill="FFFFFF" w:themeFill="background1"/>
          </w:tcPr>
          <w:p w14:paraId="44FDE9A5" w14:textId="77777777" w:rsidR="009C7D14" w:rsidRPr="007D3871" w:rsidRDefault="009C7D14" w:rsidP="003B57E4">
            <w:pPr>
              <w:spacing w:after="0" w:line="240" w:lineRule="auto"/>
              <w:rPr>
                <w:sz w:val="20"/>
                <w:szCs w:val="20"/>
              </w:rPr>
            </w:pPr>
            <w:r w:rsidRPr="007D3871">
              <w:rPr>
                <w:sz w:val="20"/>
                <w:szCs w:val="20"/>
              </w:rPr>
              <w:t>Does this organisation publish its procurement procedures?</w:t>
            </w:r>
          </w:p>
        </w:tc>
        <w:tc>
          <w:tcPr>
            <w:tcW w:w="4961" w:type="dxa"/>
            <w:shd w:val="clear" w:color="auto" w:fill="FFFFFF" w:themeFill="background1"/>
          </w:tcPr>
          <w:p w14:paraId="5BF92A3E" w14:textId="77777777" w:rsidR="009C7D14" w:rsidRDefault="009C7D14" w:rsidP="003B57E4">
            <w:pPr>
              <w:spacing w:after="0" w:line="240" w:lineRule="auto"/>
              <w:rPr>
                <w:sz w:val="20"/>
                <w:szCs w:val="20"/>
              </w:rPr>
            </w:pPr>
            <w:r w:rsidRPr="007D3871">
              <w:rPr>
                <w:sz w:val="20"/>
                <w:szCs w:val="20"/>
              </w:rPr>
              <w:t>An organisation’s procurement procedures explain the process used to tender and contract (invite bids for) goods and services. This must fully explain the criteria on which decisions are made, and could be in a single procurement policy document or attached to each tender.</w:t>
            </w:r>
          </w:p>
          <w:p w14:paraId="00D67B6C" w14:textId="77777777" w:rsidR="009C7D14" w:rsidRDefault="009C7D14" w:rsidP="003B57E4">
            <w:pPr>
              <w:spacing w:after="0" w:line="240" w:lineRule="auto"/>
              <w:rPr>
                <w:sz w:val="20"/>
                <w:szCs w:val="20"/>
              </w:rPr>
            </w:pPr>
          </w:p>
          <w:p w14:paraId="3F498B1E" w14:textId="77777777" w:rsidR="009C7D14" w:rsidRPr="007D3871" w:rsidRDefault="009C7D14" w:rsidP="003B57E4">
            <w:pPr>
              <w:spacing w:after="0" w:line="240" w:lineRule="auto"/>
              <w:rPr>
                <w:sz w:val="20"/>
                <w:szCs w:val="20"/>
              </w:rPr>
            </w:pPr>
            <w:r>
              <w:rPr>
                <w:sz w:val="20"/>
                <w:szCs w:val="20"/>
              </w:rPr>
              <w:t>The IATI reference for this indicator is: Procurement policy and procedure (document code = B05).</w:t>
            </w:r>
          </w:p>
        </w:tc>
        <w:tc>
          <w:tcPr>
            <w:tcW w:w="4394" w:type="dxa"/>
            <w:shd w:val="clear" w:color="auto" w:fill="FFFFFF" w:themeFill="background1"/>
          </w:tcPr>
          <w:p w14:paraId="036AD02D" w14:textId="77777777" w:rsidR="009C7D14" w:rsidRDefault="009C7D14" w:rsidP="003B57E4">
            <w:pPr>
              <w:spacing w:after="0" w:line="240" w:lineRule="auto"/>
              <w:ind w:left="34"/>
              <w:rPr>
                <w:sz w:val="20"/>
                <w:szCs w:val="20"/>
              </w:rPr>
            </w:pPr>
            <w:r w:rsidRPr="007D3871">
              <w:rPr>
                <w:sz w:val="20"/>
                <w:szCs w:val="20"/>
              </w:rPr>
              <w:t>For IFIs which are often demand-driven, this is understood as their investment policy. For private foundations, this is their grant making policy.</w:t>
            </w:r>
          </w:p>
          <w:p w14:paraId="33C0F7DC" w14:textId="77777777" w:rsidR="009C7D14" w:rsidRDefault="009C7D14" w:rsidP="003B57E4">
            <w:pPr>
              <w:spacing w:after="0" w:line="240" w:lineRule="auto"/>
              <w:ind w:left="34"/>
              <w:rPr>
                <w:sz w:val="20"/>
                <w:szCs w:val="20"/>
              </w:rPr>
            </w:pPr>
          </w:p>
          <w:p w14:paraId="0CF17E87" w14:textId="77777777" w:rsidR="009C7D14" w:rsidRPr="007D3871" w:rsidRDefault="009C7D14" w:rsidP="003B57E4">
            <w:pPr>
              <w:spacing w:after="0" w:line="240" w:lineRule="auto"/>
              <w:rPr>
                <w:sz w:val="20"/>
                <w:szCs w:val="20"/>
              </w:rPr>
            </w:pPr>
            <w:r>
              <w:rPr>
                <w:sz w:val="20"/>
                <w:szCs w:val="20"/>
              </w:rPr>
              <w:t xml:space="preserve">For organisations that do not undertake procurement related to aid projects (e.g. if procurement is undertaken by grantees or other implementing agencies), a statement explicitly clarifying this is required, as well as the overall policy for procuring goods and services at the headquarter level. </w:t>
            </w:r>
          </w:p>
        </w:tc>
      </w:tr>
      <w:tr w:rsidR="009C7D14" w:rsidRPr="007D3871" w14:paraId="2AD0D688" w14:textId="77777777" w:rsidTr="00AF7769">
        <w:trPr>
          <w:trHeight w:val="227"/>
        </w:trPr>
        <w:tc>
          <w:tcPr>
            <w:tcW w:w="1418" w:type="dxa"/>
            <w:vMerge/>
            <w:shd w:val="clear" w:color="auto" w:fill="FFFFFF" w:themeFill="background1"/>
            <w:hideMark/>
          </w:tcPr>
          <w:p w14:paraId="50A271C1"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02F2CCE3"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Strategy (country</w:t>
            </w:r>
            <w:r>
              <w:rPr>
                <w:sz w:val="20"/>
                <w:szCs w:val="20"/>
              </w:rPr>
              <w:t>/ sector</w:t>
            </w:r>
            <w:r w:rsidRPr="007D3871">
              <w:rPr>
                <w:sz w:val="20"/>
                <w:szCs w:val="20"/>
              </w:rPr>
              <w:t>)</w:t>
            </w:r>
          </w:p>
        </w:tc>
        <w:tc>
          <w:tcPr>
            <w:tcW w:w="2126" w:type="dxa"/>
            <w:shd w:val="clear" w:color="auto" w:fill="FFFFFF" w:themeFill="background1"/>
          </w:tcPr>
          <w:p w14:paraId="37AAD6CA" w14:textId="77777777" w:rsidR="009C7D14" w:rsidRPr="007D3871" w:rsidRDefault="009C7D14" w:rsidP="003B57E4">
            <w:pPr>
              <w:spacing w:after="0" w:line="240" w:lineRule="auto"/>
              <w:rPr>
                <w:sz w:val="20"/>
                <w:szCs w:val="20"/>
              </w:rPr>
            </w:pPr>
            <w:r w:rsidRPr="007D3871">
              <w:rPr>
                <w:sz w:val="20"/>
                <w:szCs w:val="20"/>
              </w:rPr>
              <w:t>Does this organisation publish the country strategy paper for this recipient country?</w:t>
            </w:r>
          </w:p>
        </w:tc>
        <w:tc>
          <w:tcPr>
            <w:tcW w:w="4961" w:type="dxa"/>
            <w:shd w:val="clear" w:color="auto" w:fill="FFFFFF" w:themeFill="background1"/>
          </w:tcPr>
          <w:p w14:paraId="2FFED150" w14:textId="77777777" w:rsidR="009C7D14" w:rsidRDefault="009C7D14" w:rsidP="003B57E4">
            <w:pPr>
              <w:spacing w:after="0" w:line="240" w:lineRule="auto"/>
              <w:rPr>
                <w:sz w:val="20"/>
                <w:szCs w:val="20"/>
              </w:rPr>
            </w:pPr>
            <w:r w:rsidRPr="007D3871">
              <w:rPr>
                <w:sz w:val="20"/>
                <w:szCs w:val="20"/>
              </w:rPr>
              <w:t>A country strategy paper sets out the organisation’s planned approach and activities in the recipient country. For it to be accepted it needs to be a detailed document, rather than just a paragraph on the organisation’s website.</w:t>
            </w:r>
          </w:p>
          <w:p w14:paraId="5DB0B0F1" w14:textId="77777777" w:rsidR="009C7D14" w:rsidRDefault="009C7D14" w:rsidP="003B57E4">
            <w:pPr>
              <w:spacing w:after="0" w:line="240" w:lineRule="auto"/>
              <w:rPr>
                <w:sz w:val="20"/>
                <w:szCs w:val="20"/>
              </w:rPr>
            </w:pPr>
          </w:p>
          <w:p w14:paraId="5E81074F" w14:textId="77777777" w:rsidR="009C7D14" w:rsidRPr="007D3871" w:rsidRDefault="009C7D14" w:rsidP="003B57E4">
            <w:pPr>
              <w:spacing w:after="0" w:line="240" w:lineRule="auto"/>
              <w:rPr>
                <w:sz w:val="20"/>
                <w:szCs w:val="20"/>
              </w:rPr>
            </w:pPr>
            <w:r>
              <w:rPr>
                <w:sz w:val="20"/>
                <w:szCs w:val="20"/>
              </w:rPr>
              <w:t>The IATI reference for this indicator is: Country strategy paper (document code = B03).</w:t>
            </w:r>
          </w:p>
        </w:tc>
        <w:tc>
          <w:tcPr>
            <w:tcW w:w="4394" w:type="dxa"/>
            <w:shd w:val="clear" w:color="auto" w:fill="FFFFFF" w:themeFill="background1"/>
          </w:tcPr>
          <w:p w14:paraId="170241E9" w14:textId="77777777" w:rsidR="009C7D14" w:rsidRDefault="009C7D14" w:rsidP="003B57E4">
            <w:pPr>
              <w:spacing w:after="0" w:line="240" w:lineRule="auto"/>
              <w:ind w:left="34"/>
              <w:rPr>
                <w:sz w:val="20"/>
                <w:szCs w:val="20"/>
              </w:rPr>
            </w:pPr>
            <w:r w:rsidRPr="007D3871">
              <w:rPr>
                <w:sz w:val="20"/>
                <w:szCs w:val="20"/>
              </w:rPr>
              <w:t>For organisations such as IFIs</w:t>
            </w:r>
            <w:r>
              <w:rPr>
                <w:sz w:val="20"/>
                <w:szCs w:val="20"/>
              </w:rPr>
              <w:t>, philanthropic organisations</w:t>
            </w:r>
            <w:r w:rsidRPr="007D3871">
              <w:rPr>
                <w:sz w:val="20"/>
                <w:szCs w:val="20"/>
              </w:rPr>
              <w:t xml:space="preserve"> and vertical funds which may not have country-level strategies, mid-level documents between organisation and activity-level are accepted, e.g. thematic or sectoral level documents.</w:t>
            </w:r>
          </w:p>
          <w:p w14:paraId="4CA743D0" w14:textId="77777777" w:rsidR="009C7D14" w:rsidRDefault="009C7D14" w:rsidP="003B57E4">
            <w:pPr>
              <w:spacing w:after="0" w:line="240" w:lineRule="auto"/>
              <w:ind w:left="34"/>
              <w:rPr>
                <w:sz w:val="20"/>
                <w:szCs w:val="20"/>
              </w:rPr>
            </w:pPr>
          </w:p>
          <w:p w14:paraId="47E156EE" w14:textId="77777777" w:rsidR="009C7D14" w:rsidRPr="007D3871" w:rsidRDefault="009C7D14" w:rsidP="003B57E4">
            <w:pPr>
              <w:spacing w:after="0" w:line="240" w:lineRule="auto"/>
              <w:ind w:left="34"/>
              <w:rPr>
                <w:sz w:val="20"/>
                <w:szCs w:val="20"/>
              </w:rPr>
            </w:pPr>
            <w:r>
              <w:rPr>
                <w:sz w:val="20"/>
                <w:szCs w:val="20"/>
              </w:rPr>
              <w:t>If the organisation follows the strategy of a parent or related organisation, a statement clarifying this is needed on the website along with a link to the relevant strategy document. Similarly, if the organisation supports a country-led or developed strategy, this must be explicitly stated on the website and the link to the relevant strategy document needs to be provided.</w:t>
            </w:r>
          </w:p>
        </w:tc>
      </w:tr>
      <w:tr w:rsidR="009C7D14" w:rsidRPr="007D3871" w14:paraId="72253A04" w14:textId="77777777" w:rsidTr="00AF7769">
        <w:trPr>
          <w:trHeight w:val="227"/>
        </w:trPr>
        <w:tc>
          <w:tcPr>
            <w:tcW w:w="1418" w:type="dxa"/>
            <w:vMerge w:val="restart"/>
            <w:shd w:val="clear" w:color="auto" w:fill="FFFFFF" w:themeFill="background1"/>
          </w:tcPr>
          <w:p w14:paraId="28C2F2BA" w14:textId="77777777" w:rsidR="009C7D14" w:rsidRPr="007D3871" w:rsidRDefault="009C7D14" w:rsidP="003B57E4">
            <w:pPr>
              <w:spacing w:after="0" w:line="240" w:lineRule="auto"/>
              <w:rPr>
                <w:sz w:val="20"/>
                <w:szCs w:val="20"/>
              </w:rPr>
            </w:pPr>
            <w:r>
              <w:rPr>
                <w:sz w:val="20"/>
                <w:szCs w:val="20"/>
              </w:rPr>
              <w:t>Financial</w:t>
            </w:r>
          </w:p>
        </w:tc>
        <w:tc>
          <w:tcPr>
            <w:tcW w:w="1843" w:type="dxa"/>
            <w:shd w:val="clear" w:color="auto" w:fill="FFFFFF" w:themeFill="background1"/>
            <w:noWrap/>
            <w:hideMark/>
          </w:tcPr>
          <w:p w14:paraId="59E6A2CF"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Total organisation budget</w:t>
            </w:r>
          </w:p>
        </w:tc>
        <w:tc>
          <w:tcPr>
            <w:tcW w:w="2126" w:type="dxa"/>
            <w:shd w:val="clear" w:color="auto" w:fill="FFFFFF" w:themeFill="background1"/>
          </w:tcPr>
          <w:p w14:paraId="0000C5DB" w14:textId="77777777" w:rsidR="009C7D14" w:rsidRPr="007D3871" w:rsidRDefault="009C7D14" w:rsidP="003B57E4">
            <w:pPr>
              <w:spacing w:after="0" w:line="240" w:lineRule="auto"/>
              <w:rPr>
                <w:sz w:val="20"/>
                <w:szCs w:val="20"/>
              </w:rPr>
            </w:pPr>
            <w:r w:rsidRPr="007D3871">
              <w:rPr>
                <w:sz w:val="20"/>
                <w:szCs w:val="20"/>
              </w:rPr>
              <w:t>Does this organisation publish the total organisation budget per year for the next three years, up to 201</w:t>
            </w:r>
            <w:r w:rsidR="001512BB">
              <w:rPr>
                <w:sz w:val="20"/>
                <w:szCs w:val="20"/>
              </w:rPr>
              <w:t>7</w:t>
            </w:r>
            <w:r w:rsidRPr="007D3871">
              <w:rPr>
                <w:sz w:val="20"/>
                <w:szCs w:val="20"/>
              </w:rPr>
              <w:t>?</w:t>
            </w:r>
          </w:p>
        </w:tc>
        <w:tc>
          <w:tcPr>
            <w:tcW w:w="4961" w:type="dxa"/>
            <w:shd w:val="clear" w:color="auto" w:fill="FFFFFF" w:themeFill="background1"/>
          </w:tcPr>
          <w:p w14:paraId="38B31031" w14:textId="77777777" w:rsidR="009C7D14" w:rsidRDefault="009C7D14" w:rsidP="003B57E4">
            <w:pPr>
              <w:spacing w:after="0" w:line="240" w:lineRule="auto"/>
              <w:rPr>
                <w:sz w:val="20"/>
                <w:szCs w:val="20"/>
              </w:rPr>
            </w:pPr>
            <w:r w:rsidRPr="007D3871">
              <w:rPr>
                <w:sz w:val="20"/>
                <w:szCs w:val="20"/>
              </w:rPr>
              <w:t xml:space="preserve">The total organisation budget is the total amount that the organisation will be allocated by the government or its funders per year for the next three years. This is money going to the organisation and can be indicative. Each year ahead is worth one third of the total possible score for this indicator. Aggregate budgets of between 2–3 years </w:t>
            </w:r>
            <w:r w:rsidR="00D7254E">
              <w:rPr>
                <w:sz w:val="20"/>
                <w:szCs w:val="20"/>
              </w:rPr>
              <w:t>are</w:t>
            </w:r>
            <w:r w:rsidRPr="007D3871">
              <w:rPr>
                <w:sz w:val="20"/>
                <w:szCs w:val="20"/>
              </w:rPr>
              <w:t xml:space="preserve"> scored the s</w:t>
            </w:r>
            <w:r>
              <w:rPr>
                <w:sz w:val="20"/>
                <w:szCs w:val="20"/>
              </w:rPr>
              <w:t>ame as 1 year forward budgets.</w:t>
            </w:r>
            <w:r>
              <w:rPr>
                <w:sz w:val="20"/>
                <w:szCs w:val="20"/>
              </w:rPr>
              <w:br/>
            </w:r>
          </w:p>
          <w:p w14:paraId="4880F308" w14:textId="77777777" w:rsidR="009C7D14" w:rsidRPr="007D3871" w:rsidRDefault="009C7D14" w:rsidP="003B57E4">
            <w:pPr>
              <w:spacing w:after="0" w:line="240" w:lineRule="auto"/>
              <w:rPr>
                <w:sz w:val="20"/>
                <w:szCs w:val="20"/>
              </w:rPr>
            </w:pPr>
            <w:r>
              <w:rPr>
                <w:sz w:val="20"/>
                <w:szCs w:val="20"/>
              </w:rPr>
              <w:t>The IATI reference for this indicator is: Annual forward planning budget (total-budget)</w:t>
            </w:r>
          </w:p>
        </w:tc>
        <w:tc>
          <w:tcPr>
            <w:tcW w:w="4394" w:type="dxa"/>
            <w:shd w:val="clear" w:color="auto" w:fill="FFFFFF" w:themeFill="background1"/>
          </w:tcPr>
          <w:p w14:paraId="15F84942" w14:textId="77777777" w:rsidR="009C7D14" w:rsidRPr="007D3871" w:rsidRDefault="009C7D14" w:rsidP="003B57E4">
            <w:pPr>
              <w:spacing w:after="0" w:line="240" w:lineRule="auto"/>
              <w:rPr>
                <w:sz w:val="20"/>
                <w:szCs w:val="20"/>
              </w:rPr>
            </w:pPr>
            <w:r w:rsidRPr="007D3871">
              <w:rPr>
                <w:sz w:val="20"/>
                <w:szCs w:val="20"/>
              </w:rPr>
              <w:t xml:space="preserve">IFIs and DFIs do not have budgets allocated to them as traditional aid agencies do. In many cases, total budgets are established annually, once total financial figures of all investments are taken into account. However, they do have projected total spend figures that they sometimes publish. If published, these projected figures are accepted for this indicator. </w:t>
            </w:r>
          </w:p>
          <w:p w14:paraId="711F2A29" w14:textId="77777777" w:rsidR="009C7D14" w:rsidRPr="007D3871" w:rsidRDefault="009C7D14" w:rsidP="003B57E4">
            <w:pPr>
              <w:spacing w:after="0" w:line="240" w:lineRule="auto"/>
              <w:rPr>
                <w:sz w:val="20"/>
                <w:szCs w:val="20"/>
              </w:rPr>
            </w:pPr>
          </w:p>
          <w:p w14:paraId="53A16825" w14:textId="77777777" w:rsidR="009C7D14" w:rsidRPr="007D3871" w:rsidRDefault="009C7D14" w:rsidP="003B57E4">
            <w:pPr>
              <w:spacing w:after="0" w:line="240" w:lineRule="auto"/>
              <w:rPr>
                <w:sz w:val="20"/>
                <w:szCs w:val="20"/>
              </w:rPr>
            </w:pPr>
            <w:r w:rsidRPr="007D3871">
              <w:rPr>
                <w:sz w:val="20"/>
                <w:szCs w:val="20"/>
              </w:rPr>
              <w:t xml:space="preserve">Similarly, for private foundations and humanitarian </w:t>
            </w:r>
            <w:r>
              <w:rPr>
                <w:sz w:val="20"/>
                <w:szCs w:val="20"/>
              </w:rPr>
              <w:t>agencies,</w:t>
            </w:r>
            <w:r w:rsidRPr="007D3871">
              <w:rPr>
                <w:sz w:val="20"/>
                <w:szCs w:val="20"/>
              </w:rPr>
              <w:t xml:space="preserve"> indicative figures of available </w:t>
            </w:r>
            <w:r>
              <w:rPr>
                <w:sz w:val="20"/>
                <w:szCs w:val="20"/>
              </w:rPr>
              <w:t>funds</w:t>
            </w:r>
            <w:r w:rsidRPr="007D3871">
              <w:rPr>
                <w:sz w:val="20"/>
                <w:szCs w:val="20"/>
              </w:rPr>
              <w:t xml:space="preserve"> are accepted.</w:t>
            </w:r>
            <w:r w:rsidR="00345D43">
              <w:rPr>
                <w:sz w:val="20"/>
                <w:szCs w:val="20"/>
              </w:rPr>
              <w:t xml:space="preserve">            </w:t>
            </w:r>
          </w:p>
        </w:tc>
      </w:tr>
      <w:tr w:rsidR="009C7D14" w:rsidRPr="007D3871" w14:paraId="75CB0336" w14:textId="77777777" w:rsidTr="00AF7769">
        <w:trPr>
          <w:trHeight w:val="227"/>
        </w:trPr>
        <w:tc>
          <w:tcPr>
            <w:tcW w:w="1418" w:type="dxa"/>
            <w:vMerge/>
            <w:shd w:val="clear" w:color="auto" w:fill="FFFFFF" w:themeFill="background1"/>
            <w:hideMark/>
          </w:tcPr>
          <w:p w14:paraId="192F9ED8"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52ED93D1"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Disaggregated budget</w:t>
            </w:r>
            <w:r>
              <w:rPr>
                <w:sz w:val="20"/>
                <w:szCs w:val="20"/>
              </w:rPr>
              <w:t xml:space="preserve"> </w:t>
            </w:r>
          </w:p>
        </w:tc>
        <w:tc>
          <w:tcPr>
            <w:tcW w:w="2126" w:type="dxa"/>
            <w:shd w:val="clear" w:color="auto" w:fill="FFFFFF" w:themeFill="background1"/>
          </w:tcPr>
          <w:p w14:paraId="7F4CA079" w14:textId="77777777" w:rsidR="009C7D14" w:rsidRPr="007D3871" w:rsidRDefault="009C7D14" w:rsidP="003B57E4">
            <w:pPr>
              <w:spacing w:after="0" w:line="240" w:lineRule="auto"/>
              <w:rPr>
                <w:sz w:val="20"/>
                <w:szCs w:val="20"/>
              </w:rPr>
            </w:pPr>
            <w:r w:rsidRPr="007D3871">
              <w:rPr>
                <w:sz w:val="20"/>
                <w:szCs w:val="20"/>
              </w:rPr>
              <w:t>Does this organisation publish their annual forward planning budget for assistance to different countries and institutions per year for the next three years, up to</w:t>
            </w:r>
            <w:r>
              <w:rPr>
                <w:sz w:val="20"/>
                <w:szCs w:val="20"/>
              </w:rPr>
              <w:t xml:space="preserve"> </w:t>
            </w:r>
            <w:r w:rsidRPr="007D3871">
              <w:rPr>
                <w:sz w:val="20"/>
                <w:szCs w:val="20"/>
              </w:rPr>
              <w:t>201</w:t>
            </w:r>
            <w:r w:rsidR="001512BB">
              <w:rPr>
                <w:sz w:val="20"/>
                <w:szCs w:val="20"/>
              </w:rPr>
              <w:t>7</w:t>
            </w:r>
            <w:r w:rsidRPr="007D3871">
              <w:rPr>
                <w:sz w:val="20"/>
                <w:szCs w:val="20"/>
              </w:rPr>
              <w:t>?</w:t>
            </w:r>
          </w:p>
        </w:tc>
        <w:tc>
          <w:tcPr>
            <w:tcW w:w="4961" w:type="dxa"/>
            <w:shd w:val="clear" w:color="auto" w:fill="FFFFFF" w:themeFill="background1"/>
          </w:tcPr>
          <w:p w14:paraId="39B54336" w14:textId="77777777" w:rsidR="009C7D14" w:rsidRPr="007D3871" w:rsidRDefault="009C7D14" w:rsidP="003B57E4">
            <w:pPr>
              <w:spacing w:after="0" w:line="240" w:lineRule="auto"/>
              <w:rPr>
                <w:sz w:val="20"/>
                <w:szCs w:val="20"/>
              </w:rPr>
            </w:pPr>
            <w:r w:rsidRPr="007D3871">
              <w:rPr>
                <w:sz w:val="20"/>
                <w:szCs w:val="20"/>
              </w:rPr>
              <w:t xml:space="preserve">The organisation’s annual forward planning budget for assistance is the disaggregated budget that the organisation or agency will spend on different countries, programmes and institutions per year, for at least the next three years. The figure could be indicative. </w:t>
            </w:r>
          </w:p>
          <w:p w14:paraId="79E02ED4" w14:textId="77777777" w:rsidR="009C7D14" w:rsidRPr="007D3871" w:rsidRDefault="009C7D14" w:rsidP="003B57E4">
            <w:pPr>
              <w:spacing w:after="0" w:line="240" w:lineRule="auto"/>
              <w:rPr>
                <w:sz w:val="20"/>
                <w:szCs w:val="20"/>
              </w:rPr>
            </w:pPr>
          </w:p>
          <w:p w14:paraId="28716E68" w14:textId="77777777" w:rsidR="009C7D14" w:rsidRDefault="009C7D14" w:rsidP="003B57E4">
            <w:pPr>
              <w:spacing w:after="0" w:line="240" w:lineRule="auto"/>
              <w:rPr>
                <w:sz w:val="20"/>
                <w:szCs w:val="20"/>
              </w:rPr>
            </w:pPr>
            <w:r w:rsidRPr="007D3871">
              <w:rPr>
                <w:sz w:val="20"/>
                <w:szCs w:val="20"/>
              </w:rPr>
              <w:t xml:space="preserve">Scores are awarded on the basis of the number of years (up to three years) for which organisations are publishing budget information. Each year ahead is worth 33.33 points out of a total possible score of 100. Aggregate budgets of between 2–3 years </w:t>
            </w:r>
            <w:r w:rsidR="00D7254E">
              <w:rPr>
                <w:sz w:val="20"/>
                <w:szCs w:val="20"/>
              </w:rPr>
              <w:t>are</w:t>
            </w:r>
            <w:r w:rsidRPr="007D3871">
              <w:rPr>
                <w:sz w:val="20"/>
                <w:szCs w:val="20"/>
              </w:rPr>
              <w:t xml:space="preserve"> scored the same as 1 year forward budgets.</w:t>
            </w:r>
          </w:p>
          <w:p w14:paraId="22A55B22" w14:textId="77777777" w:rsidR="009C7D14" w:rsidRDefault="009C7D14" w:rsidP="003B57E4">
            <w:pPr>
              <w:spacing w:after="0" w:line="240" w:lineRule="auto"/>
              <w:rPr>
                <w:sz w:val="20"/>
                <w:szCs w:val="20"/>
              </w:rPr>
            </w:pPr>
          </w:p>
          <w:p w14:paraId="3CA5E88A" w14:textId="77777777" w:rsidR="009C7D14" w:rsidRPr="007D3871" w:rsidRDefault="009C7D14" w:rsidP="003B57E4">
            <w:pPr>
              <w:spacing w:after="0" w:line="240" w:lineRule="auto"/>
              <w:rPr>
                <w:sz w:val="20"/>
                <w:szCs w:val="20"/>
              </w:rPr>
            </w:pPr>
            <w:r>
              <w:rPr>
                <w:sz w:val="20"/>
                <w:szCs w:val="20"/>
              </w:rPr>
              <w:t>The IATI reference for this indicator is: Annual forward planning budgets for recipient countries (recipient-country-budget).</w:t>
            </w:r>
          </w:p>
        </w:tc>
        <w:tc>
          <w:tcPr>
            <w:tcW w:w="4394" w:type="dxa"/>
            <w:shd w:val="clear" w:color="auto" w:fill="FFFFFF" w:themeFill="background1"/>
          </w:tcPr>
          <w:p w14:paraId="43D6D105" w14:textId="77777777" w:rsidR="009C7D14" w:rsidRPr="007D3871" w:rsidRDefault="009C7D14" w:rsidP="003B57E4">
            <w:pPr>
              <w:spacing w:after="0" w:line="240" w:lineRule="auto"/>
              <w:rPr>
                <w:sz w:val="20"/>
                <w:szCs w:val="20"/>
              </w:rPr>
            </w:pPr>
            <w:r w:rsidRPr="007D3871">
              <w:rPr>
                <w:sz w:val="20"/>
                <w:szCs w:val="20"/>
              </w:rPr>
              <w:t xml:space="preserve">Both country budgets </w:t>
            </w:r>
            <w:r w:rsidR="00FB6702">
              <w:rPr>
                <w:sz w:val="20"/>
                <w:szCs w:val="20"/>
              </w:rPr>
              <w:t>and</w:t>
            </w:r>
            <w:r w:rsidRPr="007D3871">
              <w:rPr>
                <w:sz w:val="20"/>
                <w:szCs w:val="20"/>
              </w:rPr>
              <w:t xml:space="preserve"> thematic budgets are accepted for organisations that </w:t>
            </w:r>
            <w:r>
              <w:rPr>
                <w:sz w:val="20"/>
                <w:szCs w:val="20"/>
              </w:rPr>
              <w:t>prioritise their work</w:t>
            </w:r>
            <w:r w:rsidRPr="007D3871">
              <w:rPr>
                <w:sz w:val="20"/>
                <w:szCs w:val="20"/>
              </w:rPr>
              <w:t xml:space="preserve"> by countries. Projected figures disaggregated along thematic and sectoral priorities, at a near similar level of detail to total organisation budgets are accepted. IFIs and DFIs sometimes publish “road maps” which contain this information.</w:t>
            </w:r>
          </w:p>
          <w:p w14:paraId="231D9352" w14:textId="77777777" w:rsidR="009C7D14" w:rsidRPr="007D3871" w:rsidRDefault="009C7D14" w:rsidP="003B57E4">
            <w:pPr>
              <w:spacing w:after="0" w:line="240" w:lineRule="auto"/>
              <w:rPr>
                <w:sz w:val="20"/>
                <w:szCs w:val="20"/>
              </w:rPr>
            </w:pPr>
          </w:p>
          <w:p w14:paraId="40A976D9" w14:textId="77777777" w:rsidR="009C7D14" w:rsidRDefault="009C7D14" w:rsidP="003B57E4">
            <w:pPr>
              <w:spacing w:after="0" w:line="240" w:lineRule="auto"/>
              <w:ind w:left="34"/>
              <w:rPr>
                <w:sz w:val="20"/>
                <w:szCs w:val="20"/>
              </w:rPr>
            </w:pPr>
            <w:r w:rsidRPr="007D3871">
              <w:rPr>
                <w:sz w:val="20"/>
                <w:szCs w:val="20"/>
              </w:rPr>
              <w:t xml:space="preserve">The start and end date for forward budgets are calculated based on </w:t>
            </w:r>
            <w:r>
              <w:rPr>
                <w:sz w:val="20"/>
                <w:szCs w:val="20"/>
              </w:rPr>
              <w:t>organisations</w:t>
            </w:r>
            <w:r w:rsidRPr="007D3871">
              <w:rPr>
                <w:sz w:val="20"/>
                <w:szCs w:val="20"/>
              </w:rPr>
              <w:t>' fiscal years</w:t>
            </w:r>
            <w:r>
              <w:rPr>
                <w:sz w:val="20"/>
                <w:szCs w:val="20"/>
              </w:rPr>
              <w:t xml:space="preserve"> for information collected via the survey</w:t>
            </w:r>
            <w:r w:rsidRPr="007D3871">
              <w:rPr>
                <w:sz w:val="20"/>
                <w:szCs w:val="20"/>
              </w:rPr>
              <w:t>. Budgets need to run up to a minimum of December 201</w:t>
            </w:r>
            <w:r>
              <w:rPr>
                <w:sz w:val="20"/>
                <w:szCs w:val="20"/>
              </w:rPr>
              <w:t>6</w:t>
            </w:r>
            <w:r w:rsidRPr="007D3871">
              <w:rPr>
                <w:sz w:val="20"/>
                <w:szCs w:val="20"/>
              </w:rPr>
              <w:t xml:space="preserve"> to score for 'three years forward'. Organisations at the end of their fixed budget cycles and therefore without a published budget for the next three years do not receive points for this indicator. </w:t>
            </w:r>
          </w:p>
          <w:p w14:paraId="4041364D" w14:textId="77777777" w:rsidR="009C7D14" w:rsidRDefault="009C7D14" w:rsidP="003B57E4">
            <w:pPr>
              <w:spacing w:after="0" w:line="240" w:lineRule="auto"/>
              <w:ind w:left="34"/>
              <w:rPr>
                <w:sz w:val="20"/>
                <w:szCs w:val="20"/>
              </w:rPr>
            </w:pPr>
          </w:p>
          <w:p w14:paraId="20CD0F27" w14:textId="77777777" w:rsidR="009C7D14" w:rsidRPr="007D3871" w:rsidRDefault="009C7D14" w:rsidP="003B57E4">
            <w:pPr>
              <w:spacing w:after="0" w:line="240" w:lineRule="auto"/>
              <w:ind w:left="34"/>
              <w:rPr>
                <w:sz w:val="20"/>
                <w:szCs w:val="20"/>
              </w:rPr>
            </w:pPr>
            <w:r>
              <w:rPr>
                <w:sz w:val="20"/>
                <w:szCs w:val="20"/>
              </w:rPr>
              <w:t xml:space="preserve">Forward Spending Survey data reported to the OECD DAC is taken into account only if it is available for the specific organisation under assessment. </w:t>
            </w:r>
          </w:p>
        </w:tc>
      </w:tr>
      <w:tr w:rsidR="009C7D14" w:rsidRPr="007D3871" w14:paraId="712D76AF" w14:textId="77777777" w:rsidTr="00AF7769">
        <w:trPr>
          <w:trHeight w:val="227"/>
        </w:trPr>
        <w:tc>
          <w:tcPr>
            <w:tcW w:w="1418" w:type="dxa"/>
            <w:vMerge/>
            <w:shd w:val="clear" w:color="auto" w:fill="FFFFFF" w:themeFill="background1"/>
            <w:hideMark/>
          </w:tcPr>
          <w:p w14:paraId="084729BA"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2D1888D5"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Audit</w:t>
            </w:r>
          </w:p>
        </w:tc>
        <w:tc>
          <w:tcPr>
            <w:tcW w:w="2126" w:type="dxa"/>
            <w:shd w:val="clear" w:color="auto" w:fill="FFFFFF" w:themeFill="background1"/>
          </w:tcPr>
          <w:p w14:paraId="21461910" w14:textId="77777777" w:rsidR="009C7D14" w:rsidRPr="007D3871" w:rsidRDefault="009C7D14" w:rsidP="003B57E4">
            <w:pPr>
              <w:spacing w:after="0" w:line="240" w:lineRule="auto"/>
              <w:rPr>
                <w:sz w:val="20"/>
                <w:szCs w:val="20"/>
              </w:rPr>
            </w:pPr>
            <w:r w:rsidRPr="007D3871">
              <w:rPr>
                <w:sz w:val="20"/>
                <w:szCs w:val="20"/>
              </w:rPr>
              <w:t>Does this organisation publish an annual audit of its aid programmes?</w:t>
            </w:r>
          </w:p>
        </w:tc>
        <w:tc>
          <w:tcPr>
            <w:tcW w:w="4961" w:type="dxa"/>
            <w:shd w:val="clear" w:color="auto" w:fill="FFFFFF" w:themeFill="background1"/>
          </w:tcPr>
          <w:p w14:paraId="193C51CF" w14:textId="77777777" w:rsidR="009C7D14" w:rsidRPr="007D3871" w:rsidRDefault="009C7D14" w:rsidP="003B57E4">
            <w:pPr>
              <w:spacing w:after="0" w:line="240" w:lineRule="auto"/>
              <w:rPr>
                <w:sz w:val="20"/>
                <w:szCs w:val="20"/>
              </w:rPr>
            </w:pPr>
            <w:r w:rsidRPr="007D3871">
              <w:rPr>
                <w:sz w:val="20"/>
                <w:szCs w:val="20"/>
              </w:rPr>
              <w:t>The organisation’s annual audit of its activities is an official inspection of the accounts and activities of this organisation, typically by an independent body.</w:t>
            </w:r>
          </w:p>
          <w:p w14:paraId="3A1B2141" w14:textId="77777777" w:rsidR="009C7D14" w:rsidRPr="007D3871" w:rsidRDefault="009C7D14" w:rsidP="003B57E4">
            <w:pPr>
              <w:spacing w:after="0" w:line="240" w:lineRule="auto"/>
              <w:rPr>
                <w:sz w:val="20"/>
                <w:szCs w:val="20"/>
              </w:rPr>
            </w:pPr>
          </w:p>
          <w:p w14:paraId="3DD79726" w14:textId="77777777" w:rsidR="009C7D14" w:rsidRDefault="009C7D14" w:rsidP="003B57E4">
            <w:pPr>
              <w:spacing w:after="0" w:line="240" w:lineRule="auto"/>
              <w:rPr>
                <w:sz w:val="20"/>
                <w:szCs w:val="20"/>
              </w:rPr>
            </w:pPr>
            <w:r w:rsidRPr="007D3871">
              <w:rPr>
                <w:sz w:val="20"/>
                <w:szCs w:val="20"/>
              </w:rPr>
              <w:t>Audits up to date with regular audit cycles are accepted, i.e. if the organisation publishes biennial audits, the most recent document within this time frame is accepted.</w:t>
            </w:r>
          </w:p>
          <w:p w14:paraId="12CE7329" w14:textId="77777777" w:rsidR="009C7D14" w:rsidRDefault="009C7D14" w:rsidP="003B57E4">
            <w:pPr>
              <w:spacing w:after="0" w:line="240" w:lineRule="auto"/>
              <w:rPr>
                <w:sz w:val="20"/>
                <w:szCs w:val="20"/>
              </w:rPr>
            </w:pPr>
          </w:p>
          <w:p w14:paraId="1524A405" w14:textId="77777777" w:rsidR="009C7D14" w:rsidRPr="007D3871" w:rsidRDefault="009C7D14" w:rsidP="003B57E4">
            <w:pPr>
              <w:spacing w:after="0" w:line="240" w:lineRule="auto"/>
              <w:rPr>
                <w:sz w:val="20"/>
                <w:szCs w:val="20"/>
              </w:rPr>
            </w:pPr>
            <w:r>
              <w:rPr>
                <w:sz w:val="20"/>
                <w:szCs w:val="20"/>
              </w:rPr>
              <w:t>The IATI reference for this indicator is: Institutional audit report (document code = B06).</w:t>
            </w:r>
          </w:p>
        </w:tc>
        <w:tc>
          <w:tcPr>
            <w:tcW w:w="4394" w:type="dxa"/>
            <w:shd w:val="clear" w:color="auto" w:fill="FFFFFF" w:themeFill="background1"/>
          </w:tcPr>
          <w:p w14:paraId="39B5092B" w14:textId="77777777" w:rsidR="009C7D14" w:rsidRPr="007D3871" w:rsidRDefault="009C7D14" w:rsidP="003B57E4">
            <w:pPr>
              <w:spacing w:after="0" w:line="240" w:lineRule="auto"/>
              <w:ind w:left="34"/>
              <w:rPr>
                <w:sz w:val="20"/>
                <w:szCs w:val="20"/>
              </w:rPr>
            </w:pPr>
            <w:r>
              <w:rPr>
                <w:sz w:val="20"/>
                <w:szCs w:val="20"/>
              </w:rPr>
              <w:t>A formally approved audit of annual accounts is required to score on this indicator. Audits conducted by official government agencies such as State Audit Offices or Controller General Reports are accepted for this indicator.</w:t>
            </w:r>
          </w:p>
        </w:tc>
      </w:tr>
      <w:tr w:rsidR="009C7D14" w:rsidRPr="007D3871" w14:paraId="3DADCD49" w14:textId="77777777" w:rsidTr="00AF7769">
        <w:trPr>
          <w:trHeight w:val="227"/>
        </w:trPr>
        <w:tc>
          <w:tcPr>
            <w:tcW w:w="14742" w:type="dxa"/>
            <w:gridSpan w:val="5"/>
            <w:shd w:val="clear" w:color="auto" w:fill="FFFFFF" w:themeFill="background1"/>
            <w:hideMark/>
          </w:tcPr>
          <w:p w14:paraId="782EFD06" w14:textId="77777777" w:rsidR="009C7D14" w:rsidRPr="007D3871" w:rsidRDefault="009C7D14" w:rsidP="003B57E4">
            <w:pPr>
              <w:spacing w:after="0" w:line="240" w:lineRule="auto"/>
              <w:rPr>
                <w:b/>
                <w:sz w:val="20"/>
                <w:szCs w:val="20"/>
              </w:rPr>
            </w:pPr>
            <w:r w:rsidRPr="007D3871">
              <w:rPr>
                <w:b/>
                <w:sz w:val="20"/>
                <w:szCs w:val="20"/>
              </w:rPr>
              <w:t>Publication – activity level</w:t>
            </w:r>
          </w:p>
        </w:tc>
      </w:tr>
      <w:tr w:rsidR="009C7D14" w:rsidRPr="007D3871" w14:paraId="7906A7C9" w14:textId="77777777" w:rsidTr="00AF7769">
        <w:trPr>
          <w:trHeight w:val="227"/>
        </w:trPr>
        <w:tc>
          <w:tcPr>
            <w:tcW w:w="1418" w:type="dxa"/>
            <w:vMerge w:val="restart"/>
            <w:shd w:val="clear" w:color="auto" w:fill="FFFFFF" w:themeFill="background1"/>
            <w:hideMark/>
          </w:tcPr>
          <w:p w14:paraId="4FA937F8" w14:textId="77777777" w:rsidR="009C7D14" w:rsidRPr="007D3871" w:rsidRDefault="009C7D14" w:rsidP="003B57E4">
            <w:pPr>
              <w:spacing w:after="0" w:line="240" w:lineRule="auto"/>
              <w:rPr>
                <w:sz w:val="20"/>
                <w:szCs w:val="20"/>
              </w:rPr>
            </w:pPr>
            <w:r w:rsidRPr="007D3871">
              <w:rPr>
                <w:sz w:val="20"/>
                <w:szCs w:val="20"/>
              </w:rPr>
              <w:t>Basic activity information</w:t>
            </w:r>
          </w:p>
        </w:tc>
        <w:tc>
          <w:tcPr>
            <w:tcW w:w="1843" w:type="dxa"/>
            <w:shd w:val="clear" w:color="auto" w:fill="FFFFFF" w:themeFill="background1"/>
            <w:noWrap/>
            <w:hideMark/>
          </w:tcPr>
          <w:p w14:paraId="29D505C1"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Implementer</w:t>
            </w:r>
            <w:r>
              <w:rPr>
                <w:sz w:val="20"/>
                <w:szCs w:val="20"/>
              </w:rPr>
              <w:t xml:space="preserve"> </w:t>
            </w:r>
          </w:p>
        </w:tc>
        <w:tc>
          <w:tcPr>
            <w:tcW w:w="2126" w:type="dxa"/>
            <w:shd w:val="clear" w:color="auto" w:fill="FFFFFF" w:themeFill="background1"/>
          </w:tcPr>
          <w:p w14:paraId="6C4A7CBA" w14:textId="77777777" w:rsidR="009C7D14" w:rsidRPr="007D3871" w:rsidRDefault="009C7D14" w:rsidP="003B57E4">
            <w:pPr>
              <w:spacing w:after="0" w:line="240" w:lineRule="auto"/>
              <w:rPr>
                <w:sz w:val="20"/>
                <w:szCs w:val="20"/>
              </w:rPr>
            </w:pPr>
            <w:r w:rsidRPr="007D3871">
              <w:rPr>
                <w:sz w:val="20"/>
                <w:szCs w:val="20"/>
              </w:rPr>
              <w:t xml:space="preserve">Does this organisation publish which organisation implements the activity? </w:t>
            </w:r>
          </w:p>
        </w:tc>
        <w:tc>
          <w:tcPr>
            <w:tcW w:w="4961" w:type="dxa"/>
            <w:shd w:val="clear" w:color="auto" w:fill="FFFFFF" w:themeFill="background1"/>
          </w:tcPr>
          <w:p w14:paraId="009FCD95" w14:textId="77777777" w:rsidR="009C7D14" w:rsidRPr="007D3871" w:rsidRDefault="009C7D14" w:rsidP="003B57E4">
            <w:pPr>
              <w:spacing w:after="0" w:line="240" w:lineRule="auto"/>
              <w:rPr>
                <w:sz w:val="20"/>
                <w:szCs w:val="20"/>
              </w:rPr>
            </w:pPr>
            <w:r w:rsidRPr="007D3871">
              <w:rPr>
                <w:sz w:val="20"/>
                <w:szCs w:val="20"/>
              </w:rPr>
              <w:t>The implementer of the activity is the organisation which is principally responsible for delivering this activity.</w:t>
            </w:r>
          </w:p>
          <w:p w14:paraId="0D9E70B9" w14:textId="77777777" w:rsidR="009C7D14" w:rsidRDefault="009C7D14" w:rsidP="003B57E4">
            <w:pPr>
              <w:spacing w:after="0" w:line="240" w:lineRule="auto"/>
              <w:rPr>
                <w:sz w:val="20"/>
                <w:szCs w:val="20"/>
              </w:rPr>
            </w:pPr>
          </w:p>
          <w:p w14:paraId="12572767" w14:textId="77777777" w:rsidR="009C7D14" w:rsidRPr="007D3871" w:rsidRDefault="009C7D14" w:rsidP="003B57E4">
            <w:pPr>
              <w:spacing w:after="0" w:line="240" w:lineRule="auto"/>
              <w:rPr>
                <w:sz w:val="20"/>
                <w:szCs w:val="20"/>
              </w:rPr>
            </w:pPr>
            <w:r>
              <w:rPr>
                <w:sz w:val="20"/>
                <w:szCs w:val="20"/>
              </w:rPr>
              <w:t>The IATI reference for this indicator is: Implementing organisation (participating-org role = implementing).</w:t>
            </w:r>
          </w:p>
        </w:tc>
        <w:tc>
          <w:tcPr>
            <w:tcW w:w="4394" w:type="dxa"/>
            <w:shd w:val="clear" w:color="auto" w:fill="FFFFFF" w:themeFill="background1"/>
          </w:tcPr>
          <w:p w14:paraId="348F5041" w14:textId="77777777" w:rsidR="009C7D14" w:rsidRPr="007D3871" w:rsidRDefault="009C7D14" w:rsidP="003B57E4">
            <w:pPr>
              <w:spacing w:after="0" w:line="240" w:lineRule="auto"/>
              <w:rPr>
                <w:sz w:val="20"/>
                <w:szCs w:val="20"/>
              </w:rPr>
            </w:pPr>
            <w:r w:rsidRPr="007D3871">
              <w:rPr>
                <w:sz w:val="20"/>
                <w:szCs w:val="20"/>
              </w:rPr>
              <w:t>This information may not be available in all cases due to “legitimate exclusions”. For example, humanitarian agencies may not be able to reveal who the implementing agencies are due to security reasons. Such exclusions are accepted but need to be explicitly stated (in order to distinguish these from cases of simple omission).</w:t>
            </w:r>
          </w:p>
        </w:tc>
      </w:tr>
      <w:tr w:rsidR="009C7D14" w:rsidRPr="007D3871" w14:paraId="12191EB4" w14:textId="77777777" w:rsidTr="00AF7769">
        <w:trPr>
          <w:trHeight w:val="227"/>
        </w:trPr>
        <w:tc>
          <w:tcPr>
            <w:tcW w:w="1418" w:type="dxa"/>
            <w:vMerge/>
            <w:shd w:val="clear" w:color="auto" w:fill="FFFFFF" w:themeFill="background1"/>
            <w:hideMark/>
          </w:tcPr>
          <w:p w14:paraId="0F5FCE3C"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69778792"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Unique ID</w:t>
            </w:r>
            <w:r>
              <w:rPr>
                <w:sz w:val="20"/>
                <w:szCs w:val="20"/>
              </w:rPr>
              <w:t xml:space="preserve"> </w:t>
            </w:r>
          </w:p>
        </w:tc>
        <w:tc>
          <w:tcPr>
            <w:tcW w:w="2126" w:type="dxa"/>
            <w:shd w:val="clear" w:color="auto" w:fill="FFFFFF" w:themeFill="background1"/>
          </w:tcPr>
          <w:p w14:paraId="2998D996" w14:textId="77777777" w:rsidR="009C7D14" w:rsidRPr="007D3871" w:rsidRDefault="009C7D14" w:rsidP="003B57E4">
            <w:pPr>
              <w:spacing w:after="0" w:line="240" w:lineRule="auto"/>
              <w:rPr>
                <w:sz w:val="20"/>
                <w:szCs w:val="20"/>
              </w:rPr>
            </w:pPr>
            <w:r w:rsidRPr="007D3871">
              <w:rPr>
                <w:sz w:val="20"/>
                <w:szCs w:val="20"/>
              </w:rPr>
              <w:t>Does this organisation publish a unique activity identifier?</w:t>
            </w:r>
          </w:p>
        </w:tc>
        <w:tc>
          <w:tcPr>
            <w:tcW w:w="4961" w:type="dxa"/>
            <w:shd w:val="clear" w:color="auto" w:fill="FFFFFF" w:themeFill="background1"/>
          </w:tcPr>
          <w:p w14:paraId="67E01865" w14:textId="77777777" w:rsidR="009C7D14" w:rsidRDefault="009C7D14" w:rsidP="003B57E4">
            <w:pPr>
              <w:spacing w:after="0" w:line="240" w:lineRule="auto"/>
              <w:rPr>
                <w:sz w:val="20"/>
                <w:szCs w:val="20"/>
              </w:rPr>
            </w:pPr>
            <w:r w:rsidRPr="007D3871">
              <w:rPr>
                <w:sz w:val="20"/>
                <w:szCs w:val="20"/>
              </w:rPr>
              <w:t>The activity identifier is a unique reference ID for the activity, e.g. a project number. It allows an activity to be referred to and searched for by a code, which can be used to retrieve the project from a database or filing system.</w:t>
            </w:r>
          </w:p>
          <w:p w14:paraId="1B14D0C8" w14:textId="77777777" w:rsidR="009C7D14" w:rsidRDefault="009C7D14" w:rsidP="003B57E4">
            <w:pPr>
              <w:spacing w:after="0" w:line="240" w:lineRule="auto"/>
              <w:rPr>
                <w:sz w:val="20"/>
                <w:szCs w:val="20"/>
              </w:rPr>
            </w:pPr>
          </w:p>
          <w:p w14:paraId="089A4653" w14:textId="77777777" w:rsidR="009C7D14" w:rsidRPr="007D3871" w:rsidRDefault="009C7D14" w:rsidP="003B57E4">
            <w:pPr>
              <w:spacing w:after="0" w:line="240" w:lineRule="auto"/>
              <w:rPr>
                <w:sz w:val="20"/>
                <w:szCs w:val="20"/>
              </w:rPr>
            </w:pPr>
            <w:r>
              <w:rPr>
                <w:sz w:val="20"/>
                <w:szCs w:val="20"/>
              </w:rPr>
              <w:t>The IATI reference for this indicator is: IATI identifier.</w:t>
            </w:r>
          </w:p>
        </w:tc>
        <w:tc>
          <w:tcPr>
            <w:tcW w:w="4394" w:type="dxa"/>
            <w:shd w:val="clear" w:color="auto" w:fill="FFFFFF" w:themeFill="background1"/>
          </w:tcPr>
          <w:p w14:paraId="2188A470" w14:textId="77777777" w:rsidR="009C7D14" w:rsidRPr="007D3871" w:rsidRDefault="009C7D14" w:rsidP="003B57E4">
            <w:pPr>
              <w:spacing w:after="0" w:line="240" w:lineRule="auto"/>
              <w:rPr>
                <w:sz w:val="20"/>
                <w:szCs w:val="20"/>
              </w:rPr>
            </w:pPr>
            <w:r w:rsidRPr="007D3871">
              <w:rPr>
                <w:sz w:val="20"/>
                <w:szCs w:val="20"/>
              </w:rPr>
              <w:t>The project ID must be stated clearly on the page. It is not sufficient if it is only stated in the URL. It must be numeric or alpha-numeric.</w:t>
            </w:r>
          </w:p>
        </w:tc>
      </w:tr>
      <w:tr w:rsidR="009C7D14" w:rsidRPr="007D3871" w14:paraId="2DB3325B" w14:textId="77777777" w:rsidTr="00AF7769">
        <w:trPr>
          <w:trHeight w:val="227"/>
        </w:trPr>
        <w:tc>
          <w:tcPr>
            <w:tcW w:w="1418" w:type="dxa"/>
            <w:vMerge/>
            <w:shd w:val="clear" w:color="auto" w:fill="FFFFFF" w:themeFill="background1"/>
            <w:hideMark/>
          </w:tcPr>
          <w:p w14:paraId="68BB93D7"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7F237EA3"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Title</w:t>
            </w:r>
          </w:p>
        </w:tc>
        <w:tc>
          <w:tcPr>
            <w:tcW w:w="2126" w:type="dxa"/>
            <w:shd w:val="clear" w:color="auto" w:fill="FFFFFF" w:themeFill="background1"/>
          </w:tcPr>
          <w:p w14:paraId="0FBE23C3" w14:textId="77777777" w:rsidR="009C7D14" w:rsidRPr="007D3871" w:rsidRDefault="009C7D14" w:rsidP="003B57E4">
            <w:pPr>
              <w:spacing w:after="0" w:line="240" w:lineRule="auto"/>
              <w:rPr>
                <w:sz w:val="20"/>
                <w:szCs w:val="20"/>
              </w:rPr>
            </w:pPr>
            <w:r w:rsidRPr="007D3871">
              <w:rPr>
                <w:sz w:val="20"/>
                <w:szCs w:val="20"/>
              </w:rPr>
              <w:t>Does this organisation publish the title of the activity?</w:t>
            </w:r>
          </w:p>
        </w:tc>
        <w:tc>
          <w:tcPr>
            <w:tcW w:w="4961" w:type="dxa"/>
            <w:shd w:val="clear" w:color="auto" w:fill="FFFFFF" w:themeFill="background1"/>
          </w:tcPr>
          <w:p w14:paraId="0C6E9CBA" w14:textId="77777777" w:rsidR="009C7D14" w:rsidRPr="007D3871" w:rsidRDefault="009C7D14" w:rsidP="003B57E4">
            <w:pPr>
              <w:spacing w:after="0" w:line="240" w:lineRule="auto"/>
              <w:rPr>
                <w:sz w:val="20"/>
                <w:szCs w:val="20"/>
              </w:rPr>
            </w:pPr>
            <w:r w:rsidRPr="007D3871">
              <w:rPr>
                <w:sz w:val="20"/>
                <w:szCs w:val="20"/>
              </w:rPr>
              <w:t>The title of the activity is the name of the activity. This is preferably the formal name of the activity, but does not have to be.</w:t>
            </w:r>
          </w:p>
          <w:p w14:paraId="0A7F377B" w14:textId="77777777" w:rsidR="009C7D14" w:rsidRPr="007D3871" w:rsidRDefault="009C7D14" w:rsidP="003B57E4">
            <w:pPr>
              <w:spacing w:after="0" w:line="240" w:lineRule="auto"/>
              <w:rPr>
                <w:sz w:val="20"/>
                <w:szCs w:val="20"/>
              </w:rPr>
            </w:pPr>
          </w:p>
          <w:p w14:paraId="4D802E18" w14:textId="77777777" w:rsidR="009C7D14" w:rsidRPr="007D3871" w:rsidRDefault="009C7D14" w:rsidP="003B57E4">
            <w:pPr>
              <w:spacing w:after="0" w:line="240" w:lineRule="auto"/>
              <w:rPr>
                <w:sz w:val="20"/>
                <w:szCs w:val="20"/>
              </w:rPr>
            </w:pPr>
            <w:r w:rsidRPr="007D3871">
              <w:rPr>
                <w:sz w:val="20"/>
                <w:szCs w:val="20"/>
              </w:rPr>
              <w:t>The title needs to be complete with any abbreviations or acronyms explained.</w:t>
            </w:r>
          </w:p>
        </w:tc>
        <w:tc>
          <w:tcPr>
            <w:tcW w:w="4394" w:type="dxa"/>
            <w:shd w:val="clear" w:color="auto" w:fill="FFFFFF" w:themeFill="background1"/>
          </w:tcPr>
          <w:p w14:paraId="49752257" w14:textId="77777777" w:rsidR="009C7D14" w:rsidRPr="007D3871" w:rsidRDefault="009C7D14" w:rsidP="003B57E4">
            <w:pPr>
              <w:spacing w:after="0" w:line="240" w:lineRule="auto"/>
              <w:rPr>
                <w:sz w:val="20"/>
                <w:szCs w:val="20"/>
              </w:rPr>
            </w:pPr>
          </w:p>
        </w:tc>
      </w:tr>
      <w:tr w:rsidR="009C7D14" w:rsidRPr="007D3871" w14:paraId="607B9184" w14:textId="77777777" w:rsidTr="00AF7769">
        <w:trPr>
          <w:trHeight w:val="227"/>
        </w:trPr>
        <w:tc>
          <w:tcPr>
            <w:tcW w:w="1418" w:type="dxa"/>
            <w:vMerge/>
            <w:shd w:val="clear" w:color="auto" w:fill="FFFFFF" w:themeFill="background1"/>
            <w:hideMark/>
          </w:tcPr>
          <w:p w14:paraId="4E9FA33A"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5D45BD90"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Description</w:t>
            </w:r>
          </w:p>
        </w:tc>
        <w:tc>
          <w:tcPr>
            <w:tcW w:w="2126" w:type="dxa"/>
            <w:shd w:val="clear" w:color="auto" w:fill="FFFFFF" w:themeFill="background1"/>
          </w:tcPr>
          <w:p w14:paraId="578620D1" w14:textId="77777777" w:rsidR="009C7D14" w:rsidRPr="007D3871" w:rsidRDefault="009C7D14" w:rsidP="003B57E4">
            <w:pPr>
              <w:spacing w:after="0" w:line="240" w:lineRule="auto"/>
              <w:rPr>
                <w:sz w:val="20"/>
                <w:szCs w:val="20"/>
              </w:rPr>
            </w:pPr>
            <w:r w:rsidRPr="007D3871">
              <w:rPr>
                <w:sz w:val="20"/>
                <w:szCs w:val="20"/>
              </w:rPr>
              <w:t>Does this organisation publish a description of the activity?</w:t>
            </w:r>
          </w:p>
        </w:tc>
        <w:tc>
          <w:tcPr>
            <w:tcW w:w="4961" w:type="dxa"/>
            <w:shd w:val="clear" w:color="auto" w:fill="FFFFFF" w:themeFill="background1"/>
          </w:tcPr>
          <w:p w14:paraId="4FA5D428" w14:textId="77777777" w:rsidR="009C7D14" w:rsidRPr="007D3871" w:rsidRDefault="009C7D14" w:rsidP="003B57E4">
            <w:pPr>
              <w:spacing w:after="0" w:line="240" w:lineRule="auto"/>
              <w:rPr>
                <w:sz w:val="20"/>
                <w:szCs w:val="20"/>
              </w:rPr>
            </w:pPr>
            <w:r w:rsidRPr="007D3871">
              <w:rPr>
                <w:sz w:val="20"/>
                <w:szCs w:val="20"/>
              </w:rPr>
              <w:t>The description of the activity is a descriptive text, longer than the title, explaining what the activity is. Sometimes it is just a short sentence but could also be more detailed. Either is accepted.</w:t>
            </w:r>
          </w:p>
        </w:tc>
        <w:tc>
          <w:tcPr>
            <w:tcW w:w="4394" w:type="dxa"/>
            <w:shd w:val="clear" w:color="auto" w:fill="FFFFFF" w:themeFill="background1"/>
          </w:tcPr>
          <w:p w14:paraId="27C8E164" w14:textId="77777777" w:rsidR="009C7D14" w:rsidRPr="007D3871" w:rsidRDefault="009C7D14" w:rsidP="003B57E4">
            <w:pPr>
              <w:spacing w:after="0" w:line="240" w:lineRule="auto"/>
              <w:rPr>
                <w:sz w:val="20"/>
                <w:szCs w:val="20"/>
              </w:rPr>
            </w:pPr>
            <w:r w:rsidRPr="007D3871">
              <w:rPr>
                <w:sz w:val="20"/>
                <w:szCs w:val="20"/>
              </w:rPr>
              <w:t>The description of the activity needs to contain a minimum of 10 words in order to be considered a description rather than just a title.</w:t>
            </w:r>
          </w:p>
        </w:tc>
      </w:tr>
      <w:tr w:rsidR="009C7D14" w:rsidRPr="007D3871" w14:paraId="424A1F5D" w14:textId="77777777" w:rsidTr="00AF7769">
        <w:trPr>
          <w:trHeight w:val="227"/>
        </w:trPr>
        <w:tc>
          <w:tcPr>
            <w:tcW w:w="1418" w:type="dxa"/>
            <w:vMerge/>
            <w:shd w:val="clear" w:color="auto" w:fill="FFFFFF" w:themeFill="background1"/>
            <w:hideMark/>
          </w:tcPr>
          <w:p w14:paraId="7F8A6D22"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7C89BF0A"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Planned dates</w:t>
            </w:r>
          </w:p>
        </w:tc>
        <w:tc>
          <w:tcPr>
            <w:tcW w:w="2126" w:type="dxa"/>
            <w:shd w:val="clear" w:color="auto" w:fill="FFFFFF" w:themeFill="background1"/>
          </w:tcPr>
          <w:p w14:paraId="4B72CF0E" w14:textId="77777777" w:rsidR="009C7D14" w:rsidRPr="007D3871" w:rsidRDefault="009C7D14" w:rsidP="003B57E4">
            <w:pPr>
              <w:spacing w:after="0" w:line="240" w:lineRule="auto"/>
              <w:rPr>
                <w:sz w:val="20"/>
                <w:szCs w:val="20"/>
              </w:rPr>
            </w:pPr>
            <w:r w:rsidRPr="007D3871">
              <w:rPr>
                <w:sz w:val="20"/>
                <w:szCs w:val="20"/>
              </w:rPr>
              <w:t>Does this organisation publish the planned start and end dates?</w:t>
            </w:r>
          </w:p>
        </w:tc>
        <w:tc>
          <w:tcPr>
            <w:tcW w:w="4961" w:type="dxa"/>
            <w:shd w:val="clear" w:color="auto" w:fill="FFFFFF" w:themeFill="background1"/>
          </w:tcPr>
          <w:p w14:paraId="0E7E1FA2" w14:textId="77777777" w:rsidR="009C7D14" w:rsidRDefault="009C7D14" w:rsidP="003B57E4">
            <w:pPr>
              <w:spacing w:after="0" w:line="240" w:lineRule="auto"/>
              <w:rPr>
                <w:sz w:val="20"/>
                <w:szCs w:val="20"/>
              </w:rPr>
            </w:pPr>
            <w:r w:rsidRPr="007D3871">
              <w:rPr>
                <w:sz w:val="20"/>
                <w:szCs w:val="20"/>
              </w:rPr>
              <w:t>The planned dates are the dates that the activity is scheduled to start and end on. If there are one set of dates but they are not explicitly planned or actual dates, given that these are for activities which are current (i.e. being implemented at the time of data collection) it is assumed that they are planned dates.</w:t>
            </w:r>
          </w:p>
          <w:p w14:paraId="179051A3" w14:textId="77777777" w:rsidR="009C7D14" w:rsidRDefault="009C7D14" w:rsidP="003B57E4">
            <w:pPr>
              <w:spacing w:after="0" w:line="240" w:lineRule="auto"/>
              <w:rPr>
                <w:sz w:val="20"/>
                <w:szCs w:val="20"/>
              </w:rPr>
            </w:pPr>
          </w:p>
          <w:p w14:paraId="16988E25" w14:textId="77777777" w:rsidR="009C7D14" w:rsidRPr="007D3871" w:rsidRDefault="009C7D14" w:rsidP="003B57E4">
            <w:pPr>
              <w:spacing w:after="0" w:line="240" w:lineRule="auto"/>
              <w:rPr>
                <w:sz w:val="20"/>
                <w:szCs w:val="20"/>
              </w:rPr>
            </w:pPr>
            <w:r>
              <w:rPr>
                <w:sz w:val="20"/>
                <w:szCs w:val="20"/>
              </w:rPr>
              <w:t>The IATI reference for this indicator is: Activity date (activity date type = start-planned and end-planned).</w:t>
            </w:r>
          </w:p>
        </w:tc>
        <w:tc>
          <w:tcPr>
            <w:tcW w:w="4394" w:type="dxa"/>
            <w:shd w:val="clear" w:color="auto" w:fill="FFFFFF" w:themeFill="background1"/>
          </w:tcPr>
          <w:p w14:paraId="7591D032" w14:textId="77777777" w:rsidR="009C7D14" w:rsidRDefault="009C7D14" w:rsidP="003B57E4">
            <w:pPr>
              <w:spacing w:after="0" w:line="240" w:lineRule="auto"/>
              <w:rPr>
                <w:sz w:val="20"/>
                <w:szCs w:val="20"/>
              </w:rPr>
            </w:pPr>
            <w:r w:rsidRPr="007D3871">
              <w:rPr>
                <w:sz w:val="20"/>
                <w:szCs w:val="20"/>
              </w:rPr>
              <w:t>Both month and year are required to score on this indicator in recognition of recipient countries needing to be able to map activities to their own financial year rather than the calendar year.</w:t>
            </w:r>
          </w:p>
          <w:p w14:paraId="75ECF530" w14:textId="77777777" w:rsidR="009C7D14" w:rsidRDefault="009C7D14" w:rsidP="003B57E4">
            <w:pPr>
              <w:spacing w:after="0" w:line="240" w:lineRule="auto"/>
              <w:rPr>
                <w:sz w:val="20"/>
                <w:szCs w:val="20"/>
              </w:rPr>
            </w:pPr>
          </w:p>
          <w:p w14:paraId="1E87295A" w14:textId="77777777" w:rsidR="009C7D14" w:rsidRPr="007D3871" w:rsidRDefault="009C7D14" w:rsidP="003B57E4">
            <w:pPr>
              <w:spacing w:after="0" w:line="240" w:lineRule="auto"/>
              <w:rPr>
                <w:sz w:val="20"/>
                <w:szCs w:val="20"/>
              </w:rPr>
            </w:pPr>
            <w:r>
              <w:rPr>
                <w:sz w:val="20"/>
                <w:szCs w:val="20"/>
              </w:rPr>
              <w:t>If the activity has started or has finished, the original planned start and end dates must be retained in addition to the actual dates in order to score on this indicator.</w:t>
            </w:r>
          </w:p>
        </w:tc>
      </w:tr>
      <w:tr w:rsidR="009C7D14" w:rsidRPr="007D3871" w14:paraId="1EB21D62" w14:textId="77777777" w:rsidTr="00AF7769">
        <w:trPr>
          <w:trHeight w:val="227"/>
        </w:trPr>
        <w:tc>
          <w:tcPr>
            <w:tcW w:w="1418" w:type="dxa"/>
            <w:vMerge/>
            <w:shd w:val="clear" w:color="auto" w:fill="FFFFFF" w:themeFill="background1"/>
            <w:hideMark/>
          </w:tcPr>
          <w:p w14:paraId="30A1F912"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50DCE98D"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Actual dates</w:t>
            </w:r>
          </w:p>
        </w:tc>
        <w:tc>
          <w:tcPr>
            <w:tcW w:w="2126" w:type="dxa"/>
            <w:shd w:val="clear" w:color="auto" w:fill="FFFFFF" w:themeFill="background1"/>
          </w:tcPr>
          <w:p w14:paraId="45F8A109" w14:textId="77777777" w:rsidR="009C7D14" w:rsidRPr="007D3871" w:rsidRDefault="009C7D14" w:rsidP="003B57E4">
            <w:pPr>
              <w:spacing w:after="0" w:line="240" w:lineRule="auto"/>
              <w:rPr>
                <w:sz w:val="20"/>
                <w:szCs w:val="20"/>
              </w:rPr>
            </w:pPr>
            <w:r w:rsidRPr="007D3871">
              <w:rPr>
                <w:sz w:val="20"/>
                <w:szCs w:val="20"/>
              </w:rPr>
              <w:t>Does this organisation publish the actual start and end dates?</w:t>
            </w:r>
            <w:r w:rsidRPr="007D3871">
              <w:rPr>
                <w:sz w:val="20"/>
                <w:szCs w:val="20"/>
              </w:rPr>
              <w:br/>
              <w:t>(If they are not explicitly stated as actual dates then it is assumed that they are planned dates.)</w:t>
            </w:r>
          </w:p>
        </w:tc>
        <w:tc>
          <w:tcPr>
            <w:tcW w:w="4961" w:type="dxa"/>
            <w:shd w:val="clear" w:color="auto" w:fill="FFFFFF" w:themeFill="background1"/>
          </w:tcPr>
          <w:p w14:paraId="6E46B5CD" w14:textId="77777777" w:rsidR="009C7D14" w:rsidRDefault="009C7D14" w:rsidP="003B57E4">
            <w:pPr>
              <w:spacing w:after="0" w:line="240" w:lineRule="auto"/>
              <w:rPr>
                <w:sz w:val="20"/>
                <w:szCs w:val="20"/>
              </w:rPr>
            </w:pPr>
            <w:r w:rsidRPr="007D3871">
              <w:rPr>
                <w:sz w:val="20"/>
                <w:szCs w:val="20"/>
              </w:rPr>
              <w:t xml:space="preserve">These are the dates that the activity actually started (and ended on, if the activity has finished). If there is only one set of dates but they are not explicitly stated as planned or actual dates, then it is assumed they are planned dates. Actual dates are accepted where specific events occurred, </w:t>
            </w:r>
            <w:r>
              <w:rPr>
                <w:sz w:val="20"/>
                <w:szCs w:val="20"/>
              </w:rPr>
              <w:t>e.g.</w:t>
            </w:r>
            <w:r w:rsidRPr="007D3871">
              <w:rPr>
                <w:sz w:val="20"/>
                <w:szCs w:val="20"/>
              </w:rPr>
              <w:t xml:space="preserve"> the date the project/programme agreement is signed, a board presentation or an appraisal date.</w:t>
            </w:r>
          </w:p>
          <w:p w14:paraId="29B96A04" w14:textId="77777777" w:rsidR="009C7D14" w:rsidRDefault="009C7D14" w:rsidP="003B57E4">
            <w:pPr>
              <w:spacing w:after="0" w:line="240" w:lineRule="auto"/>
              <w:rPr>
                <w:sz w:val="20"/>
                <w:szCs w:val="20"/>
              </w:rPr>
            </w:pPr>
          </w:p>
          <w:p w14:paraId="4924EEB3" w14:textId="77777777" w:rsidR="009C7D14" w:rsidRPr="007D3871" w:rsidRDefault="009C7D14" w:rsidP="003B57E4">
            <w:pPr>
              <w:spacing w:after="0" w:line="240" w:lineRule="auto"/>
              <w:rPr>
                <w:sz w:val="20"/>
                <w:szCs w:val="20"/>
              </w:rPr>
            </w:pPr>
            <w:r>
              <w:rPr>
                <w:sz w:val="20"/>
                <w:szCs w:val="20"/>
              </w:rPr>
              <w:t>The IATI reference for this indicator is: Activity date (activity date type = start-actual and end-actual).</w:t>
            </w:r>
          </w:p>
        </w:tc>
        <w:tc>
          <w:tcPr>
            <w:tcW w:w="4394" w:type="dxa"/>
            <w:shd w:val="clear" w:color="auto" w:fill="FFFFFF" w:themeFill="background1"/>
          </w:tcPr>
          <w:p w14:paraId="28E61B4D" w14:textId="77777777" w:rsidR="009C7D14" w:rsidRPr="007D3871" w:rsidRDefault="009C7D14" w:rsidP="003B57E4">
            <w:pPr>
              <w:spacing w:after="0" w:line="240" w:lineRule="auto"/>
              <w:rPr>
                <w:sz w:val="20"/>
                <w:szCs w:val="20"/>
              </w:rPr>
            </w:pPr>
            <w:r w:rsidRPr="007D3871">
              <w:rPr>
                <w:sz w:val="20"/>
                <w:szCs w:val="20"/>
              </w:rPr>
              <w:t>Both month and year are required to score on this indicator in recognition of recipient countries needing to be able to map activities to their own financial year rather than the calendar year.</w:t>
            </w:r>
          </w:p>
        </w:tc>
      </w:tr>
      <w:tr w:rsidR="009C7D14" w:rsidRPr="007D3871" w14:paraId="39837F0F" w14:textId="77777777" w:rsidTr="00AF7769">
        <w:trPr>
          <w:trHeight w:val="227"/>
        </w:trPr>
        <w:tc>
          <w:tcPr>
            <w:tcW w:w="1418" w:type="dxa"/>
            <w:vMerge/>
            <w:shd w:val="clear" w:color="auto" w:fill="FFFFFF" w:themeFill="background1"/>
            <w:hideMark/>
          </w:tcPr>
          <w:p w14:paraId="321E0C39"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45C7B575"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Current status</w:t>
            </w:r>
            <w:r>
              <w:rPr>
                <w:sz w:val="20"/>
                <w:szCs w:val="20"/>
              </w:rPr>
              <w:t xml:space="preserve"> </w:t>
            </w:r>
          </w:p>
        </w:tc>
        <w:tc>
          <w:tcPr>
            <w:tcW w:w="2126" w:type="dxa"/>
            <w:shd w:val="clear" w:color="auto" w:fill="FFFFFF" w:themeFill="background1"/>
          </w:tcPr>
          <w:p w14:paraId="19891FAD" w14:textId="77777777" w:rsidR="009C7D14" w:rsidRPr="007D3871" w:rsidRDefault="009C7D14" w:rsidP="003B57E4">
            <w:pPr>
              <w:spacing w:after="0" w:line="240" w:lineRule="auto"/>
              <w:rPr>
                <w:sz w:val="20"/>
                <w:szCs w:val="20"/>
              </w:rPr>
            </w:pPr>
            <w:r w:rsidRPr="007D3871">
              <w:rPr>
                <w:sz w:val="20"/>
                <w:szCs w:val="20"/>
              </w:rPr>
              <w:t>Does this organisation publish the current status of the aid activity (e.g.in pipe line, implementation, completion, post-completion or cancelled)?</w:t>
            </w:r>
          </w:p>
        </w:tc>
        <w:tc>
          <w:tcPr>
            <w:tcW w:w="4961" w:type="dxa"/>
            <w:shd w:val="clear" w:color="auto" w:fill="FFFFFF" w:themeFill="background1"/>
          </w:tcPr>
          <w:p w14:paraId="3C90DEFA" w14:textId="77777777" w:rsidR="009C7D14" w:rsidRDefault="009C7D14" w:rsidP="003B57E4">
            <w:pPr>
              <w:spacing w:after="0" w:line="240" w:lineRule="auto"/>
              <w:rPr>
                <w:sz w:val="20"/>
                <w:szCs w:val="20"/>
              </w:rPr>
            </w:pPr>
            <w:r w:rsidRPr="007D3871">
              <w:rPr>
                <w:sz w:val="20"/>
                <w:szCs w:val="20"/>
              </w:rPr>
              <w:t>This shows whether the activity is currently under design, being implemented, has finished or has been cancelled.</w:t>
            </w:r>
          </w:p>
          <w:p w14:paraId="1CC70054" w14:textId="77777777" w:rsidR="009C7D14" w:rsidRDefault="009C7D14" w:rsidP="003B57E4">
            <w:pPr>
              <w:spacing w:after="0" w:line="240" w:lineRule="auto"/>
              <w:rPr>
                <w:sz w:val="20"/>
                <w:szCs w:val="20"/>
              </w:rPr>
            </w:pPr>
          </w:p>
          <w:p w14:paraId="19645263" w14:textId="77777777" w:rsidR="009C7D14" w:rsidRPr="007D3871" w:rsidRDefault="009C7D14" w:rsidP="003B57E4">
            <w:pPr>
              <w:spacing w:after="0" w:line="240" w:lineRule="auto"/>
              <w:rPr>
                <w:sz w:val="20"/>
                <w:szCs w:val="20"/>
              </w:rPr>
            </w:pPr>
            <w:r>
              <w:rPr>
                <w:sz w:val="20"/>
                <w:szCs w:val="20"/>
              </w:rPr>
              <w:t>The IATI reference for this indicator is: Activity status</w:t>
            </w:r>
            <w:r w:rsidR="000D5F0D">
              <w:rPr>
                <w:sz w:val="20"/>
                <w:szCs w:val="20"/>
              </w:rPr>
              <w:t>.</w:t>
            </w:r>
          </w:p>
        </w:tc>
        <w:tc>
          <w:tcPr>
            <w:tcW w:w="4394" w:type="dxa"/>
            <w:shd w:val="clear" w:color="auto" w:fill="FFFFFF" w:themeFill="background1"/>
          </w:tcPr>
          <w:p w14:paraId="38B95876" w14:textId="77777777" w:rsidR="009C7D14" w:rsidRPr="007D3871" w:rsidRDefault="009C7D14" w:rsidP="003B57E4">
            <w:pPr>
              <w:spacing w:after="0" w:line="240" w:lineRule="auto"/>
              <w:rPr>
                <w:sz w:val="20"/>
                <w:szCs w:val="20"/>
              </w:rPr>
            </w:pPr>
          </w:p>
        </w:tc>
      </w:tr>
      <w:tr w:rsidR="009C7D14" w:rsidRPr="007D3871" w14:paraId="2394FEE9" w14:textId="77777777" w:rsidTr="00AF7769">
        <w:trPr>
          <w:trHeight w:val="281"/>
        </w:trPr>
        <w:tc>
          <w:tcPr>
            <w:tcW w:w="1418" w:type="dxa"/>
            <w:vMerge/>
            <w:shd w:val="clear" w:color="auto" w:fill="FFFFFF" w:themeFill="background1"/>
            <w:hideMark/>
          </w:tcPr>
          <w:p w14:paraId="04AE3446"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2A182265"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Contact details</w:t>
            </w:r>
          </w:p>
        </w:tc>
        <w:tc>
          <w:tcPr>
            <w:tcW w:w="2126" w:type="dxa"/>
            <w:shd w:val="clear" w:color="auto" w:fill="FFFFFF" w:themeFill="background1"/>
          </w:tcPr>
          <w:p w14:paraId="7AEC42AC" w14:textId="77777777" w:rsidR="009C7D14" w:rsidRPr="007D3871" w:rsidRDefault="009C7D14" w:rsidP="003B57E4">
            <w:pPr>
              <w:spacing w:after="0" w:line="240" w:lineRule="auto"/>
              <w:rPr>
                <w:sz w:val="20"/>
                <w:szCs w:val="20"/>
              </w:rPr>
            </w:pPr>
            <w:r w:rsidRPr="007D3871">
              <w:rPr>
                <w:sz w:val="20"/>
                <w:szCs w:val="20"/>
              </w:rPr>
              <w:t>Are contact details provided for the activity?</w:t>
            </w:r>
          </w:p>
        </w:tc>
        <w:tc>
          <w:tcPr>
            <w:tcW w:w="4961" w:type="dxa"/>
            <w:shd w:val="clear" w:color="auto" w:fill="FFFFFF" w:themeFill="background1"/>
          </w:tcPr>
          <w:p w14:paraId="54C6B359" w14:textId="77777777" w:rsidR="009C7D14" w:rsidRPr="007D3871" w:rsidRDefault="009C7D14" w:rsidP="003B57E4">
            <w:pPr>
              <w:spacing w:after="0" w:line="240" w:lineRule="auto"/>
              <w:rPr>
                <w:sz w:val="20"/>
                <w:szCs w:val="20"/>
              </w:rPr>
            </w:pPr>
            <w:r w:rsidRPr="007D3871">
              <w:rPr>
                <w:sz w:val="20"/>
                <w:szCs w:val="20"/>
              </w:rPr>
              <w:t>This shows who can be contacted in relation to this activity. This does not have to be the contact information for an individual or project manager and could refer to a central contact or information desk. Contacts for either the funding organisation or the implementing organisation were accepted.</w:t>
            </w:r>
          </w:p>
          <w:p w14:paraId="65DB48B4" w14:textId="77777777" w:rsidR="009C7D14" w:rsidRPr="007D3871" w:rsidRDefault="009C7D14" w:rsidP="003B57E4">
            <w:pPr>
              <w:spacing w:after="0" w:line="240" w:lineRule="auto"/>
              <w:rPr>
                <w:sz w:val="20"/>
                <w:szCs w:val="20"/>
              </w:rPr>
            </w:pPr>
          </w:p>
          <w:p w14:paraId="28810665" w14:textId="77777777" w:rsidR="009C7D14" w:rsidRPr="007D3871" w:rsidRDefault="009C7D14" w:rsidP="003B57E4">
            <w:pPr>
              <w:spacing w:after="0" w:line="240" w:lineRule="auto"/>
              <w:rPr>
                <w:sz w:val="20"/>
                <w:szCs w:val="20"/>
              </w:rPr>
            </w:pPr>
            <w:r w:rsidRPr="007D3871">
              <w:rPr>
                <w:sz w:val="20"/>
                <w:szCs w:val="20"/>
              </w:rPr>
              <w:t>This has to be stated alongside the activity or on an obvious “contact us” link alongside the activity.</w:t>
            </w:r>
          </w:p>
        </w:tc>
        <w:tc>
          <w:tcPr>
            <w:tcW w:w="4394" w:type="dxa"/>
            <w:shd w:val="clear" w:color="auto" w:fill="FFFFFF" w:themeFill="background1"/>
          </w:tcPr>
          <w:p w14:paraId="78DF24D5" w14:textId="77777777" w:rsidR="009C7D14" w:rsidRPr="007D3871" w:rsidRDefault="009C7D14" w:rsidP="003B57E4">
            <w:pPr>
              <w:spacing w:after="0" w:line="240" w:lineRule="auto"/>
              <w:rPr>
                <w:sz w:val="20"/>
                <w:szCs w:val="20"/>
              </w:rPr>
            </w:pPr>
          </w:p>
        </w:tc>
      </w:tr>
      <w:tr w:rsidR="009C7D14" w:rsidRPr="007D3871" w14:paraId="3D70DBD5" w14:textId="77777777" w:rsidTr="00AF7769">
        <w:trPr>
          <w:trHeight w:val="227"/>
        </w:trPr>
        <w:tc>
          <w:tcPr>
            <w:tcW w:w="1418" w:type="dxa"/>
            <w:vMerge w:val="restart"/>
            <w:shd w:val="clear" w:color="auto" w:fill="FFFFFF" w:themeFill="background1"/>
          </w:tcPr>
          <w:p w14:paraId="2603EA1E" w14:textId="77777777" w:rsidR="009C7D14" w:rsidRPr="007D3871" w:rsidRDefault="009C7D14" w:rsidP="003B57E4">
            <w:pPr>
              <w:spacing w:after="0" w:line="240" w:lineRule="auto"/>
              <w:rPr>
                <w:sz w:val="20"/>
                <w:szCs w:val="20"/>
              </w:rPr>
            </w:pPr>
            <w:r w:rsidRPr="007D3871">
              <w:rPr>
                <w:sz w:val="20"/>
                <w:szCs w:val="20"/>
              </w:rPr>
              <w:t>Classifications</w:t>
            </w:r>
          </w:p>
          <w:p w14:paraId="7F394095"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526FA377"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Collaboration type</w:t>
            </w:r>
          </w:p>
        </w:tc>
        <w:tc>
          <w:tcPr>
            <w:tcW w:w="2126" w:type="dxa"/>
            <w:shd w:val="clear" w:color="auto" w:fill="FFFFFF" w:themeFill="background1"/>
          </w:tcPr>
          <w:p w14:paraId="1FDEF881" w14:textId="77777777" w:rsidR="009C7D14" w:rsidRPr="007D3871" w:rsidRDefault="009C7D14" w:rsidP="003B57E4">
            <w:pPr>
              <w:spacing w:after="0" w:line="240" w:lineRule="auto"/>
              <w:rPr>
                <w:sz w:val="20"/>
                <w:szCs w:val="20"/>
              </w:rPr>
            </w:pPr>
            <w:r w:rsidRPr="007D3871">
              <w:rPr>
                <w:sz w:val="20"/>
                <w:szCs w:val="20"/>
              </w:rPr>
              <w:t xml:space="preserve">Does this organisation publish the “Collaboration Type”, i.e. whether the activity is funded bilaterally or multilaterally, as a </w:t>
            </w:r>
            <w:r>
              <w:rPr>
                <w:sz w:val="20"/>
                <w:szCs w:val="20"/>
              </w:rPr>
              <w:t xml:space="preserve">core </w:t>
            </w:r>
            <w:r w:rsidRPr="007D3871">
              <w:rPr>
                <w:sz w:val="20"/>
                <w:szCs w:val="20"/>
              </w:rPr>
              <w:t>contribution to NGOs</w:t>
            </w:r>
            <w:r>
              <w:rPr>
                <w:sz w:val="20"/>
                <w:szCs w:val="20"/>
              </w:rPr>
              <w:t xml:space="preserve"> and other private bodies/</w:t>
            </w:r>
            <w:r w:rsidRPr="007D3871">
              <w:rPr>
                <w:sz w:val="20"/>
                <w:szCs w:val="20"/>
              </w:rPr>
              <w:t>Public-Private Partnerships, multilateral outflow</w:t>
            </w:r>
            <w:r>
              <w:rPr>
                <w:sz w:val="20"/>
                <w:szCs w:val="20"/>
              </w:rPr>
              <w:t xml:space="preserve"> or private sector outflow?</w:t>
            </w:r>
          </w:p>
        </w:tc>
        <w:tc>
          <w:tcPr>
            <w:tcW w:w="4961" w:type="dxa"/>
            <w:shd w:val="clear" w:color="auto" w:fill="FFFFFF" w:themeFill="background1"/>
          </w:tcPr>
          <w:p w14:paraId="47F03266" w14:textId="77777777" w:rsidR="009C7D14" w:rsidRPr="007D3871" w:rsidRDefault="009C7D14" w:rsidP="003B57E4">
            <w:pPr>
              <w:spacing w:after="0" w:line="240" w:lineRule="auto"/>
              <w:rPr>
                <w:sz w:val="20"/>
                <w:szCs w:val="20"/>
              </w:rPr>
            </w:pPr>
            <w:r w:rsidRPr="007D3871">
              <w:rPr>
                <w:sz w:val="20"/>
                <w:szCs w:val="20"/>
              </w:rPr>
              <w:t>The collaboration type shows how the activity is funded – whether directly from one government to another (bilaterally), through institutions such as the World Bank or UN (multilaterally), or otherwise. This needs to be explicitly stated.</w:t>
            </w:r>
            <w:r w:rsidRPr="007D3871">
              <w:rPr>
                <w:sz w:val="20"/>
                <w:szCs w:val="20"/>
              </w:rPr>
              <w:br/>
            </w:r>
            <w:r w:rsidRPr="007D3871">
              <w:rPr>
                <w:sz w:val="20"/>
                <w:szCs w:val="20"/>
              </w:rPr>
              <w:br/>
              <w:t>To be accepted, responses need to be stated per activity, or once in a country strategy paper or a clear place on the website, if there is only one collaboration type for the whole organisation, e.g. “all aid is funded bilaterally”</w:t>
            </w:r>
            <w:r>
              <w:rPr>
                <w:sz w:val="20"/>
                <w:szCs w:val="20"/>
              </w:rPr>
              <w:t xml:space="preserve"> or “w</w:t>
            </w:r>
            <w:r w:rsidRPr="00A57DD7">
              <w:rPr>
                <w:sz w:val="20"/>
                <w:szCs w:val="20"/>
              </w:rPr>
              <w:t>e work exclusively with the private sector/non prof</w:t>
            </w:r>
            <w:r>
              <w:rPr>
                <w:sz w:val="20"/>
                <w:szCs w:val="20"/>
              </w:rPr>
              <w:t>its” or “all our activities are funded through</w:t>
            </w:r>
            <w:r w:rsidRPr="00A57DD7">
              <w:rPr>
                <w:sz w:val="20"/>
                <w:szCs w:val="20"/>
              </w:rPr>
              <w:t xml:space="preserve"> pooled funds”</w:t>
            </w:r>
            <w:r w:rsidRPr="007D3871">
              <w:rPr>
                <w:sz w:val="20"/>
                <w:szCs w:val="20"/>
              </w:rPr>
              <w:t>.</w:t>
            </w:r>
          </w:p>
        </w:tc>
        <w:tc>
          <w:tcPr>
            <w:tcW w:w="4394" w:type="dxa"/>
            <w:shd w:val="clear" w:color="auto" w:fill="FFFFFF" w:themeFill="background1"/>
          </w:tcPr>
          <w:p w14:paraId="64CA3C1C" w14:textId="77777777" w:rsidR="009C7D14" w:rsidRPr="007D3871" w:rsidRDefault="009C7D14" w:rsidP="003B57E4">
            <w:pPr>
              <w:spacing w:after="0" w:line="240" w:lineRule="auto"/>
              <w:rPr>
                <w:sz w:val="20"/>
                <w:szCs w:val="20"/>
              </w:rPr>
            </w:pPr>
          </w:p>
        </w:tc>
      </w:tr>
      <w:tr w:rsidR="009C7D14" w:rsidRPr="007D3871" w14:paraId="7E0BD86A" w14:textId="77777777" w:rsidTr="00AF7769">
        <w:trPr>
          <w:trHeight w:val="227"/>
        </w:trPr>
        <w:tc>
          <w:tcPr>
            <w:tcW w:w="1418" w:type="dxa"/>
            <w:vMerge/>
            <w:shd w:val="clear" w:color="auto" w:fill="FFFFFF" w:themeFill="background1"/>
            <w:hideMark/>
          </w:tcPr>
          <w:p w14:paraId="2DAE562B"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142C76A8"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Flow type</w:t>
            </w:r>
          </w:p>
        </w:tc>
        <w:tc>
          <w:tcPr>
            <w:tcW w:w="2126" w:type="dxa"/>
            <w:shd w:val="clear" w:color="auto" w:fill="FFFFFF" w:themeFill="background1"/>
          </w:tcPr>
          <w:p w14:paraId="08D0C601" w14:textId="77777777" w:rsidR="009C7D14" w:rsidRPr="007D3871" w:rsidRDefault="009C7D14" w:rsidP="003B57E4">
            <w:pPr>
              <w:spacing w:after="0" w:line="240" w:lineRule="auto"/>
              <w:rPr>
                <w:sz w:val="20"/>
                <w:szCs w:val="20"/>
              </w:rPr>
            </w:pPr>
            <w:r w:rsidRPr="007D3871">
              <w:rPr>
                <w:sz w:val="20"/>
                <w:szCs w:val="20"/>
              </w:rPr>
              <w:t xml:space="preserve">Does this organisation publish the “Flow Type”, i.e. whether the activity is categorised as Official Development Assistance (ODA), Other Official Flows (OOF), </w:t>
            </w:r>
            <w:r>
              <w:rPr>
                <w:sz w:val="20"/>
                <w:szCs w:val="20"/>
              </w:rPr>
              <w:t>private grants, private market flows, non-flows (e.g. GNI) or</w:t>
            </w:r>
            <w:r w:rsidRPr="007D3871">
              <w:rPr>
                <w:sz w:val="20"/>
                <w:szCs w:val="20"/>
              </w:rPr>
              <w:t xml:space="preserve"> any</w:t>
            </w:r>
            <w:r>
              <w:rPr>
                <w:sz w:val="20"/>
                <w:szCs w:val="20"/>
              </w:rPr>
              <w:t xml:space="preserve"> other flows</w:t>
            </w:r>
            <w:r w:rsidRPr="007D3871">
              <w:rPr>
                <w:sz w:val="20"/>
                <w:szCs w:val="20"/>
              </w:rPr>
              <w:t>?</w:t>
            </w:r>
          </w:p>
        </w:tc>
        <w:tc>
          <w:tcPr>
            <w:tcW w:w="4961" w:type="dxa"/>
            <w:shd w:val="clear" w:color="auto" w:fill="FFFFFF" w:themeFill="background1"/>
          </w:tcPr>
          <w:p w14:paraId="4C48C5F7" w14:textId="77777777" w:rsidR="009C7D14" w:rsidRPr="007D3871" w:rsidRDefault="009C7D14" w:rsidP="00E614F2">
            <w:pPr>
              <w:spacing w:after="0" w:line="240" w:lineRule="auto"/>
              <w:rPr>
                <w:sz w:val="20"/>
                <w:szCs w:val="20"/>
              </w:rPr>
            </w:pPr>
            <w:r w:rsidRPr="007D3871">
              <w:rPr>
                <w:sz w:val="20"/>
                <w:szCs w:val="20"/>
              </w:rPr>
              <w:t>The flow type shows whether the organisation states this activity counts as ODA, OOF, climate finance or any other type of flow. This has to be explicitly stated per activity, or once in a country strategy paper or a single place on the organisation’s website if there is only one flow type for all activities, e.g. “all aid is ODA”</w:t>
            </w:r>
            <w:r>
              <w:rPr>
                <w:sz w:val="20"/>
                <w:szCs w:val="20"/>
              </w:rPr>
              <w:t xml:space="preserve">, or </w:t>
            </w:r>
            <w:r w:rsidR="00E614F2">
              <w:rPr>
                <w:sz w:val="20"/>
                <w:szCs w:val="20"/>
              </w:rPr>
              <w:t>“we only provide private grants</w:t>
            </w:r>
            <w:r>
              <w:rPr>
                <w:sz w:val="20"/>
                <w:szCs w:val="20"/>
              </w:rPr>
              <w:t>”</w:t>
            </w:r>
            <w:r w:rsidR="000D5F0D">
              <w:rPr>
                <w:sz w:val="20"/>
                <w:szCs w:val="20"/>
              </w:rPr>
              <w:t>.</w:t>
            </w:r>
          </w:p>
        </w:tc>
        <w:tc>
          <w:tcPr>
            <w:tcW w:w="4394" w:type="dxa"/>
            <w:shd w:val="clear" w:color="auto" w:fill="FFFFFF" w:themeFill="background1"/>
          </w:tcPr>
          <w:p w14:paraId="1EDF7803" w14:textId="77777777" w:rsidR="009C7D14" w:rsidRPr="007D3871" w:rsidRDefault="009C7D14" w:rsidP="003B57E4">
            <w:pPr>
              <w:spacing w:after="0" w:line="240" w:lineRule="auto"/>
              <w:rPr>
                <w:sz w:val="20"/>
                <w:szCs w:val="20"/>
              </w:rPr>
            </w:pPr>
          </w:p>
        </w:tc>
      </w:tr>
      <w:tr w:rsidR="009C7D14" w:rsidRPr="007D3871" w14:paraId="3BE7662C" w14:textId="77777777" w:rsidTr="00AF7769">
        <w:trPr>
          <w:trHeight w:val="227"/>
        </w:trPr>
        <w:tc>
          <w:tcPr>
            <w:tcW w:w="1418" w:type="dxa"/>
            <w:vMerge/>
            <w:shd w:val="clear" w:color="auto" w:fill="FFFFFF" w:themeFill="background1"/>
            <w:hideMark/>
          </w:tcPr>
          <w:p w14:paraId="277A45BB"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18D1EE14"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Aid type</w:t>
            </w:r>
          </w:p>
        </w:tc>
        <w:tc>
          <w:tcPr>
            <w:tcW w:w="2126" w:type="dxa"/>
            <w:shd w:val="clear" w:color="auto" w:fill="FFFFFF" w:themeFill="background1"/>
          </w:tcPr>
          <w:p w14:paraId="48A73242" w14:textId="77777777" w:rsidR="009C7D14" w:rsidRPr="007D3871" w:rsidRDefault="009C7D14" w:rsidP="003B57E4">
            <w:pPr>
              <w:spacing w:after="0" w:line="240" w:lineRule="auto"/>
              <w:rPr>
                <w:sz w:val="20"/>
                <w:szCs w:val="20"/>
              </w:rPr>
            </w:pPr>
            <w:r w:rsidRPr="007D3871">
              <w:rPr>
                <w:sz w:val="20"/>
                <w:szCs w:val="20"/>
              </w:rPr>
              <w:t xml:space="preserve">Does this organisation publish the type of aid given (e.g. budget support, pooled funds, project-type interventions, experts, scholarships, debt relief, </w:t>
            </w:r>
            <w:r>
              <w:rPr>
                <w:sz w:val="20"/>
                <w:szCs w:val="20"/>
              </w:rPr>
              <w:t xml:space="preserve">or </w:t>
            </w:r>
            <w:r w:rsidRPr="007D3871">
              <w:rPr>
                <w:sz w:val="20"/>
                <w:szCs w:val="20"/>
              </w:rPr>
              <w:t>administrative costs)?</w:t>
            </w:r>
          </w:p>
        </w:tc>
        <w:tc>
          <w:tcPr>
            <w:tcW w:w="4961" w:type="dxa"/>
            <w:shd w:val="clear" w:color="auto" w:fill="FFFFFF" w:themeFill="background1"/>
          </w:tcPr>
          <w:p w14:paraId="513FE245" w14:textId="77777777" w:rsidR="009C7D14" w:rsidRPr="007D3871" w:rsidRDefault="009C7D14" w:rsidP="003B57E4">
            <w:pPr>
              <w:spacing w:after="0" w:line="240" w:lineRule="auto"/>
              <w:rPr>
                <w:sz w:val="20"/>
                <w:szCs w:val="20"/>
              </w:rPr>
            </w:pPr>
            <w:r w:rsidRPr="007D3871">
              <w:rPr>
                <w:sz w:val="20"/>
                <w:szCs w:val="20"/>
              </w:rPr>
              <w:t xml:space="preserve">The type of aid shows whether the activity is classed as budget support, a project, technical assistance, debt relief, administrative costs, and so on. This needs to be explicitly stated per activity, or once in a country strategy paper or on a clear place on the organisation’s website if there is only one aid type for the whole organisation, e.g. “all aid is project-type interventions”. </w:t>
            </w:r>
            <w:r w:rsidRPr="007D3871">
              <w:rPr>
                <w:sz w:val="20"/>
                <w:szCs w:val="20"/>
              </w:rPr>
              <w:br/>
            </w:r>
            <w:r w:rsidRPr="007D3871">
              <w:rPr>
                <w:sz w:val="20"/>
                <w:szCs w:val="20"/>
              </w:rPr>
              <w:br/>
            </w:r>
          </w:p>
        </w:tc>
        <w:tc>
          <w:tcPr>
            <w:tcW w:w="4394" w:type="dxa"/>
            <w:shd w:val="clear" w:color="auto" w:fill="FFFFFF" w:themeFill="background1"/>
          </w:tcPr>
          <w:p w14:paraId="1AD8582C" w14:textId="77777777" w:rsidR="009C7D14" w:rsidRPr="007D3871" w:rsidRDefault="009C7D14" w:rsidP="003B57E4">
            <w:pPr>
              <w:spacing w:after="0" w:line="240" w:lineRule="auto"/>
              <w:rPr>
                <w:sz w:val="20"/>
                <w:szCs w:val="20"/>
              </w:rPr>
            </w:pPr>
            <w:r w:rsidRPr="007D3871">
              <w:rPr>
                <w:sz w:val="20"/>
                <w:szCs w:val="20"/>
              </w:rPr>
              <w:t>The advisory services business line/type of intervention (investment climate, public-private partnership, etc</w:t>
            </w:r>
            <w:r>
              <w:rPr>
                <w:sz w:val="20"/>
                <w:szCs w:val="20"/>
              </w:rPr>
              <w:t>.</w:t>
            </w:r>
            <w:r w:rsidRPr="007D3871">
              <w:rPr>
                <w:sz w:val="20"/>
                <w:szCs w:val="20"/>
              </w:rPr>
              <w:t xml:space="preserve">), can be seen as broadly equivalent. </w:t>
            </w:r>
          </w:p>
          <w:p w14:paraId="78BB410F" w14:textId="77777777" w:rsidR="009C7D14" w:rsidRPr="007D3871" w:rsidRDefault="009C7D14" w:rsidP="003B57E4">
            <w:pPr>
              <w:spacing w:after="0" w:line="240" w:lineRule="auto"/>
              <w:rPr>
                <w:sz w:val="20"/>
                <w:szCs w:val="20"/>
              </w:rPr>
            </w:pPr>
          </w:p>
          <w:p w14:paraId="42BBDBAD" w14:textId="77777777" w:rsidR="009C7D14" w:rsidRPr="007D3871" w:rsidRDefault="009C7D14" w:rsidP="003B57E4">
            <w:pPr>
              <w:spacing w:after="0" w:line="240" w:lineRule="auto"/>
              <w:rPr>
                <w:sz w:val="20"/>
                <w:szCs w:val="20"/>
              </w:rPr>
            </w:pPr>
            <w:r w:rsidRPr="007D3871">
              <w:rPr>
                <w:sz w:val="20"/>
                <w:szCs w:val="20"/>
              </w:rPr>
              <w:t xml:space="preserve">Statements clarifying business line/intervention type published anywhere on the </w:t>
            </w:r>
            <w:r>
              <w:rPr>
                <w:sz w:val="20"/>
                <w:szCs w:val="20"/>
              </w:rPr>
              <w:t xml:space="preserve">organisation’s </w:t>
            </w:r>
            <w:r w:rsidRPr="007D3871">
              <w:rPr>
                <w:sz w:val="20"/>
                <w:szCs w:val="20"/>
              </w:rPr>
              <w:t>website count towards publishing aid type in the web format.</w:t>
            </w:r>
          </w:p>
        </w:tc>
      </w:tr>
      <w:tr w:rsidR="009C7D14" w:rsidRPr="007D3871" w14:paraId="5825F3D6" w14:textId="77777777" w:rsidTr="00AF7769">
        <w:trPr>
          <w:trHeight w:val="227"/>
        </w:trPr>
        <w:tc>
          <w:tcPr>
            <w:tcW w:w="1418" w:type="dxa"/>
            <w:vMerge/>
            <w:shd w:val="clear" w:color="auto" w:fill="FFFFFF" w:themeFill="background1"/>
            <w:hideMark/>
          </w:tcPr>
          <w:p w14:paraId="37477629"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4B8CC402"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Finance type</w:t>
            </w:r>
          </w:p>
        </w:tc>
        <w:tc>
          <w:tcPr>
            <w:tcW w:w="2126" w:type="dxa"/>
            <w:shd w:val="clear" w:color="auto" w:fill="FFFFFF" w:themeFill="background1"/>
          </w:tcPr>
          <w:p w14:paraId="724854A5" w14:textId="77777777" w:rsidR="009C7D14" w:rsidRPr="007D3871" w:rsidRDefault="009C7D14" w:rsidP="003B57E4">
            <w:pPr>
              <w:spacing w:after="0" w:line="240" w:lineRule="auto"/>
              <w:rPr>
                <w:sz w:val="20"/>
                <w:szCs w:val="20"/>
              </w:rPr>
            </w:pPr>
            <w:r w:rsidRPr="007D3871">
              <w:rPr>
                <w:sz w:val="20"/>
                <w:szCs w:val="20"/>
              </w:rPr>
              <w:t>Does this organisation publish the type of finance given (e.g. grant, loan, export credit, debt relief)?</w:t>
            </w:r>
          </w:p>
        </w:tc>
        <w:tc>
          <w:tcPr>
            <w:tcW w:w="4961" w:type="dxa"/>
            <w:shd w:val="clear" w:color="auto" w:fill="FFFFFF" w:themeFill="background1"/>
          </w:tcPr>
          <w:p w14:paraId="5BE42890" w14:textId="77777777" w:rsidR="009C7D14" w:rsidRPr="007D3871" w:rsidRDefault="009C7D14" w:rsidP="003B57E4">
            <w:pPr>
              <w:spacing w:after="0" w:line="240" w:lineRule="auto"/>
              <w:rPr>
                <w:sz w:val="20"/>
                <w:szCs w:val="20"/>
              </w:rPr>
            </w:pPr>
            <w:r w:rsidRPr="007D3871">
              <w:rPr>
                <w:sz w:val="20"/>
                <w:szCs w:val="20"/>
              </w:rPr>
              <w:t>The type of finance shows whether the activity is a grant, loan, export credit or debt relief. This needs to be explicitly stated per activity, or once in a country strategy paper or clearly on the organisation’s website if there is only one finance type for the whole organisation, e.g. “all aid is grants”.</w:t>
            </w:r>
          </w:p>
        </w:tc>
        <w:tc>
          <w:tcPr>
            <w:tcW w:w="4394" w:type="dxa"/>
            <w:shd w:val="clear" w:color="auto" w:fill="FFFFFF" w:themeFill="background1"/>
          </w:tcPr>
          <w:p w14:paraId="5AF5086F" w14:textId="77777777" w:rsidR="009C7D14" w:rsidRDefault="009C7D14" w:rsidP="003B57E4">
            <w:pPr>
              <w:spacing w:after="0" w:line="240" w:lineRule="auto"/>
              <w:rPr>
                <w:sz w:val="20"/>
                <w:szCs w:val="20"/>
              </w:rPr>
            </w:pPr>
            <w:r w:rsidRPr="007D3871">
              <w:rPr>
                <w:sz w:val="20"/>
                <w:szCs w:val="20"/>
              </w:rPr>
              <w:t>Investment type (loan, equity, etc.) can be interpreted as equivalent.</w:t>
            </w:r>
          </w:p>
          <w:p w14:paraId="0551684A" w14:textId="77777777" w:rsidR="009C7D14" w:rsidRPr="007D3871" w:rsidRDefault="009C7D14" w:rsidP="003B57E4">
            <w:pPr>
              <w:spacing w:after="0" w:line="240" w:lineRule="auto"/>
              <w:rPr>
                <w:sz w:val="20"/>
                <w:szCs w:val="20"/>
              </w:rPr>
            </w:pPr>
          </w:p>
          <w:p w14:paraId="1F1A89D2" w14:textId="77777777" w:rsidR="009C7D14" w:rsidRPr="007D3871" w:rsidRDefault="009C7D14" w:rsidP="003B57E4">
            <w:pPr>
              <w:spacing w:after="0" w:line="240" w:lineRule="auto"/>
              <w:rPr>
                <w:sz w:val="20"/>
                <w:szCs w:val="20"/>
              </w:rPr>
            </w:pPr>
            <w:r w:rsidRPr="007D3871">
              <w:rPr>
                <w:sz w:val="20"/>
                <w:szCs w:val="20"/>
              </w:rPr>
              <w:t>Statements clarifying investment type published anywhere on the website count towards publishing finance type in the web format.</w:t>
            </w:r>
          </w:p>
        </w:tc>
      </w:tr>
      <w:tr w:rsidR="009C7D14" w:rsidRPr="007D3871" w14:paraId="15DC1B56" w14:textId="77777777" w:rsidTr="00AF7769">
        <w:trPr>
          <w:trHeight w:val="227"/>
        </w:trPr>
        <w:tc>
          <w:tcPr>
            <w:tcW w:w="1418" w:type="dxa"/>
            <w:vMerge/>
            <w:shd w:val="clear" w:color="auto" w:fill="FFFFFF" w:themeFill="background1"/>
            <w:hideMark/>
          </w:tcPr>
          <w:p w14:paraId="43083B93"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2DE24048"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Sectors</w:t>
            </w:r>
          </w:p>
        </w:tc>
        <w:tc>
          <w:tcPr>
            <w:tcW w:w="2126" w:type="dxa"/>
            <w:shd w:val="clear" w:color="auto" w:fill="FFFFFF" w:themeFill="background1"/>
          </w:tcPr>
          <w:p w14:paraId="5BC8E7BE" w14:textId="77777777" w:rsidR="009C7D14" w:rsidRPr="007D3871" w:rsidRDefault="009C7D14" w:rsidP="003B57E4">
            <w:pPr>
              <w:spacing w:after="0" w:line="240" w:lineRule="auto"/>
              <w:rPr>
                <w:sz w:val="20"/>
                <w:szCs w:val="20"/>
              </w:rPr>
            </w:pPr>
            <w:r w:rsidRPr="007D3871">
              <w:rPr>
                <w:sz w:val="20"/>
                <w:szCs w:val="20"/>
              </w:rPr>
              <w:t>Does this organisation publish the specific areas or “sectors” of the recipient’s economic or social development that the activity intends to foster, e.g. education, health and infrastructure?</w:t>
            </w:r>
          </w:p>
        </w:tc>
        <w:tc>
          <w:tcPr>
            <w:tcW w:w="4961" w:type="dxa"/>
            <w:shd w:val="clear" w:color="auto" w:fill="FFFFFF" w:themeFill="background1"/>
          </w:tcPr>
          <w:p w14:paraId="456F38D8" w14:textId="77777777" w:rsidR="009C7D14" w:rsidRPr="007D3871" w:rsidRDefault="009C7D14" w:rsidP="003B57E4">
            <w:pPr>
              <w:spacing w:after="0" w:line="240" w:lineRule="auto"/>
              <w:rPr>
                <w:sz w:val="20"/>
                <w:szCs w:val="20"/>
              </w:rPr>
            </w:pPr>
            <w:r w:rsidRPr="007D3871">
              <w:rPr>
                <w:sz w:val="20"/>
                <w:szCs w:val="20"/>
              </w:rPr>
              <w:t>The sectors of the activity explain whether this is, for example, a health or education project. It does not count if it is just mentioned incidentally within the title, description, etc. It needs to be stated separately and explicitly.</w:t>
            </w:r>
          </w:p>
          <w:p w14:paraId="56E4819F" w14:textId="77777777" w:rsidR="009C7D14" w:rsidRPr="007D3871" w:rsidRDefault="009C7D14" w:rsidP="003B57E4">
            <w:pPr>
              <w:spacing w:after="0" w:line="240" w:lineRule="auto"/>
              <w:rPr>
                <w:color w:val="FF0000"/>
                <w:sz w:val="20"/>
                <w:szCs w:val="20"/>
              </w:rPr>
            </w:pPr>
          </w:p>
        </w:tc>
        <w:tc>
          <w:tcPr>
            <w:tcW w:w="4394" w:type="dxa"/>
            <w:shd w:val="clear" w:color="auto" w:fill="FFFFFF" w:themeFill="background1"/>
          </w:tcPr>
          <w:p w14:paraId="174D91B9" w14:textId="77777777" w:rsidR="009C7D14" w:rsidRPr="007D3871" w:rsidRDefault="009C7D14" w:rsidP="003B57E4">
            <w:pPr>
              <w:spacing w:after="0" w:line="240" w:lineRule="auto"/>
              <w:rPr>
                <w:sz w:val="20"/>
                <w:szCs w:val="20"/>
              </w:rPr>
            </w:pPr>
            <w:r>
              <w:rPr>
                <w:sz w:val="20"/>
                <w:szCs w:val="20"/>
              </w:rPr>
              <w:t>If projects are presented by sector on an organisation’s website, it must be clearly stated whether the organisation works only in those sectors that are listed.</w:t>
            </w:r>
          </w:p>
        </w:tc>
      </w:tr>
      <w:tr w:rsidR="009C7D14" w:rsidRPr="007D3871" w14:paraId="19F5530A" w14:textId="77777777" w:rsidTr="00AF7769">
        <w:trPr>
          <w:trHeight w:val="227"/>
        </w:trPr>
        <w:tc>
          <w:tcPr>
            <w:tcW w:w="1418" w:type="dxa"/>
            <w:vMerge/>
            <w:shd w:val="clear" w:color="auto" w:fill="FFFFFF" w:themeFill="background1"/>
            <w:hideMark/>
          </w:tcPr>
          <w:p w14:paraId="38115D67"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0D3903E0"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Sub-national location</w:t>
            </w:r>
          </w:p>
        </w:tc>
        <w:tc>
          <w:tcPr>
            <w:tcW w:w="2126" w:type="dxa"/>
            <w:shd w:val="clear" w:color="auto" w:fill="FFFFFF" w:themeFill="background1"/>
          </w:tcPr>
          <w:p w14:paraId="5F56587A" w14:textId="77777777" w:rsidR="009C7D14" w:rsidRPr="007D3871" w:rsidRDefault="009C7D14" w:rsidP="003B57E4">
            <w:pPr>
              <w:spacing w:after="0" w:line="240" w:lineRule="auto"/>
              <w:rPr>
                <w:sz w:val="20"/>
                <w:szCs w:val="20"/>
              </w:rPr>
            </w:pPr>
            <w:r w:rsidRPr="007D3871">
              <w:rPr>
                <w:sz w:val="20"/>
                <w:szCs w:val="20"/>
              </w:rPr>
              <w:t>Does this organisation publish the sub-national geographic location for this activity?</w:t>
            </w:r>
          </w:p>
        </w:tc>
        <w:tc>
          <w:tcPr>
            <w:tcW w:w="4961" w:type="dxa"/>
            <w:shd w:val="clear" w:color="auto" w:fill="FFFFFF" w:themeFill="background1"/>
          </w:tcPr>
          <w:p w14:paraId="0E8D31B1" w14:textId="77777777" w:rsidR="009C7D14" w:rsidRDefault="009C7D14" w:rsidP="003B57E4">
            <w:pPr>
              <w:spacing w:after="0" w:line="240" w:lineRule="auto"/>
              <w:rPr>
                <w:sz w:val="20"/>
                <w:szCs w:val="20"/>
              </w:rPr>
            </w:pPr>
            <w:r w:rsidRPr="007D3871">
              <w:rPr>
                <w:sz w:val="20"/>
                <w:szCs w:val="20"/>
              </w:rPr>
              <w:t>The sub-national geographic location is information about where the activity is located within a country. This may be a province or city, or it could be geo-coded (whereby the precise longitude and latitude is published). It needs to be stated separately and explicitly.</w:t>
            </w:r>
          </w:p>
          <w:p w14:paraId="59B7FFF5" w14:textId="77777777" w:rsidR="009C7D14" w:rsidRDefault="009C7D14" w:rsidP="003B57E4">
            <w:pPr>
              <w:spacing w:after="0" w:line="240" w:lineRule="auto"/>
              <w:rPr>
                <w:sz w:val="20"/>
                <w:szCs w:val="20"/>
              </w:rPr>
            </w:pPr>
          </w:p>
          <w:p w14:paraId="02E33DBD" w14:textId="77777777" w:rsidR="009C7D14" w:rsidRPr="007D3871" w:rsidRDefault="009C7D14" w:rsidP="003B57E4">
            <w:pPr>
              <w:spacing w:after="0" w:line="240" w:lineRule="auto"/>
              <w:rPr>
                <w:sz w:val="20"/>
                <w:szCs w:val="20"/>
              </w:rPr>
            </w:pPr>
            <w:r>
              <w:rPr>
                <w:sz w:val="20"/>
                <w:szCs w:val="20"/>
              </w:rPr>
              <w:t>The IATI reference for this indicator is: Location</w:t>
            </w:r>
            <w:r w:rsidR="000D5F0D">
              <w:rPr>
                <w:sz w:val="20"/>
                <w:szCs w:val="20"/>
              </w:rPr>
              <w:t>.</w:t>
            </w:r>
          </w:p>
        </w:tc>
        <w:tc>
          <w:tcPr>
            <w:tcW w:w="4394" w:type="dxa"/>
            <w:shd w:val="clear" w:color="auto" w:fill="FFFFFF" w:themeFill="background1"/>
          </w:tcPr>
          <w:p w14:paraId="62C42611" w14:textId="77777777" w:rsidR="009C7D14" w:rsidRPr="007D3871" w:rsidRDefault="009C7D14" w:rsidP="00D7254E">
            <w:pPr>
              <w:spacing w:after="0" w:line="240" w:lineRule="auto"/>
              <w:rPr>
                <w:sz w:val="20"/>
                <w:szCs w:val="20"/>
              </w:rPr>
            </w:pPr>
            <w:r w:rsidRPr="007D3871">
              <w:rPr>
                <w:sz w:val="20"/>
                <w:szCs w:val="20"/>
              </w:rPr>
              <w:t xml:space="preserve">For activities that are relevant at a country or regional level, information on the location where the funds are sent to </w:t>
            </w:r>
            <w:r>
              <w:rPr>
                <w:sz w:val="20"/>
                <w:szCs w:val="20"/>
              </w:rPr>
              <w:t xml:space="preserve">or where the recipient is located </w:t>
            </w:r>
            <w:r w:rsidR="00D7254E">
              <w:rPr>
                <w:sz w:val="20"/>
                <w:szCs w:val="20"/>
              </w:rPr>
              <w:t xml:space="preserve">are </w:t>
            </w:r>
            <w:r w:rsidRPr="007D3871">
              <w:rPr>
                <w:sz w:val="20"/>
                <w:szCs w:val="20"/>
              </w:rPr>
              <w:t xml:space="preserve">accepted for this indicator. For example, capital city for a country, or location information of the implementing organisation. </w:t>
            </w:r>
            <w:r w:rsidRPr="00635488">
              <w:rPr>
                <w:sz w:val="20"/>
                <w:szCs w:val="20"/>
              </w:rPr>
              <w:t>This includes private sector investment, loans or debt relief payments, where the location of the relevant bank or organisation is accepted.</w:t>
            </w:r>
          </w:p>
        </w:tc>
      </w:tr>
      <w:tr w:rsidR="009C7D14" w:rsidRPr="007D3871" w14:paraId="77C9ACF8" w14:textId="77777777" w:rsidTr="00AF7769">
        <w:trPr>
          <w:trHeight w:val="227"/>
        </w:trPr>
        <w:tc>
          <w:tcPr>
            <w:tcW w:w="1418" w:type="dxa"/>
            <w:vMerge/>
            <w:shd w:val="clear" w:color="auto" w:fill="FFFFFF" w:themeFill="background1"/>
            <w:hideMark/>
          </w:tcPr>
          <w:p w14:paraId="737F7096"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7B0F0F0B"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Tied aid status</w:t>
            </w:r>
          </w:p>
        </w:tc>
        <w:tc>
          <w:tcPr>
            <w:tcW w:w="2126" w:type="dxa"/>
            <w:shd w:val="clear" w:color="auto" w:fill="FFFFFF" w:themeFill="background1"/>
          </w:tcPr>
          <w:p w14:paraId="0BC11036" w14:textId="77777777" w:rsidR="009C7D14" w:rsidRPr="007D3871" w:rsidRDefault="009C7D14" w:rsidP="003B57E4">
            <w:pPr>
              <w:spacing w:after="0" w:line="240" w:lineRule="auto"/>
              <w:rPr>
                <w:sz w:val="20"/>
                <w:szCs w:val="20"/>
              </w:rPr>
            </w:pPr>
            <w:r w:rsidRPr="007D3871">
              <w:rPr>
                <w:sz w:val="20"/>
                <w:szCs w:val="20"/>
              </w:rPr>
              <w:t>Does this organisation publish whether the aid is tied or not?</w:t>
            </w:r>
          </w:p>
        </w:tc>
        <w:tc>
          <w:tcPr>
            <w:tcW w:w="4961" w:type="dxa"/>
            <w:shd w:val="clear" w:color="auto" w:fill="FFFFFF" w:themeFill="background1"/>
          </w:tcPr>
          <w:p w14:paraId="08979ACC" w14:textId="77777777" w:rsidR="009C7D14" w:rsidRPr="007D3871" w:rsidRDefault="009C7D14" w:rsidP="003B57E4">
            <w:pPr>
              <w:spacing w:after="0" w:line="240" w:lineRule="auto"/>
              <w:rPr>
                <w:sz w:val="20"/>
                <w:szCs w:val="20"/>
              </w:rPr>
            </w:pPr>
            <w:r w:rsidRPr="007D3871">
              <w:rPr>
                <w:sz w:val="20"/>
                <w:szCs w:val="20"/>
              </w:rPr>
              <w:t xml:space="preserve">The tied aid status shows whether the organisation states that this activity counts as “tied” (procurement is restricted to the donor organisation country) or “untied” (open procurement). </w:t>
            </w:r>
          </w:p>
          <w:p w14:paraId="3B1A39E9" w14:textId="77777777" w:rsidR="009C7D14" w:rsidRPr="007D3871" w:rsidRDefault="009C7D14" w:rsidP="003B57E4">
            <w:pPr>
              <w:spacing w:after="0" w:line="240" w:lineRule="auto"/>
              <w:rPr>
                <w:sz w:val="20"/>
                <w:szCs w:val="20"/>
              </w:rPr>
            </w:pPr>
          </w:p>
          <w:p w14:paraId="782C6327" w14:textId="77777777" w:rsidR="009C7D14" w:rsidRDefault="009C7D14" w:rsidP="003B57E4">
            <w:pPr>
              <w:spacing w:after="0" w:line="240" w:lineRule="auto"/>
              <w:rPr>
                <w:sz w:val="20"/>
                <w:szCs w:val="20"/>
              </w:rPr>
            </w:pPr>
            <w:r w:rsidRPr="007D3871">
              <w:rPr>
                <w:sz w:val="20"/>
                <w:szCs w:val="20"/>
              </w:rPr>
              <w:t>Specifying location requirements in activity documents such as procurement policies or tenders is accepted as publishing tied aid status.</w:t>
            </w:r>
          </w:p>
          <w:p w14:paraId="59E4C242" w14:textId="77777777" w:rsidR="009C7D14" w:rsidRDefault="009C7D14" w:rsidP="003B57E4">
            <w:pPr>
              <w:spacing w:after="0" w:line="240" w:lineRule="auto"/>
              <w:rPr>
                <w:sz w:val="20"/>
                <w:szCs w:val="20"/>
              </w:rPr>
            </w:pPr>
          </w:p>
          <w:p w14:paraId="37FD37D1" w14:textId="77777777" w:rsidR="009C7D14" w:rsidRPr="007D3871" w:rsidRDefault="009C7D14" w:rsidP="003B57E4">
            <w:pPr>
              <w:spacing w:after="0" w:line="240" w:lineRule="auto"/>
              <w:rPr>
                <w:sz w:val="20"/>
                <w:szCs w:val="20"/>
              </w:rPr>
            </w:pPr>
            <w:r>
              <w:rPr>
                <w:sz w:val="20"/>
                <w:szCs w:val="20"/>
              </w:rPr>
              <w:t>The IATI reference for this indicator is: Default tied status.</w:t>
            </w:r>
          </w:p>
        </w:tc>
        <w:tc>
          <w:tcPr>
            <w:tcW w:w="4394" w:type="dxa"/>
            <w:shd w:val="clear" w:color="auto" w:fill="FFFFFF" w:themeFill="background1"/>
          </w:tcPr>
          <w:p w14:paraId="08531E9A" w14:textId="77777777" w:rsidR="009C7D14" w:rsidRPr="007D3871" w:rsidRDefault="009C7D14" w:rsidP="003B57E4">
            <w:pPr>
              <w:spacing w:after="0" w:line="240" w:lineRule="auto"/>
              <w:rPr>
                <w:sz w:val="20"/>
                <w:szCs w:val="20"/>
              </w:rPr>
            </w:pPr>
            <w:r w:rsidRPr="007D3871">
              <w:rPr>
                <w:sz w:val="20"/>
                <w:szCs w:val="20"/>
              </w:rPr>
              <w:t xml:space="preserve">For </w:t>
            </w:r>
            <w:r>
              <w:rPr>
                <w:sz w:val="20"/>
                <w:szCs w:val="20"/>
              </w:rPr>
              <w:t xml:space="preserve">organisations’ lending directly to </w:t>
            </w:r>
            <w:r w:rsidRPr="007D3871">
              <w:rPr>
                <w:sz w:val="20"/>
                <w:szCs w:val="20"/>
              </w:rPr>
              <w:t>national investment agencies, an explicit statement demonstrating their aid is not tied is required. For IFIs and DFIs, investment codes</w:t>
            </w:r>
            <w:r>
              <w:rPr>
                <w:sz w:val="20"/>
                <w:szCs w:val="20"/>
              </w:rPr>
              <w:t xml:space="preserve"> </w:t>
            </w:r>
            <w:r w:rsidRPr="007D3871">
              <w:rPr>
                <w:sz w:val="20"/>
                <w:szCs w:val="20"/>
              </w:rPr>
              <w:t>clarifying their position are accepted</w:t>
            </w:r>
            <w:r>
              <w:rPr>
                <w:sz w:val="20"/>
                <w:szCs w:val="20"/>
              </w:rPr>
              <w:t>. For private foundations, grant-making policies are accepted.</w:t>
            </w:r>
            <w:r w:rsidRPr="007D3871">
              <w:rPr>
                <w:sz w:val="20"/>
                <w:szCs w:val="20"/>
              </w:rPr>
              <w:t xml:space="preserve"> </w:t>
            </w:r>
            <w:r>
              <w:rPr>
                <w:sz w:val="20"/>
                <w:szCs w:val="20"/>
              </w:rPr>
              <w:t>If these are not available, the organisation’s procurement policy must clearly state</w:t>
            </w:r>
            <w:r w:rsidRPr="007D3871">
              <w:rPr>
                <w:sz w:val="20"/>
                <w:szCs w:val="20"/>
              </w:rPr>
              <w:t xml:space="preserve"> if there are any eligibility requirements for contracts based on country of origin</w:t>
            </w:r>
            <w:r>
              <w:rPr>
                <w:sz w:val="20"/>
                <w:szCs w:val="20"/>
              </w:rPr>
              <w:t>.</w:t>
            </w:r>
          </w:p>
        </w:tc>
      </w:tr>
      <w:tr w:rsidR="009C7D14" w:rsidRPr="007D3871" w14:paraId="29A1ADCE" w14:textId="77777777" w:rsidTr="00AF7769">
        <w:trPr>
          <w:trHeight w:val="227"/>
        </w:trPr>
        <w:tc>
          <w:tcPr>
            <w:tcW w:w="1418" w:type="dxa"/>
            <w:vMerge w:val="restart"/>
            <w:shd w:val="clear" w:color="auto" w:fill="FFFFFF" w:themeFill="background1"/>
            <w:hideMark/>
          </w:tcPr>
          <w:p w14:paraId="0EFD9AAF" w14:textId="77777777" w:rsidR="009C7D14" w:rsidRPr="007D3871" w:rsidRDefault="009C7D14" w:rsidP="003B57E4">
            <w:pPr>
              <w:spacing w:after="0" w:line="240" w:lineRule="auto"/>
              <w:rPr>
                <w:sz w:val="20"/>
                <w:szCs w:val="20"/>
              </w:rPr>
            </w:pPr>
            <w:r w:rsidRPr="007D3871">
              <w:rPr>
                <w:sz w:val="20"/>
                <w:szCs w:val="20"/>
              </w:rPr>
              <w:t>Related documents</w:t>
            </w:r>
          </w:p>
        </w:tc>
        <w:tc>
          <w:tcPr>
            <w:tcW w:w="1843" w:type="dxa"/>
            <w:shd w:val="clear" w:color="auto" w:fill="FFFFFF" w:themeFill="background1"/>
            <w:noWrap/>
            <w:hideMark/>
          </w:tcPr>
          <w:p w14:paraId="3223F754"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color w:val="000000"/>
                <w:sz w:val="20"/>
                <w:szCs w:val="20"/>
              </w:rPr>
              <w:t>Memorandum of Understanding</w:t>
            </w:r>
          </w:p>
        </w:tc>
        <w:tc>
          <w:tcPr>
            <w:tcW w:w="2126" w:type="dxa"/>
            <w:shd w:val="clear" w:color="auto" w:fill="FFFFFF" w:themeFill="background1"/>
          </w:tcPr>
          <w:p w14:paraId="28D41D7F" w14:textId="77777777" w:rsidR="009C7D14" w:rsidRPr="007D3871" w:rsidRDefault="009C7D14" w:rsidP="003B57E4">
            <w:pPr>
              <w:spacing w:after="0" w:line="240" w:lineRule="auto"/>
              <w:rPr>
                <w:sz w:val="20"/>
                <w:szCs w:val="20"/>
              </w:rPr>
            </w:pPr>
            <w:r w:rsidRPr="007D3871">
              <w:rPr>
                <w:sz w:val="20"/>
                <w:szCs w:val="20"/>
              </w:rPr>
              <w:t>Is the Memorandum of Understanding published?</w:t>
            </w:r>
          </w:p>
        </w:tc>
        <w:tc>
          <w:tcPr>
            <w:tcW w:w="4961" w:type="dxa"/>
            <w:shd w:val="clear" w:color="auto" w:fill="FFFFFF" w:themeFill="background1"/>
          </w:tcPr>
          <w:p w14:paraId="6C7C4BA7" w14:textId="77777777" w:rsidR="009C7D14" w:rsidRDefault="009C7D14" w:rsidP="003B57E4">
            <w:pPr>
              <w:spacing w:after="0" w:line="240" w:lineRule="auto"/>
              <w:rPr>
                <w:sz w:val="20"/>
                <w:szCs w:val="20"/>
              </w:rPr>
            </w:pPr>
            <w:r w:rsidRPr="007D3871">
              <w:rPr>
                <w:sz w:val="20"/>
                <w:szCs w:val="20"/>
              </w:rPr>
              <w:t>A Memorandum of Understanding (MoU) is a document which details the agreement usually between the organisation and recipient government for the provision of aid in the country.</w:t>
            </w:r>
            <w:r w:rsidRPr="007D3871">
              <w:rPr>
                <w:sz w:val="20"/>
                <w:szCs w:val="20"/>
              </w:rPr>
              <w:br/>
            </w:r>
          </w:p>
          <w:p w14:paraId="776F408C" w14:textId="77777777" w:rsidR="009C7D14" w:rsidRPr="007D3871" w:rsidRDefault="009C7D14" w:rsidP="003B57E4">
            <w:pPr>
              <w:spacing w:after="0" w:line="240" w:lineRule="auto"/>
              <w:rPr>
                <w:sz w:val="20"/>
                <w:szCs w:val="20"/>
              </w:rPr>
            </w:pPr>
            <w:r>
              <w:rPr>
                <w:sz w:val="20"/>
                <w:szCs w:val="20"/>
              </w:rPr>
              <w:t>The IATI reference for this indicator is: Memorandum of understanding (document code = A09).</w:t>
            </w:r>
          </w:p>
        </w:tc>
        <w:tc>
          <w:tcPr>
            <w:tcW w:w="4394" w:type="dxa"/>
            <w:shd w:val="clear" w:color="auto" w:fill="FFFFFF" w:themeFill="background1"/>
          </w:tcPr>
          <w:p w14:paraId="020C36DF" w14:textId="77777777" w:rsidR="009C7D14" w:rsidRPr="007D3871" w:rsidRDefault="009C7D14" w:rsidP="003B57E4">
            <w:pPr>
              <w:spacing w:after="0" w:line="240" w:lineRule="auto"/>
              <w:rPr>
                <w:sz w:val="20"/>
                <w:szCs w:val="20"/>
              </w:rPr>
            </w:pPr>
            <w:r w:rsidRPr="007D3871">
              <w:rPr>
                <w:sz w:val="20"/>
                <w:szCs w:val="20"/>
              </w:rPr>
              <w:t xml:space="preserve">Some </w:t>
            </w:r>
            <w:r>
              <w:rPr>
                <w:sz w:val="20"/>
                <w:szCs w:val="20"/>
              </w:rPr>
              <w:t>organisations</w:t>
            </w:r>
            <w:r w:rsidRPr="007D3871">
              <w:rPr>
                <w:sz w:val="20"/>
                <w:szCs w:val="20"/>
              </w:rPr>
              <w:t xml:space="preserve"> do not sign MoUs, so jointly developed documents governing the relationship between the organisation and the recipient are accepted as equivalent, e.g. investment codes</w:t>
            </w:r>
            <w:r>
              <w:rPr>
                <w:sz w:val="20"/>
                <w:szCs w:val="20"/>
              </w:rPr>
              <w:t xml:space="preserve"> or</w:t>
            </w:r>
            <w:r w:rsidRPr="007D3871">
              <w:rPr>
                <w:sz w:val="20"/>
                <w:szCs w:val="20"/>
              </w:rPr>
              <w:t xml:space="preserve"> partnership</w:t>
            </w:r>
            <w:r>
              <w:rPr>
                <w:sz w:val="20"/>
                <w:szCs w:val="20"/>
              </w:rPr>
              <w:t>/country</w:t>
            </w:r>
            <w:r w:rsidRPr="007D3871">
              <w:rPr>
                <w:sz w:val="20"/>
                <w:szCs w:val="20"/>
              </w:rPr>
              <w:t xml:space="preserve"> agreements</w:t>
            </w:r>
            <w:r>
              <w:rPr>
                <w:sz w:val="20"/>
                <w:szCs w:val="20"/>
              </w:rPr>
              <w:t xml:space="preserve"> that have been</w:t>
            </w:r>
            <w:r w:rsidRPr="007D3871">
              <w:rPr>
                <w:sz w:val="20"/>
                <w:szCs w:val="20"/>
              </w:rPr>
              <w:t xml:space="preserve"> developed in conjunction with recipient governments</w:t>
            </w:r>
            <w:r w:rsidR="00FB6702">
              <w:rPr>
                <w:sz w:val="20"/>
                <w:szCs w:val="20"/>
              </w:rPr>
              <w:t>, agreements with implementing partners or with grantees.</w:t>
            </w:r>
          </w:p>
        </w:tc>
      </w:tr>
      <w:tr w:rsidR="009C7D14" w:rsidRPr="007D3871" w14:paraId="2DC1F004" w14:textId="77777777" w:rsidTr="00AF7769">
        <w:trPr>
          <w:trHeight w:val="227"/>
        </w:trPr>
        <w:tc>
          <w:tcPr>
            <w:tcW w:w="1418" w:type="dxa"/>
            <w:vMerge/>
            <w:shd w:val="clear" w:color="auto" w:fill="FFFFFF" w:themeFill="background1"/>
            <w:hideMark/>
          </w:tcPr>
          <w:p w14:paraId="3A95726F"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1253D874"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Evaluations</w:t>
            </w:r>
          </w:p>
        </w:tc>
        <w:tc>
          <w:tcPr>
            <w:tcW w:w="2126" w:type="dxa"/>
            <w:shd w:val="clear" w:color="auto" w:fill="FFFFFF" w:themeFill="background1"/>
          </w:tcPr>
          <w:p w14:paraId="35A3A299" w14:textId="77777777" w:rsidR="009C7D14" w:rsidRPr="007D3871" w:rsidRDefault="009C7D14" w:rsidP="003B57E4">
            <w:pPr>
              <w:spacing w:after="0" w:line="240" w:lineRule="auto"/>
              <w:rPr>
                <w:sz w:val="20"/>
                <w:szCs w:val="20"/>
              </w:rPr>
            </w:pPr>
            <w:r w:rsidRPr="007D3871">
              <w:rPr>
                <w:sz w:val="20"/>
                <w:szCs w:val="20"/>
              </w:rPr>
              <w:t>Are evaluation documents published for all completed activities in this recipient country?</w:t>
            </w:r>
          </w:p>
        </w:tc>
        <w:tc>
          <w:tcPr>
            <w:tcW w:w="4961" w:type="dxa"/>
            <w:shd w:val="clear" w:color="auto" w:fill="FFFFFF" w:themeFill="background1"/>
          </w:tcPr>
          <w:p w14:paraId="61A193DB" w14:textId="77777777" w:rsidR="009C7D14" w:rsidRPr="007D3871" w:rsidRDefault="009C7D14" w:rsidP="003B57E4">
            <w:pPr>
              <w:spacing w:after="0" w:line="240" w:lineRule="auto"/>
              <w:rPr>
                <w:sz w:val="20"/>
                <w:szCs w:val="20"/>
              </w:rPr>
            </w:pPr>
            <w:r w:rsidRPr="007D3871">
              <w:rPr>
                <w:sz w:val="20"/>
                <w:szCs w:val="20"/>
              </w:rPr>
              <w:t>Evaluation documents consider what the activity achieved, whether the intended objectives were met, what the major factors influencing the achievement or non-achievement of the objectives were and an assessment of the impact, effect and value of the activity. This information may be on a specific evaluation section of the organisation’s website.</w:t>
            </w:r>
          </w:p>
          <w:p w14:paraId="0EB23551" w14:textId="77777777" w:rsidR="009C7D14" w:rsidRPr="007D3871" w:rsidRDefault="009C7D14" w:rsidP="003B57E4">
            <w:pPr>
              <w:spacing w:after="0" w:line="240" w:lineRule="auto"/>
              <w:rPr>
                <w:sz w:val="20"/>
                <w:szCs w:val="20"/>
              </w:rPr>
            </w:pPr>
          </w:p>
          <w:p w14:paraId="65B42875" w14:textId="77777777" w:rsidR="009C7D14" w:rsidRDefault="009C7D14" w:rsidP="003B57E4">
            <w:pPr>
              <w:spacing w:after="0" w:line="240" w:lineRule="auto"/>
              <w:rPr>
                <w:sz w:val="20"/>
                <w:szCs w:val="20"/>
              </w:rPr>
            </w:pPr>
            <w:r w:rsidRPr="007D3871">
              <w:rPr>
                <w:sz w:val="20"/>
                <w:szCs w:val="20"/>
              </w:rPr>
              <w:t>If the activity under assessment is not completed but evaluation documents are available for other completed activities, the organisation can score for this indicator.</w:t>
            </w:r>
          </w:p>
          <w:p w14:paraId="4B810E02" w14:textId="77777777" w:rsidR="009C7D14" w:rsidRDefault="009C7D14" w:rsidP="003B57E4">
            <w:pPr>
              <w:spacing w:after="0" w:line="240" w:lineRule="auto"/>
              <w:rPr>
                <w:sz w:val="20"/>
                <w:szCs w:val="20"/>
              </w:rPr>
            </w:pPr>
          </w:p>
          <w:p w14:paraId="31034615" w14:textId="77777777" w:rsidR="009C7D14" w:rsidRPr="007D3871" w:rsidRDefault="009C7D14" w:rsidP="003B57E4">
            <w:pPr>
              <w:spacing w:after="0" w:line="240" w:lineRule="auto"/>
              <w:rPr>
                <w:sz w:val="20"/>
                <w:szCs w:val="20"/>
              </w:rPr>
            </w:pPr>
            <w:r>
              <w:rPr>
                <w:sz w:val="20"/>
                <w:szCs w:val="20"/>
              </w:rPr>
              <w:t>The IATI reference for this indicator is: Review of project performance and evaluation (document code = A07)</w:t>
            </w:r>
            <w:r w:rsidR="000D5F0D">
              <w:rPr>
                <w:sz w:val="20"/>
                <w:szCs w:val="20"/>
              </w:rPr>
              <w:t>.</w:t>
            </w:r>
          </w:p>
        </w:tc>
        <w:tc>
          <w:tcPr>
            <w:tcW w:w="4394" w:type="dxa"/>
            <w:shd w:val="clear" w:color="auto" w:fill="FFFFFF" w:themeFill="background1"/>
          </w:tcPr>
          <w:p w14:paraId="65A467EC" w14:textId="77777777" w:rsidR="009C7D14" w:rsidRPr="007D3871" w:rsidRDefault="009C7D14" w:rsidP="003B57E4">
            <w:pPr>
              <w:spacing w:after="0" w:line="240" w:lineRule="auto"/>
              <w:rPr>
                <w:sz w:val="20"/>
                <w:szCs w:val="20"/>
              </w:rPr>
            </w:pPr>
            <w:r w:rsidRPr="007D3871">
              <w:rPr>
                <w:sz w:val="20"/>
                <w:szCs w:val="20"/>
              </w:rPr>
              <w:t xml:space="preserve">Not all organisations carry out evaluations for all of their activities. Organisations can score on this indicator as long as they publish evaluations within their regular evaluation cycles, i.e. the organisation publishes country evaluations every three years, the most recent documents within this time frame are accepted. </w:t>
            </w:r>
          </w:p>
          <w:p w14:paraId="6F33AFD5" w14:textId="77777777" w:rsidR="009C7D14" w:rsidRPr="007D3871" w:rsidRDefault="009C7D14" w:rsidP="003B57E4">
            <w:pPr>
              <w:spacing w:after="0" w:line="240" w:lineRule="auto"/>
              <w:rPr>
                <w:sz w:val="20"/>
                <w:szCs w:val="20"/>
              </w:rPr>
            </w:pPr>
          </w:p>
          <w:p w14:paraId="2CED7C2F" w14:textId="77777777" w:rsidR="009C7D14" w:rsidRPr="007D3871" w:rsidRDefault="009C7D14" w:rsidP="003B57E4">
            <w:pPr>
              <w:spacing w:after="0" w:line="240" w:lineRule="auto"/>
              <w:rPr>
                <w:sz w:val="20"/>
                <w:szCs w:val="20"/>
              </w:rPr>
            </w:pPr>
          </w:p>
        </w:tc>
      </w:tr>
      <w:tr w:rsidR="009C7D14" w:rsidRPr="007D3871" w14:paraId="4B4AD1E2" w14:textId="77777777" w:rsidTr="00AF7769">
        <w:trPr>
          <w:trHeight w:val="227"/>
        </w:trPr>
        <w:tc>
          <w:tcPr>
            <w:tcW w:w="1418" w:type="dxa"/>
            <w:vMerge/>
            <w:shd w:val="clear" w:color="auto" w:fill="FFFFFF" w:themeFill="background1"/>
            <w:hideMark/>
          </w:tcPr>
          <w:p w14:paraId="0421943C"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17407FEA"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Objectives</w:t>
            </w:r>
          </w:p>
        </w:tc>
        <w:tc>
          <w:tcPr>
            <w:tcW w:w="2126" w:type="dxa"/>
            <w:shd w:val="clear" w:color="auto" w:fill="FFFFFF" w:themeFill="background1"/>
          </w:tcPr>
          <w:p w14:paraId="2077FDBD" w14:textId="77777777" w:rsidR="009C7D14" w:rsidRPr="007D3871" w:rsidRDefault="009C7D14" w:rsidP="003B57E4">
            <w:pPr>
              <w:spacing w:after="0" w:line="240" w:lineRule="auto"/>
              <w:rPr>
                <w:sz w:val="20"/>
                <w:szCs w:val="20"/>
              </w:rPr>
            </w:pPr>
            <w:r w:rsidRPr="007D3871">
              <w:rPr>
                <w:sz w:val="20"/>
                <w:szCs w:val="20"/>
              </w:rPr>
              <w:t>Are the objectives or purposes of the activity published?</w:t>
            </w:r>
          </w:p>
        </w:tc>
        <w:tc>
          <w:tcPr>
            <w:tcW w:w="4961" w:type="dxa"/>
            <w:shd w:val="clear" w:color="auto" w:fill="FFFFFF" w:themeFill="background1"/>
          </w:tcPr>
          <w:p w14:paraId="364E0B4F" w14:textId="77777777" w:rsidR="009C7D14" w:rsidRDefault="009C7D14" w:rsidP="003B57E4">
            <w:pPr>
              <w:spacing w:after="0" w:line="240" w:lineRule="auto"/>
              <w:rPr>
                <w:sz w:val="20"/>
                <w:szCs w:val="20"/>
              </w:rPr>
            </w:pPr>
            <w:r w:rsidRPr="007D3871">
              <w:rPr>
                <w:sz w:val="20"/>
                <w:szCs w:val="20"/>
              </w:rPr>
              <w:t>The objectives or purposes of the activity are those that the activity intends to achieve.</w:t>
            </w:r>
          </w:p>
          <w:p w14:paraId="6B14B2C2" w14:textId="77777777" w:rsidR="009C7D14" w:rsidRDefault="009C7D14" w:rsidP="003B57E4">
            <w:pPr>
              <w:spacing w:after="0" w:line="240" w:lineRule="auto"/>
              <w:rPr>
                <w:sz w:val="20"/>
                <w:szCs w:val="20"/>
              </w:rPr>
            </w:pPr>
          </w:p>
          <w:p w14:paraId="141AAD3F" w14:textId="77777777" w:rsidR="009C7D14" w:rsidRPr="007D3871" w:rsidRDefault="009C7D14" w:rsidP="003B57E4">
            <w:pPr>
              <w:spacing w:after="0" w:line="240" w:lineRule="auto"/>
              <w:rPr>
                <w:sz w:val="20"/>
                <w:szCs w:val="20"/>
              </w:rPr>
            </w:pPr>
            <w:r>
              <w:rPr>
                <w:sz w:val="20"/>
                <w:szCs w:val="20"/>
              </w:rPr>
              <w:t>The IATI reference for this indicator is: Objectives / Purpose of activity (document code = A02) or Description (description type = 2).</w:t>
            </w:r>
          </w:p>
        </w:tc>
        <w:tc>
          <w:tcPr>
            <w:tcW w:w="4394" w:type="dxa"/>
            <w:shd w:val="clear" w:color="auto" w:fill="FFFFFF" w:themeFill="background1"/>
          </w:tcPr>
          <w:p w14:paraId="5E750B99" w14:textId="77777777" w:rsidR="009C7D14" w:rsidRPr="00320D30" w:rsidRDefault="009C7D14" w:rsidP="00FB6702">
            <w:pPr>
              <w:spacing w:after="0" w:line="240" w:lineRule="auto"/>
              <w:rPr>
                <w:sz w:val="20"/>
                <w:szCs w:val="20"/>
              </w:rPr>
            </w:pPr>
            <w:r w:rsidRPr="00320D30">
              <w:rPr>
                <w:sz w:val="20"/>
                <w:szCs w:val="20"/>
              </w:rPr>
              <w:t>The objectives need to include the detailed description of the activity, the target sector/group and expected outcomes.</w:t>
            </w:r>
          </w:p>
        </w:tc>
      </w:tr>
      <w:tr w:rsidR="009C7D14" w:rsidRPr="007D3871" w14:paraId="13A1148F" w14:textId="77777777" w:rsidTr="00AF7769">
        <w:trPr>
          <w:trHeight w:val="227"/>
        </w:trPr>
        <w:tc>
          <w:tcPr>
            <w:tcW w:w="1418" w:type="dxa"/>
            <w:vMerge/>
            <w:shd w:val="clear" w:color="auto" w:fill="FFFFFF" w:themeFill="background1"/>
            <w:hideMark/>
          </w:tcPr>
          <w:p w14:paraId="1062BB1F"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36B15CF1"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Budget docs</w:t>
            </w:r>
          </w:p>
        </w:tc>
        <w:tc>
          <w:tcPr>
            <w:tcW w:w="2126" w:type="dxa"/>
            <w:shd w:val="clear" w:color="auto" w:fill="FFFFFF" w:themeFill="background1"/>
          </w:tcPr>
          <w:p w14:paraId="4D476ABB" w14:textId="77777777" w:rsidR="009C7D14" w:rsidRPr="007D3871" w:rsidRDefault="009C7D14" w:rsidP="003B57E4">
            <w:pPr>
              <w:spacing w:after="0" w:line="240" w:lineRule="auto"/>
              <w:rPr>
                <w:sz w:val="20"/>
                <w:szCs w:val="20"/>
              </w:rPr>
            </w:pPr>
            <w:r w:rsidRPr="007D3871">
              <w:rPr>
                <w:sz w:val="20"/>
                <w:szCs w:val="20"/>
              </w:rPr>
              <w:t>Is the budget of the activity published?</w:t>
            </w:r>
          </w:p>
        </w:tc>
        <w:tc>
          <w:tcPr>
            <w:tcW w:w="4961" w:type="dxa"/>
            <w:shd w:val="clear" w:color="auto" w:fill="FFFFFF" w:themeFill="background1"/>
          </w:tcPr>
          <w:p w14:paraId="47D67853" w14:textId="77777777" w:rsidR="009C7D14" w:rsidRPr="007D3871" w:rsidRDefault="009C7D14" w:rsidP="003B57E4">
            <w:pPr>
              <w:spacing w:after="0" w:line="240" w:lineRule="auto"/>
              <w:rPr>
                <w:sz w:val="20"/>
                <w:szCs w:val="20"/>
              </w:rPr>
            </w:pPr>
            <w:r w:rsidRPr="007D3871">
              <w:rPr>
                <w:sz w:val="20"/>
                <w:szCs w:val="20"/>
              </w:rPr>
              <w:t>This is a specific budget detailing what the intended spending is for the different lines of the individual activity. It is often a document published on the organisation’s website.</w:t>
            </w:r>
          </w:p>
          <w:p w14:paraId="09D2F3AE" w14:textId="77777777" w:rsidR="009C7D14" w:rsidRPr="007D3871" w:rsidRDefault="009C7D14" w:rsidP="003B57E4">
            <w:pPr>
              <w:spacing w:after="0" w:line="240" w:lineRule="auto"/>
              <w:rPr>
                <w:sz w:val="20"/>
                <w:szCs w:val="20"/>
              </w:rPr>
            </w:pPr>
          </w:p>
          <w:p w14:paraId="7CDB006C" w14:textId="77777777" w:rsidR="009C7D14" w:rsidRDefault="009C7D14" w:rsidP="003B57E4">
            <w:pPr>
              <w:spacing w:after="0" w:line="240" w:lineRule="auto"/>
              <w:rPr>
                <w:sz w:val="20"/>
                <w:szCs w:val="20"/>
              </w:rPr>
            </w:pPr>
            <w:r w:rsidRPr="007D3871">
              <w:rPr>
                <w:sz w:val="20"/>
                <w:szCs w:val="20"/>
              </w:rPr>
              <w:t xml:space="preserve">Budget documents cannot simply be at the </w:t>
            </w:r>
            <w:r>
              <w:rPr>
                <w:sz w:val="20"/>
                <w:szCs w:val="20"/>
              </w:rPr>
              <w:t xml:space="preserve">country </w:t>
            </w:r>
            <w:r w:rsidRPr="007D3871">
              <w:rPr>
                <w:sz w:val="20"/>
                <w:szCs w:val="20"/>
              </w:rPr>
              <w:t xml:space="preserve">level. If an activity budget is included in a larger country-level document, it is only accepted if the budget for the activity is broken down line by line. </w:t>
            </w:r>
          </w:p>
          <w:p w14:paraId="78AC217F" w14:textId="77777777" w:rsidR="009C7D14" w:rsidRDefault="009C7D14" w:rsidP="003B57E4">
            <w:pPr>
              <w:spacing w:after="0" w:line="240" w:lineRule="auto"/>
              <w:rPr>
                <w:sz w:val="20"/>
                <w:szCs w:val="20"/>
              </w:rPr>
            </w:pPr>
          </w:p>
          <w:p w14:paraId="7E8E057C" w14:textId="77777777" w:rsidR="009C7D14" w:rsidRPr="007D3871" w:rsidRDefault="009C7D14" w:rsidP="003B57E4">
            <w:pPr>
              <w:spacing w:after="0" w:line="240" w:lineRule="auto"/>
              <w:rPr>
                <w:sz w:val="20"/>
                <w:szCs w:val="20"/>
              </w:rPr>
            </w:pPr>
            <w:r>
              <w:rPr>
                <w:sz w:val="20"/>
                <w:szCs w:val="20"/>
              </w:rPr>
              <w:t>The IATI reference for this indicator is: Budget (document code = A05).</w:t>
            </w:r>
          </w:p>
        </w:tc>
        <w:tc>
          <w:tcPr>
            <w:tcW w:w="4394" w:type="dxa"/>
            <w:shd w:val="clear" w:color="auto" w:fill="FFFFFF" w:themeFill="background1"/>
          </w:tcPr>
          <w:p w14:paraId="29756C18" w14:textId="77777777" w:rsidR="009C7D14" w:rsidRPr="00320D30" w:rsidRDefault="009C7D14" w:rsidP="003B57E4">
            <w:pPr>
              <w:spacing w:after="0" w:line="240" w:lineRule="auto"/>
              <w:rPr>
                <w:sz w:val="20"/>
                <w:szCs w:val="20"/>
              </w:rPr>
            </w:pPr>
            <w:r w:rsidRPr="00320D30">
              <w:rPr>
                <w:sz w:val="20"/>
                <w:szCs w:val="20"/>
              </w:rPr>
              <w:t>For organisations where budget documents might be considered commercially sensitive, documents with redactions of the commercially sensitive pieces of information are accepted but the specific reasons for the redactions need to be explicitly stated in detail and must clarify why the information is commercially sensitive and would cause material and direct harm if published.</w:t>
            </w:r>
          </w:p>
          <w:p w14:paraId="18C0ACE9" w14:textId="77777777" w:rsidR="009C7D14" w:rsidRPr="00320D30" w:rsidRDefault="009C7D14" w:rsidP="003B57E4">
            <w:pPr>
              <w:spacing w:after="0" w:line="240" w:lineRule="auto"/>
              <w:rPr>
                <w:sz w:val="20"/>
                <w:szCs w:val="20"/>
              </w:rPr>
            </w:pPr>
          </w:p>
          <w:p w14:paraId="32B63878" w14:textId="77777777" w:rsidR="009C7D14" w:rsidRPr="00320D30" w:rsidRDefault="009C7D14" w:rsidP="003B57E4">
            <w:pPr>
              <w:spacing w:after="0" w:line="240" w:lineRule="auto"/>
              <w:rPr>
                <w:sz w:val="20"/>
                <w:szCs w:val="20"/>
              </w:rPr>
            </w:pPr>
          </w:p>
        </w:tc>
      </w:tr>
      <w:tr w:rsidR="009C7D14" w:rsidRPr="007D3871" w14:paraId="2E87A493" w14:textId="77777777" w:rsidTr="00AF7769">
        <w:trPr>
          <w:trHeight w:val="227"/>
        </w:trPr>
        <w:tc>
          <w:tcPr>
            <w:tcW w:w="1418" w:type="dxa"/>
            <w:vMerge/>
            <w:shd w:val="clear" w:color="auto" w:fill="FFFFFF" w:themeFill="background1"/>
            <w:hideMark/>
          </w:tcPr>
          <w:p w14:paraId="259E77EF"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4B6BD853"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Contracts</w:t>
            </w:r>
          </w:p>
        </w:tc>
        <w:tc>
          <w:tcPr>
            <w:tcW w:w="2126" w:type="dxa"/>
            <w:shd w:val="clear" w:color="auto" w:fill="FFFFFF" w:themeFill="background1"/>
          </w:tcPr>
          <w:p w14:paraId="0356D374" w14:textId="77777777" w:rsidR="009C7D14" w:rsidRPr="007D3871" w:rsidRDefault="009C7D14" w:rsidP="003B57E4">
            <w:pPr>
              <w:spacing w:after="0" w:line="240" w:lineRule="auto"/>
              <w:rPr>
                <w:sz w:val="20"/>
                <w:szCs w:val="20"/>
              </w:rPr>
            </w:pPr>
            <w:r w:rsidRPr="007D3871">
              <w:rPr>
                <w:sz w:val="20"/>
                <w:szCs w:val="20"/>
              </w:rPr>
              <w:t>Is the contract for the activity published?</w:t>
            </w:r>
          </w:p>
        </w:tc>
        <w:tc>
          <w:tcPr>
            <w:tcW w:w="4961" w:type="dxa"/>
            <w:shd w:val="clear" w:color="auto" w:fill="FFFFFF" w:themeFill="background1"/>
          </w:tcPr>
          <w:p w14:paraId="34FAC0D0" w14:textId="77777777" w:rsidR="009C7D14" w:rsidRDefault="009C7D14" w:rsidP="003B57E4">
            <w:pPr>
              <w:spacing w:after="0" w:line="240" w:lineRule="auto"/>
              <w:rPr>
                <w:sz w:val="20"/>
                <w:szCs w:val="20"/>
              </w:rPr>
            </w:pPr>
            <w:r w:rsidRPr="007D3871">
              <w:rPr>
                <w:sz w:val="20"/>
                <w:szCs w:val="20"/>
              </w:rPr>
              <w:t xml:space="preserve">The individual contract(s) which is signed with a company, organisation or individual that provides goods and services for the activity. This could be on a procurement section of the organisation’s website, on a separate website or on a central government procurement website. </w:t>
            </w:r>
          </w:p>
          <w:p w14:paraId="12C3C3D5" w14:textId="77777777" w:rsidR="009C7D14" w:rsidRPr="007D3871" w:rsidRDefault="009C7D14" w:rsidP="003B57E4">
            <w:pPr>
              <w:spacing w:after="0" w:line="240" w:lineRule="auto"/>
              <w:rPr>
                <w:sz w:val="20"/>
                <w:szCs w:val="20"/>
              </w:rPr>
            </w:pPr>
          </w:p>
          <w:p w14:paraId="7B3C74CD" w14:textId="77777777" w:rsidR="009C7D14" w:rsidRPr="007D3871" w:rsidRDefault="009C7D14" w:rsidP="003B57E4">
            <w:pPr>
              <w:spacing w:after="0" w:line="240" w:lineRule="auto"/>
              <w:rPr>
                <w:sz w:val="20"/>
                <w:szCs w:val="20"/>
              </w:rPr>
            </w:pPr>
            <w:r w:rsidRPr="007D3871">
              <w:rPr>
                <w:sz w:val="20"/>
                <w:szCs w:val="20"/>
              </w:rPr>
              <w:t>Contract documents cannot simply be at the country</w:t>
            </w:r>
            <w:r>
              <w:rPr>
                <w:sz w:val="20"/>
                <w:szCs w:val="20"/>
              </w:rPr>
              <w:t xml:space="preserve"> </w:t>
            </w:r>
            <w:r w:rsidRPr="007D3871">
              <w:rPr>
                <w:sz w:val="20"/>
                <w:szCs w:val="20"/>
              </w:rPr>
              <w:t xml:space="preserve">level. If an activity contract is included in a larger country-level document, it is only accepted if the contract mentions the activity specifically and in detail. </w:t>
            </w:r>
          </w:p>
          <w:p w14:paraId="5959E60A" w14:textId="77777777" w:rsidR="009C7D14" w:rsidRPr="007D3871" w:rsidRDefault="009C7D14" w:rsidP="003B57E4">
            <w:pPr>
              <w:spacing w:after="0" w:line="240" w:lineRule="auto"/>
              <w:rPr>
                <w:sz w:val="20"/>
                <w:szCs w:val="20"/>
              </w:rPr>
            </w:pPr>
          </w:p>
          <w:p w14:paraId="68DAFA5A" w14:textId="77777777" w:rsidR="009C7D14" w:rsidRDefault="009C7D14" w:rsidP="003B57E4">
            <w:pPr>
              <w:spacing w:after="0" w:line="240" w:lineRule="auto"/>
              <w:rPr>
                <w:sz w:val="20"/>
                <w:szCs w:val="20"/>
              </w:rPr>
            </w:pPr>
            <w:r w:rsidRPr="007D3871">
              <w:rPr>
                <w:sz w:val="20"/>
                <w:szCs w:val="20"/>
              </w:rPr>
              <w:t xml:space="preserve">Basic information about the activity contract is accepted if it contains three of the following five information items: awardee, amount, overview of services being provided, start/end dates, unique reference to original tender documents. </w:t>
            </w:r>
          </w:p>
          <w:p w14:paraId="33C33E0A" w14:textId="77777777" w:rsidR="009C7D14" w:rsidRDefault="009C7D14" w:rsidP="003B57E4">
            <w:pPr>
              <w:spacing w:after="0" w:line="240" w:lineRule="auto"/>
              <w:rPr>
                <w:sz w:val="20"/>
                <w:szCs w:val="20"/>
              </w:rPr>
            </w:pPr>
          </w:p>
          <w:p w14:paraId="642FDC53" w14:textId="77777777" w:rsidR="009C7D14" w:rsidRPr="007D3871" w:rsidRDefault="009C7D14" w:rsidP="003B57E4">
            <w:pPr>
              <w:spacing w:after="0" w:line="240" w:lineRule="auto"/>
              <w:rPr>
                <w:sz w:val="20"/>
                <w:szCs w:val="20"/>
              </w:rPr>
            </w:pPr>
            <w:r>
              <w:rPr>
                <w:sz w:val="20"/>
                <w:szCs w:val="20"/>
              </w:rPr>
              <w:t>The IATI reference for this indicator is: Contract (document code = A11 or A06).</w:t>
            </w:r>
          </w:p>
        </w:tc>
        <w:tc>
          <w:tcPr>
            <w:tcW w:w="4394" w:type="dxa"/>
            <w:shd w:val="clear" w:color="auto" w:fill="FFFFFF" w:themeFill="background1"/>
          </w:tcPr>
          <w:p w14:paraId="1B243C10" w14:textId="77777777" w:rsidR="009C7D14" w:rsidRPr="007D3871" w:rsidRDefault="009C7D14" w:rsidP="003B57E4">
            <w:pPr>
              <w:spacing w:after="0" w:line="240" w:lineRule="auto"/>
              <w:rPr>
                <w:sz w:val="20"/>
                <w:szCs w:val="20"/>
              </w:rPr>
            </w:pPr>
            <w:r w:rsidRPr="007D3871">
              <w:rPr>
                <w:sz w:val="20"/>
                <w:szCs w:val="20"/>
              </w:rPr>
              <w:t xml:space="preserve">This indicator is retained for all organisations. In cases where organisations consider such information to be commercially sensitive, sections within the contract can be redacted but the reason for the redactions needs to be explicitly stated. </w:t>
            </w:r>
          </w:p>
          <w:p w14:paraId="5820F878" w14:textId="77777777" w:rsidR="009C7D14" w:rsidRPr="007D3871" w:rsidRDefault="009C7D14" w:rsidP="003B57E4">
            <w:pPr>
              <w:spacing w:after="0" w:line="240" w:lineRule="auto"/>
              <w:rPr>
                <w:sz w:val="20"/>
                <w:szCs w:val="20"/>
              </w:rPr>
            </w:pPr>
          </w:p>
          <w:p w14:paraId="03E8F874" w14:textId="77777777" w:rsidR="009C7D14" w:rsidRPr="007D3871" w:rsidRDefault="009C7D14" w:rsidP="003B57E4">
            <w:pPr>
              <w:spacing w:after="0" w:line="240" w:lineRule="auto"/>
              <w:rPr>
                <w:sz w:val="20"/>
                <w:szCs w:val="20"/>
              </w:rPr>
            </w:pPr>
            <w:r w:rsidRPr="007D3871">
              <w:rPr>
                <w:sz w:val="20"/>
                <w:szCs w:val="20"/>
              </w:rPr>
              <w:t xml:space="preserve">Due to the difficulty in checking contracts manually, rather than looking for the specific activity and the contract linked to it, a review of the organisation’s overall contracts </w:t>
            </w:r>
            <w:r w:rsidR="00D7254E">
              <w:rPr>
                <w:sz w:val="20"/>
                <w:szCs w:val="20"/>
              </w:rPr>
              <w:t>is</w:t>
            </w:r>
            <w:r w:rsidRPr="007D3871">
              <w:rPr>
                <w:sz w:val="20"/>
                <w:szCs w:val="20"/>
              </w:rPr>
              <w:t xml:space="preserve"> completed </w:t>
            </w:r>
            <w:r>
              <w:rPr>
                <w:sz w:val="20"/>
                <w:szCs w:val="20"/>
              </w:rPr>
              <w:t>in line with the organisation’s procurement policy</w:t>
            </w:r>
            <w:r w:rsidRPr="007D3871">
              <w:rPr>
                <w:sz w:val="20"/>
                <w:szCs w:val="20"/>
              </w:rPr>
              <w:t>.</w:t>
            </w:r>
          </w:p>
          <w:p w14:paraId="1B9019FD" w14:textId="77777777" w:rsidR="009C7D14" w:rsidRPr="007D3871" w:rsidRDefault="009C7D14" w:rsidP="003B57E4">
            <w:pPr>
              <w:spacing w:after="0" w:line="240" w:lineRule="auto"/>
              <w:rPr>
                <w:sz w:val="20"/>
                <w:szCs w:val="20"/>
              </w:rPr>
            </w:pPr>
          </w:p>
          <w:p w14:paraId="0241B9F5" w14:textId="77777777" w:rsidR="009C7D14" w:rsidRPr="007D3871" w:rsidRDefault="009C7D14" w:rsidP="003B57E4">
            <w:pPr>
              <w:spacing w:after="0" w:line="240" w:lineRule="auto"/>
              <w:rPr>
                <w:sz w:val="20"/>
                <w:szCs w:val="20"/>
              </w:rPr>
            </w:pPr>
            <w:r w:rsidRPr="007D3871">
              <w:rPr>
                <w:sz w:val="20"/>
                <w:szCs w:val="20"/>
              </w:rPr>
              <w:t>For vertical funds, equivalent documents are accepted, such as approved country proposals or agreements between the recipient and the funder.</w:t>
            </w:r>
          </w:p>
        </w:tc>
      </w:tr>
      <w:tr w:rsidR="009C7D14" w:rsidRPr="007D3871" w14:paraId="17946118" w14:textId="77777777" w:rsidTr="00AF7769">
        <w:trPr>
          <w:trHeight w:val="227"/>
        </w:trPr>
        <w:tc>
          <w:tcPr>
            <w:tcW w:w="1418" w:type="dxa"/>
            <w:vMerge/>
            <w:shd w:val="clear" w:color="auto" w:fill="FFFFFF" w:themeFill="background1"/>
            <w:hideMark/>
          </w:tcPr>
          <w:p w14:paraId="24C17A91"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2D87CB04"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Tenders</w:t>
            </w:r>
          </w:p>
        </w:tc>
        <w:tc>
          <w:tcPr>
            <w:tcW w:w="2126" w:type="dxa"/>
            <w:shd w:val="clear" w:color="auto" w:fill="FFFFFF" w:themeFill="background1"/>
          </w:tcPr>
          <w:p w14:paraId="4D843716" w14:textId="77777777" w:rsidR="009C7D14" w:rsidRPr="007D3871" w:rsidRDefault="009C7D14" w:rsidP="003B57E4">
            <w:pPr>
              <w:spacing w:after="0" w:line="240" w:lineRule="auto"/>
              <w:rPr>
                <w:sz w:val="20"/>
                <w:szCs w:val="20"/>
              </w:rPr>
            </w:pPr>
            <w:r w:rsidRPr="007D3871">
              <w:rPr>
                <w:sz w:val="20"/>
                <w:szCs w:val="20"/>
              </w:rPr>
              <w:t>Does this organisation publish all tenders?</w:t>
            </w:r>
          </w:p>
        </w:tc>
        <w:tc>
          <w:tcPr>
            <w:tcW w:w="4961" w:type="dxa"/>
            <w:shd w:val="clear" w:color="auto" w:fill="FFFFFF" w:themeFill="background1"/>
          </w:tcPr>
          <w:p w14:paraId="644230A4" w14:textId="77777777" w:rsidR="009C7D14" w:rsidRDefault="009C7D14" w:rsidP="003B57E4">
            <w:pPr>
              <w:spacing w:after="0" w:line="240" w:lineRule="auto"/>
              <w:rPr>
                <w:sz w:val="20"/>
                <w:szCs w:val="20"/>
              </w:rPr>
            </w:pPr>
            <w:r w:rsidRPr="007D3871">
              <w:rPr>
                <w:sz w:val="20"/>
                <w:szCs w:val="20"/>
              </w:rPr>
              <w:t>Tenders are the individual contracts or proposals that have been put out to invite bids from companies or organisations that want to provide goods and services for an activity. They may be on a separate website, possibly on a central government procurement website.</w:t>
            </w:r>
          </w:p>
          <w:p w14:paraId="5A50E1C3" w14:textId="77777777" w:rsidR="009C7D14" w:rsidRDefault="009C7D14" w:rsidP="003B57E4">
            <w:pPr>
              <w:spacing w:after="0" w:line="240" w:lineRule="auto"/>
              <w:rPr>
                <w:sz w:val="20"/>
                <w:szCs w:val="20"/>
              </w:rPr>
            </w:pPr>
          </w:p>
          <w:p w14:paraId="6BF1DC0A" w14:textId="77777777" w:rsidR="009C7D14" w:rsidRPr="007D3871" w:rsidRDefault="009C7D14" w:rsidP="003B57E4">
            <w:pPr>
              <w:spacing w:after="0" w:line="240" w:lineRule="auto"/>
              <w:rPr>
                <w:sz w:val="20"/>
                <w:szCs w:val="20"/>
              </w:rPr>
            </w:pPr>
            <w:r>
              <w:rPr>
                <w:sz w:val="20"/>
                <w:szCs w:val="20"/>
              </w:rPr>
              <w:t>The IATI reference for this indicator is: Tender (document code = A10).</w:t>
            </w:r>
          </w:p>
        </w:tc>
        <w:tc>
          <w:tcPr>
            <w:tcW w:w="4394" w:type="dxa"/>
            <w:shd w:val="clear" w:color="auto" w:fill="FFFFFF" w:themeFill="background1"/>
          </w:tcPr>
          <w:p w14:paraId="3893628B" w14:textId="77777777" w:rsidR="009C7D14" w:rsidRPr="007D3871" w:rsidRDefault="009C7D14" w:rsidP="003B57E4">
            <w:pPr>
              <w:spacing w:after="0" w:line="240" w:lineRule="auto"/>
              <w:rPr>
                <w:sz w:val="20"/>
                <w:szCs w:val="20"/>
              </w:rPr>
            </w:pPr>
            <w:r w:rsidRPr="007D3871">
              <w:rPr>
                <w:sz w:val="20"/>
                <w:szCs w:val="20"/>
              </w:rPr>
              <w:t>Investment codes or policies for IFIs and DFIs are accepted. For private foundations, calls for grant submissions are accepted. For humanitarian agencies, documents that provide guidance on securing funding are accepted.</w:t>
            </w:r>
          </w:p>
          <w:p w14:paraId="09385287" w14:textId="77777777" w:rsidR="009C7D14" w:rsidRPr="007D3871" w:rsidRDefault="009C7D14" w:rsidP="003B57E4">
            <w:pPr>
              <w:spacing w:after="0" w:line="240" w:lineRule="auto"/>
              <w:rPr>
                <w:sz w:val="20"/>
                <w:szCs w:val="20"/>
              </w:rPr>
            </w:pPr>
          </w:p>
          <w:p w14:paraId="50C2CB53" w14:textId="77777777" w:rsidR="009C7D14" w:rsidRDefault="009C7D14" w:rsidP="003B57E4">
            <w:pPr>
              <w:spacing w:after="0" w:line="240" w:lineRule="auto"/>
              <w:rPr>
                <w:sz w:val="20"/>
                <w:szCs w:val="20"/>
              </w:rPr>
            </w:pPr>
            <w:r w:rsidRPr="007D3871">
              <w:rPr>
                <w:sz w:val="20"/>
                <w:szCs w:val="20"/>
              </w:rPr>
              <w:t>Due to the difficulty with manually finding tenders linked to current activities, rather than looking for the specific tender, a review of the</w:t>
            </w:r>
            <w:r>
              <w:rPr>
                <w:sz w:val="20"/>
                <w:szCs w:val="20"/>
              </w:rPr>
              <w:t xml:space="preserve"> organisation’s overall calls for tenders</w:t>
            </w:r>
            <w:r w:rsidRPr="007D3871">
              <w:rPr>
                <w:sz w:val="20"/>
                <w:szCs w:val="20"/>
              </w:rPr>
              <w:t xml:space="preserve"> </w:t>
            </w:r>
            <w:r w:rsidR="00D7254E">
              <w:rPr>
                <w:sz w:val="20"/>
                <w:szCs w:val="20"/>
              </w:rPr>
              <w:t>is</w:t>
            </w:r>
            <w:r w:rsidRPr="007D3871">
              <w:rPr>
                <w:sz w:val="20"/>
                <w:szCs w:val="20"/>
              </w:rPr>
              <w:t xml:space="preserve"> completed to check it is publishing them consistently</w:t>
            </w:r>
            <w:r>
              <w:rPr>
                <w:sz w:val="20"/>
                <w:szCs w:val="20"/>
              </w:rPr>
              <w:t xml:space="preserve"> and in-line with their procurement policy</w:t>
            </w:r>
            <w:r w:rsidRPr="007D3871">
              <w:rPr>
                <w:sz w:val="20"/>
                <w:szCs w:val="20"/>
              </w:rPr>
              <w:t>.</w:t>
            </w:r>
          </w:p>
          <w:p w14:paraId="5BFF1787" w14:textId="77777777" w:rsidR="009C7D14" w:rsidRDefault="009C7D14" w:rsidP="003B57E4">
            <w:pPr>
              <w:spacing w:after="0" w:line="240" w:lineRule="auto"/>
              <w:rPr>
                <w:sz w:val="20"/>
                <w:szCs w:val="20"/>
              </w:rPr>
            </w:pPr>
          </w:p>
          <w:p w14:paraId="643670DB" w14:textId="77777777" w:rsidR="009C7D14" w:rsidRPr="007D3871" w:rsidRDefault="009C7D14" w:rsidP="003B57E4">
            <w:pPr>
              <w:spacing w:after="0" w:line="240" w:lineRule="auto"/>
              <w:ind w:left="34"/>
              <w:rPr>
                <w:sz w:val="20"/>
                <w:szCs w:val="20"/>
              </w:rPr>
            </w:pPr>
            <w:r>
              <w:rPr>
                <w:sz w:val="20"/>
                <w:szCs w:val="20"/>
              </w:rPr>
              <w:t>For organisations that do not issue tenders related to aid projects (e.g. if procurement is undertaken by grantees or other implementing agencies), a statement explicitly clarifying this is required.</w:t>
            </w:r>
            <w:r w:rsidR="00345D43">
              <w:rPr>
                <w:sz w:val="20"/>
                <w:szCs w:val="20"/>
              </w:rPr>
              <w:t xml:space="preserve"> </w:t>
            </w:r>
          </w:p>
        </w:tc>
      </w:tr>
      <w:tr w:rsidR="009C7D14" w:rsidRPr="007D3871" w14:paraId="1A9E3CB6" w14:textId="77777777" w:rsidTr="00AF7769">
        <w:trPr>
          <w:trHeight w:val="227"/>
        </w:trPr>
        <w:tc>
          <w:tcPr>
            <w:tcW w:w="1418" w:type="dxa"/>
            <w:vMerge w:val="restart"/>
            <w:shd w:val="clear" w:color="auto" w:fill="FFFFFF" w:themeFill="background1"/>
            <w:hideMark/>
          </w:tcPr>
          <w:p w14:paraId="325D9FE6" w14:textId="77777777" w:rsidR="009C7D14" w:rsidRPr="002E0C64" w:rsidRDefault="009C7D14" w:rsidP="003B57E4">
            <w:pPr>
              <w:spacing w:after="0" w:line="240" w:lineRule="auto"/>
              <w:rPr>
                <w:sz w:val="20"/>
                <w:szCs w:val="20"/>
              </w:rPr>
            </w:pPr>
            <w:r w:rsidRPr="002E0C64">
              <w:rPr>
                <w:sz w:val="20"/>
                <w:szCs w:val="20"/>
              </w:rPr>
              <w:t>Financial</w:t>
            </w:r>
          </w:p>
        </w:tc>
        <w:tc>
          <w:tcPr>
            <w:tcW w:w="1843" w:type="dxa"/>
            <w:shd w:val="clear" w:color="auto" w:fill="FFFFFF" w:themeFill="background1"/>
            <w:noWrap/>
            <w:hideMark/>
          </w:tcPr>
          <w:p w14:paraId="4CCC0DA6" w14:textId="77777777" w:rsidR="009C7D14" w:rsidRPr="002E0C64" w:rsidRDefault="009C7D14" w:rsidP="003B57E4">
            <w:pPr>
              <w:pStyle w:val="ListParagraph"/>
              <w:numPr>
                <w:ilvl w:val="0"/>
                <w:numId w:val="12"/>
              </w:numPr>
              <w:spacing w:after="0" w:line="240" w:lineRule="auto"/>
              <w:ind w:left="360"/>
              <w:contextualSpacing w:val="0"/>
              <w:rPr>
                <w:sz w:val="20"/>
                <w:szCs w:val="20"/>
              </w:rPr>
            </w:pPr>
            <w:r>
              <w:rPr>
                <w:sz w:val="20"/>
                <w:szCs w:val="20"/>
              </w:rPr>
              <w:t>Budget</w:t>
            </w:r>
          </w:p>
        </w:tc>
        <w:tc>
          <w:tcPr>
            <w:tcW w:w="2126" w:type="dxa"/>
            <w:shd w:val="clear" w:color="auto" w:fill="FFFFFF" w:themeFill="background1"/>
          </w:tcPr>
          <w:p w14:paraId="4B348401" w14:textId="77777777" w:rsidR="009C7D14" w:rsidRPr="007D3871" w:rsidRDefault="009C7D14" w:rsidP="00EC4962">
            <w:pPr>
              <w:spacing w:after="0" w:line="240" w:lineRule="auto"/>
              <w:rPr>
                <w:sz w:val="20"/>
                <w:szCs w:val="20"/>
              </w:rPr>
            </w:pPr>
            <w:r w:rsidRPr="007D3871">
              <w:rPr>
                <w:sz w:val="20"/>
                <w:szCs w:val="20"/>
              </w:rPr>
              <w:t xml:space="preserve">Does this organisation provide </w:t>
            </w:r>
            <w:r>
              <w:rPr>
                <w:sz w:val="20"/>
                <w:szCs w:val="20"/>
              </w:rPr>
              <w:t>a breakdown of the budget of the activity by year</w:t>
            </w:r>
            <w:r w:rsidR="009C669A">
              <w:rPr>
                <w:sz w:val="20"/>
                <w:szCs w:val="20"/>
              </w:rPr>
              <w:t xml:space="preserve"> and/or quarter</w:t>
            </w:r>
            <w:r>
              <w:rPr>
                <w:sz w:val="20"/>
                <w:szCs w:val="20"/>
              </w:rPr>
              <w:t>?</w:t>
            </w:r>
            <w:r w:rsidRPr="007D3871" w:rsidDel="006A0AE8">
              <w:rPr>
                <w:sz w:val="20"/>
                <w:szCs w:val="20"/>
              </w:rPr>
              <w:t xml:space="preserve"> </w:t>
            </w:r>
          </w:p>
        </w:tc>
        <w:tc>
          <w:tcPr>
            <w:tcW w:w="4961" w:type="dxa"/>
            <w:shd w:val="clear" w:color="auto" w:fill="FFFFFF" w:themeFill="background1"/>
          </w:tcPr>
          <w:p w14:paraId="38B8E704" w14:textId="77777777" w:rsidR="009C7D14" w:rsidRDefault="009C7D14" w:rsidP="003B57E4">
            <w:pPr>
              <w:spacing w:after="0" w:line="240" w:lineRule="auto"/>
              <w:rPr>
                <w:sz w:val="20"/>
                <w:szCs w:val="20"/>
              </w:rPr>
            </w:pPr>
            <w:r>
              <w:rPr>
                <w:sz w:val="20"/>
                <w:szCs w:val="20"/>
              </w:rPr>
              <w:t xml:space="preserve">The budget of the activity is the </w:t>
            </w:r>
            <w:r w:rsidRPr="009C4BB6">
              <w:rPr>
                <w:sz w:val="20"/>
                <w:szCs w:val="20"/>
              </w:rPr>
              <w:t xml:space="preserve">breakdown of </w:t>
            </w:r>
            <w:r>
              <w:rPr>
                <w:sz w:val="20"/>
                <w:szCs w:val="20"/>
              </w:rPr>
              <w:t xml:space="preserve">the </w:t>
            </w:r>
            <w:r w:rsidRPr="009C4BB6">
              <w:rPr>
                <w:sz w:val="20"/>
                <w:szCs w:val="20"/>
              </w:rPr>
              <w:t xml:space="preserve">total </w:t>
            </w:r>
            <w:r>
              <w:rPr>
                <w:sz w:val="20"/>
                <w:szCs w:val="20"/>
              </w:rPr>
              <w:t xml:space="preserve">financial </w:t>
            </w:r>
            <w:r w:rsidRPr="009C4BB6">
              <w:rPr>
                <w:sz w:val="20"/>
                <w:szCs w:val="20"/>
              </w:rPr>
              <w:t xml:space="preserve">commitment </w:t>
            </w:r>
            <w:r>
              <w:rPr>
                <w:sz w:val="20"/>
                <w:szCs w:val="20"/>
              </w:rPr>
              <w:t xml:space="preserve">to the activity </w:t>
            </w:r>
            <w:r w:rsidRPr="009C4BB6">
              <w:rPr>
                <w:sz w:val="20"/>
                <w:szCs w:val="20"/>
              </w:rPr>
              <w:t>into</w:t>
            </w:r>
            <w:r w:rsidR="00FA1A2F">
              <w:rPr>
                <w:sz w:val="20"/>
                <w:szCs w:val="20"/>
              </w:rPr>
              <w:t xml:space="preserve"> forward-looking</w:t>
            </w:r>
            <w:r w:rsidRPr="009C4BB6">
              <w:rPr>
                <w:sz w:val="20"/>
                <w:szCs w:val="20"/>
              </w:rPr>
              <w:t xml:space="preserve"> annual </w:t>
            </w:r>
            <w:r w:rsidR="00FA1A2F">
              <w:rPr>
                <w:sz w:val="20"/>
                <w:szCs w:val="20"/>
              </w:rPr>
              <w:t>and</w:t>
            </w:r>
            <w:r w:rsidR="00FA1A2F" w:rsidRPr="009C4BB6">
              <w:rPr>
                <w:sz w:val="20"/>
                <w:szCs w:val="20"/>
              </w:rPr>
              <w:t xml:space="preserve"> </w:t>
            </w:r>
            <w:r w:rsidRPr="009C4BB6">
              <w:rPr>
                <w:sz w:val="20"/>
                <w:szCs w:val="20"/>
              </w:rPr>
              <w:t>quarterly chunks</w:t>
            </w:r>
            <w:r>
              <w:rPr>
                <w:sz w:val="20"/>
                <w:szCs w:val="20"/>
              </w:rPr>
              <w:t>.</w:t>
            </w:r>
          </w:p>
          <w:p w14:paraId="28835753" w14:textId="77777777" w:rsidR="009C7D14" w:rsidRDefault="009C7D14" w:rsidP="003B57E4">
            <w:pPr>
              <w:spacing w:after="0" w:line="240" w:lineRule="auto"/>
              <w:rPr>
                <w:sz w:val="20"/>
                <w:szCs w:val="20"/>
              </w:rPr>
            </w:pPr>
          </w:p>
          <w:p w14:paraId="51B9E0F2" w14:textId="77777777" w:rsidR="009C7D14" w:rsidRPr="007D3871" w:rsidRDefault="009C7D14" w:rsidP="003B57E4">
            <w:pPr>
              <w:spacing w:after="0" w:line="240" w:lineRule="auto"/>
              <w:rPr>
                <w:sz w:val="20"/>
                <w:szCs w:val="20"/>
              </w:rPr>
            </w:pPr>
            <w:r>
              <w:rPr>
                <w:sz w:val="20"/>
                <w:szCs w:val="20"/>
              </w:rPr>
              <w:t>The IATI reference for this indicator is: Budget or Planned Disbursement.</w:t>
            </w:r>
          </w:p>
        </w:tc>
        <w:tc>
          <w:tcPr>
            <w:tcW w:w="4394" w:type="dxa"/>
            <w:shd w:val="clear" w:color="auto" w:fill="FFFFFF" w:themeFill="background1"/>
          </w:tcPr>
          <w:p w14:paraId="62F77CED" w14:textId="77777777" w:rsidR="009C7D14" w:rsidRPr="003E15DC" w:rsidRDefault="009C7D14" w:rsidP="003B57E4">
            <w:pPr>
              <w:spacing w:after="0" w:line="240" w:lineRule="auto"/>
              <w:rPr>
                <w:sz w:val="20"/>
                <w:szCs w:val="20"/>
              </w:rPr>
            </w:pPr>
            <w:r w:rsidRPr="003E15DC">
              <w:rPr>
                <w:sz w:val="20"/>
                <w:szCs w:val="20"/>
              </w:rPr>
              <w:t>For organisations where this may be deemed as commercially sensitive information, total estimated cost of fund/grant/loan amount is accepted or sections within a document can be redacted. The specific reasons for the redactions need to be explicitly stated</w:t>
            </w:r>
            <w:r w:rsidRPr="00C12431">
              <w:rPr>
                <w:sz w:val="20"/>
                <w:szCs w:val="20"/>
              </w:rPr>
              <w:t xml:space="preserve"> in detail and must clarify why the information is commercially sensitive and would cause material and direct harm if published.</w:t>
            </w:r>
          </w:p>
          <w:p w14:paraId="4B808835" w14:textId="77777777" w:rsidR="009C7D14" w:rsidRDefault="009C7D14" w:rsidP="003B57E4">
            <w:pPr>
              <w:spacing w:after="0" w:line="240" w:lineRule="auto"/>
              <w:rPr>
                <w:sz w:val="20"/>
                <w:szCs w:val="20"/>
              </w:rPr>
            </w:pPr>
          </w:p>
          <w:p w14:paraId="1CF6399D" w14:textId="77777777" w:rsidR="009C7D14" w:rsidRDefault="00FA1A2F" w:rsidP="003B57E4">
            <w:pPr>
              <w:spacing w:after="0" w:line="240" w:lineRule="auto"/>
              <w:rPr>
                <w:sz w:val="20"/>
                <w:szCs w:val="20"/>
              </w:rPr>
            </w:pPr>
            <w:r>
              <w:rPr>
                <w:sz w:val="20"/>
                <w:szCs w:val="20"/>
              </w:rPr>
              <w:t>This indicator is more rigorously measured for</w:t>
            </w:r>
            <w:r w:rsidR="00EC4962" w:rsidRPr="00EC4962">
              <w:rPr>
                <w:sz w:val="20"/>
                <w:szCs w:val="20"/>
              </w:rPr>
              <w:t xml:space="preserve"> IATI publishers (information published to IATI is scored higher than information published in other formats).</w:t>
            </w:r>
            <w:r w:rsidR="00D7254E">
              <w:rPr>
                <w:sz w:val="20"/>
                <w:szCs w:val="20"/>
              </w:rPr>
              <w:t xml:space="preserve"> Providing </w:t>
            </w:r>
            <w:r>
              <w:rPr>
                <w:sz w:val="20"/>
                <w:szCs w:val="20"/>
              </w:rPr>
              <w:t xml:space="preserve">an annual </w:t>
            </w:r>
            <w:r w:rsidR="00D7254E">
              <w:rPr>
                <w:sz w:val="20"/>
                <w:szCs w:val="20"/>
              </w:rPr>
              <w:t xml:space="preserve">forward budget </w:t>
            </w:r>
            <w:r w:rsidR="00EC4962" w:rsidRPr="00EC4962">
              <w:rPr>
                <w:sz w:val="20"/>
                <w:szCs w:val="20"/>
              </w:rPr>
              <w:t>allow</w:t>
            </w:r>
            <w:r w:rsidR="00D7254E">
              <w:rPr>
                <w:sz w:val="20"/>
                <w:szCs w:val="20"/>
              </w:rPr>
              <w:t>s</w:t>
            </w:r>
            <w:r w:rsidR="00EC4962" w:rsidRPr="00EC4962">
              <w:rPr>
                <w:sz w:val="20"/>
                <w:szCs w:val="20"/>
              </w:rPr>
              <w:t xml:space="preserve"> an IATI publisher to score up to half the total available data quality points, while </w:t>
            </w:r>
            <w:r>
              <w:rPr>
                <w:sz w:val="20"/>
                <w:szCs w:val="20"/>
              </w:rPr>
              <w:t>providing a quarterly forward-looking budget</w:t>
            </w:r>
            <w:r w:rsidR="00EC4962" w:rsidRPr="00EC4962">
              <w:rPr>
                <w:sz w:val="20"/>
                <w:szCs w:val="20"/>
              </w:rPr>
              <w:t xml:space="preserve"> </w:t>
            </w:r>
            <w:r>
              <w:rPr>
                <w:sz w:val="20"/>
                <w:szCs w:val="20"/>
              </w:rPr>
              <w:t xml:space="preserve">enables them </w:t>
            </w:r>
            <w:r w:rsidR="00EC4962" w:rsidRPr="00EC4962">
              <w:rPr>
                <w:sz w:val="20"/>
                <w:szCs w:val="20"/>
              </w:rPr>
              <w:t>to score the remaining half</w:t>
            </w:r>
            <w:r w:rsidR="00EC4962">
              <w:rPr>
                <w:sz w:val="20"/>
                <w:szCs w:val="20"/>
              </w:rPr>
              <w:t xml:space="preserve">. </w:t>
            </w:r>
            <w:r w:rsidR="009C7D14">
              <w:rPr>
                <w:sz w:val="20"/>
                <w:szCs w:val="20"/>
              </w:rPr>
              <w:t xml:space="preserve">This change has been made </w:t>
            </w:r>
            <w:r w:rsidR="009C7D14" w:rsidRPr="007D3871">
              <w:rPr>
                <w:sz w:val="20"/>
                <w:szCs w:val="20"/>
              </w:rPr>
              <w:t>in recognition of recipient countries needing to be able to map activities to their own financial year rather than the calendar year.</w:t>
            </w:r>
          </w:p>
          <w:p w14:paraId="2D0D0624" w14:textId="77777777" w:rsidR="009C7D14" w:rsidRDefault="009C7D14" w:rsidP="003B57E4">
            <w:pPr>
              <w:spacing w:after="0" w:line="240" w:lineRule="auto"/>
              <w:rPr>
                <w:sz w:val="20"/>
                <w:szCs w:val="20"/>
              </w:rPr>
            </w:pPr>
          </w:p>
          <w:p w14:paraId="67B15F34" w14:textId="77777777" w:rsidR="009C7D14" w:rsidRPr="007D3871" w:rsidRDefault="009C7D14" w:rsidP="003B57E4">
            <w:pPr>
              <w:spacing w:after="0" w:line="240" w:lineRule="auto"/>
              <w:rPr>
                <w:sz w:val="20"/>
                <w:szCs w:val="20"/>
              </w:rPr>
            </w:pPr>
            <w:r>
              <w:rPr>
                <w:sz w:val="20"/>
                <w:szCs w:val="20"/>
              </w:rPr>
              <w:t>Note: The difference between indicators 33 and 30 is that indicator 30 requires the overall activity budget to be broken down by individual line items for the activity. To score on indicator 33, the funds allocated to the activity must be broken down by year and quarter for at least the next year ahead. Spending by individual line items is not required. If the required information for both indicators 30 and 33 is available in a single document, it can be considered for both indicators.</w:t>
            </w:r>
          </w:p>
        </w:tc>
      </w:tr>
      <w:tr w:rsidR="009C7D14" w:rsidRPr="007D3871" w14:paraId="37A5E06C" w14:textId="77777777" w:rsidTr="00AF7769">
        <w:trPr>
          <w:trHeight w:val="227"/>
        </w:trPr>
        <w:tc>
          <w:tcPr>
            <w:tcW w:w="1418" w:type="dxa"/>
            <w:vMerge/>
            <w:shd w:val="clear" w:color="auto" w:fill="FFFFFF" w:themeFill="background1"/>
            <w:hideMark/>
          </w:tcPr>
          <w:p w14:paraId="438BDE65"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67DF9F15"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Pr>
                <w:sz w:val="20"/>
                <w:szCs w:val="20"/>
              </w:rPr>
              <w:t>Commitments</w:t>
            </w:r>
          </w:p>
        </w:tc>
        <w:tc>
          <w:tcPr>
            <w:tcW w:w="2126" w:type="dxa"/>
            <w:shd w:val="clear" w:color="auto" w:fill="FFFFFF" w:themeFill="background1"/>
          </w:tcPr>
          <w:p w14:paraId="08E6D308" w14:textId="77777777" w:rsidR="009C7D14" w:rsidRPr="007D3871" w:rsidRDefault="009C7D14" w:rsidP="003B57E4">
            <w:pPr>
              <w:spacing w:after="0" w:line="240" w:lineRule="auto"/>
              <w:rPr>
                <w:sz w:val="20"/>
                <w:szCs w:val="20"/>
              </w:rPr>
            </w:pPr>
            <w:r w:rsidRPr="007D3871">
              <w:rPr>
                <w:sz w:val="20"/>
                <w:szCs w:val="20"/>
              </w:rPr>
              <w:t xml:space="preserve">Does this organisation provide details of </w:t>
            </w:r>
            <w:r>
              <w:rPr>
                <w:sz w:val="20"/>
                <w:szCs w:val="20"/>
              </w:rPr>
              <w:t>the overall financial commitment made to the activity</w:t>
            </w:r>
            <w:r w:rsidRPr="007D3871">
              <w:rPr>
                <w:sz w:val="20"/>
                <w:szCs w:val="20"/>
              </w:rPr>
              <w:t>?</w:t>
            </w:r>
          </w:p>
        </w:tc>
        <w:tc>
          <w:tcPr>
            <w:tcW w:w="4961" w:type="dxa"/>
            <w:shd w:val="clear" w:color="auto" w:fill="FFFFFF" w:themeFill="background1"/>
          </w:tcPr>
          <w:p w14:paraId="1A3A8AB0" w14:textId="77777777" w:rsidR="009C7D14" w:rsidRDefault="009C7D14" w:rsidP="003B57E4">
            <w:pPr>
              <w:spacing w:after="0" w:line="240" w:lineRule="auto"/>
              <w:rPr>
                <w:sz w:val="20"/>
                <w:szCs w:val="20"/>
              </w:rPr>
            </w:pPr>
            <w:r>
              <w:rPr>
                <w:sz w:val="20"/>
                <w:szCs w:val="20"/>
              </w:rPr>
              <w:t>This refers to the financial</w:t>
            </w:r>
            <w:r w:rsidRPr="009C4BB6">
              <w:rPr>
                <w:sz w:val="20"/>
                <w:szCs w:val="20"/>
              </w:rPr>
              <w:t xml:space="preserve"> commitment for the activity as a whole for the lifetime of the activity</w:t>
            </w:r>
            <w:r>
              <w:rPr>
                <w:sz w:val="20"/>
                <w:szCs w:val="20"/>
              </w:rPr>
              <w:t>. This is generally a</w:t>
            </w:r>
            <w:r w:rsidRPr="007D3871">
              <w:rPr>
                <w:sz w:val="20"/>
                <w:szCs w:val="20"/>
              </w:rPr>
              <w:t xml:space="preserve"> high level commitment rather than a detailed breakdown of the activity budget</w:t>
            </w:r>
            <w:r>
              <w:rPr>
                <w:sz w:val="20"/>
                <w:szCs w:val="20"/>
              </w:rPr>
              <w:t>.</w:t>
            </w:r>
          </w:p>
          <w:p w14:paraId="52E73EEE" w14:textId="77777777" w:rsidR="009C7D14" w:rsidRDefault="009C7D14" w:rsidP="003B57E4">
            <w:pPr>
              <w:spacing w:after="0" w:line="240" w:lineRule="auto"/>
              <w:rPr>
                <w:sz w:val="20"/>
                <w:szCs w:val="20"/>
              </w:rPr>
            </w:pPr>
          </w:p>
          <w:p w14:paraId="0C6604C2" w14:textId="77777777" w:rsidR="009C7D14" w:rsidRPr="007D3871" w:rsidRDefault="009C7D14" w:rsidP="003B57E4">
            <w:pPr>
              <w:spacing w:after="0" w:line="240" w:lineRule="auto"/>
              <w:rPr>
                <w:sz w:val="20"/>
                <w:szCs w:val="20"/>
              </w:rPr>
            </w:pPr>
            <w:r>
              <w:rPr>
                <w:sz w:val="20"/>
                <w:szCs w:val="20"/>
              </w:rPr>
              <w:t>The IATI reference for this indicator is: Transaction (transaction type = commitment).</w:t>
            </w:r>
          </w:p>
        </w:tc>
        <w:tc>
          <w:tcPr>
            <w:tcW w:w="4394" w:type="dxa"/>
            <w:shd w:val="clear" w:color="auto" w:fill="FFFFFF" w:themeFill="background1"/>
          </w:tcPr>
          <w:p w14:paraId="40D14737" w14:textId="77777777" w:rsidR="009C7D14" w:rsidRPr="007D3871" w:rsidRDefault="009C7D14" w:rsidP="003B57E4">
            <w:pPr>
              <w:spacing w:after="0" w:line="240" w:lineRule="auto"/>
              <w:rPr>
                <w:sz w:val="20"/>
                <w:szCs w:val="20"/>
              </w:rPr>
            </w:pPr>
          </w:p>
        </w:tc>
      </w:tr>
      <w:tr w:rsidR="009C7D14" w:rsidRPr="007D3871" w14:paraId="331F1A17" w14:textId="77777777" w:rsidTr="00AF7769">
        <w:trPr>
          <w:trHeight w:val="227"/>
        </w:trPr>
        <w:tc>
          <w:tcPr>
            <w:tcW w:w="1418" w:type="dxa"/>
            <w:vMerge/>
            <w:shd w:val="clear" w:color="auto" w:fill="FFFFFF" w:themeFill="background1"/>
            <w:hideMark/>
          </w:tcPr>
          <w:p w14:paraId="719F6819"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0B697142"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Pr>
                <w:sz w:val="20"/>
                <w:szCs w:val="20"/>
              </w:rPr>
              <w:t xml:space="preserve">Disbursements &amp; </w:t>
            </w:r>
            <w:r w:rsidRPr="007D3871">
              <w:rPr>
                <w:sz w:val="20"/>
                <w:szCs w:val="20"/>
              </w:rPr>
              <w:t>expenditures</w:t>
            </w:r>
          </w:p>
        </w:tc>
        <w:tc>
          <w:tcPr>
            <w:tcW w:w="2126" w:type="dxa"/>
            <w:shd w:val="clear" w:color="auto" w:fill="FFFFFF" w:themeFill="background1"/>
          </w:tcPr>
          <w:p w14:paraId="672AB349" w14:textId="77777777" w:rsidR="009C7D14" w:rsidRPr="007D3871" w:rsidRDefault="009C7D14" w:rsidP="003B57E4">
            <w:pPr>
              <w:spacing w:after="0" w:line="240" w:lineRule="auto"/>
              <w:rPr>
                <w:sz w:val="20"/>
                <w:szCs w:val="20"/>
              </w:rPr>
            </w:pPr>
            <w:r w:rsidRPr="007D3871">
              <w:rPr>
                <w:sz w:val="20"/>
                <w:szCs w:val="20"/>
              </w:rPr>
              <w:t>Does this organisation provide transaction-level details of individual actual financial disbursements / expenditures for this activity?</w:t>
            </w:r>
          </w:p>
        </w:tc>
        <w:tc>
          <w:tcPr>
            <w:tcW w:w="4961" w:type="dxa"/>
            <w:shd w:val="clear" w:color="auto" w:fill="FFFFFF" w:themeFill="background1"/>
          </w:tcPr>
          <w:p w14:paraId="6C2CEE34" w14:textId="77777777" w:rsidR="009C7D14" w:rsidRPr="007D3871" w:rsidRDefault="009C7D14" w:rsidP="003B57E4">
            <w:pPr>
              <w:spacing w:after="0" w:line="240" w:lineRule="auto"/>
              <w:rPr>
                <w:sz w:val="20"/>
                <w:szCs w:val="20"/>
              </w:rPr>
            </w:pPr>
            <w:r w:rsidRPr="007D3871">
              <w:rPr>
                <w:sz w:val="20"/>
                <w:szCs w:val="20"/>
              </w:rPr>
              <w:t xml:space="preserve">Individual actual financial disbursements must be related to individual activities and must be on a per-transaction basis. Each activity is likely to have several transactions. </w:t>
            </w:r>
            <w:r w:rsidRPr="007D3871">
              <w:rPr>
                <w:sz w:val="20"/>
                <w:szCs w:val="20"/>
              </w:rPr>
              <w:br/>
            </w:r>
            <w:r w:rsidRPr="007D3871">
              <w:rPr>
                <w:sz w:val="20"/>
                <w:szCs w:val="20"/>
              </w:rPr>
              <w:br/>
            </w:r>
            <w:r>
              <w:rPr>
                <w:sz w:val="20"/>
                <w:szCs w:val="20"/>
              </w:rPr>
              <w:t>The IATI reference for this indicator is: Transaction (transaction type = disbursement and expenditure).</w:t>
            </w:r>
          </w:p>
        </w:tc>
        <w:tc>
          <w:tcPr>
            <w:tcW w:w="4394" w:type="dxa"/>
            <w:shd w:val="clear" w:color="auto" w:fill="FFFFFF" w:themeFill="background1"/>
          </w:tcPr>
          <w:p w14:paraId="12BB364E" w14:textId="77777777" w:rsidR="009C7D14" w:rsidRPr="00A448C3" w:rsidRDefault="009C7D14" w:rsidP="003B57E4">
            <w:pPr>
              <w:spacing w:after="0" w:line="240" w:lineRule="auto"/>
              <w:rPr>
                <w:sz w:val="20"/>
                <w:szCs w:val="20"/>
                <w:highlight w:val="yellow"/>
              </w:rPr>
            </w:pPr>
            <w:r w:rsidRPr="00BC7034">
              <w:rPr>
                <w:sz w:val="20"/>
                <w:szCs w:val="20"/>
              </w:rPr>
              <w:t xml:space="preserve">While such information might be considered to be commercially sensitive by some organisations, Publish What You Fund’s view is that actual expenditure information is </w:t>
            </w:r>
            <w:r>
              <w:rPr>
                <w:sz w:val="20"/>
                <w:szCs w:val="20"/>
              </w:rPr>
              <w:t>less</w:t>
            </w:r>
            <w:r w:rsidRPr="00BC7034">
              <w:rPr>
                <w:sz w:val="20"/>
                <w:szCs w:val="20"/>
              </w:rPr>
              <w:t xml:space="preserve"> sensitive once the money has been spent. Hence all organisations are scored on this indicator. For IFIs and DFIs, the total fund/loan amount </w:t>
            </w:r>
            <w:r w:rsidR="009F3688">
              <w:rPr>
                <w:sz w:val="20"/>
                <w:szCs w:val="20"/>
              </w:rPr>
              <w:t xml:space="preserve">spent </w:t>
            </w:r>
            <w:r w:rsidRPr="00BC7034">
              <w:rPr>
                <w:sz w:val="20"/>
                <w:szCs w:val="20"/>
              </w:rPr>
              <w:t xml:space="preserve">is accepted </w:t>
            </w:r>
            <w:r>
              <w:rPr>
                <w:sz w:val="20"/>
                <w:szCs w:val="20"/>
              </w:rPr>
              <w:t>and</w:t>
            </w:r>
            <w:r w:rsidRPr="00BC7034">
              <w:rPr>
                <w:sz w:val="20"/>
                <w:szCs w:val="20"/>
              </w:rPr>
              <w:t xml:space="preserve"> details of the loan repayment costs and related charges can be redacted. </w:t>
            </w:r>
            <w:r w:rsidRPr="003E15DC">
              <w:rPr>
                <w:sz w:val="20"/>
                <w:szCs w:val="20"/>
              </w:rPr>
              <w:t>The specific reasons for the redactions need to be explicitly stated</w:t>
            </w:r>
            <w:r w:rsidRPr="00C12431">
              <w:rPr>
                <w:sz w:val="20"/>
                <w:szCs w:val="20"/>
              </w:rPr>
              <w:t xml:space="preserve"> in detail and must clarify why the information is commercially sensitive and would cause material and direct harm if published.</w:t>
            </w:r>
          </w:p>
        </w:tc>
      </w:tr>
      <w:tr w:rsidR="009C7D14" w:rsidRPr="007D3871" w14:paraId="6BF6620B" w14:textId="77777777" w:rsidTr="00AF7769">
        <w:trPr>
          <w:trHeight w:val="227"/>
        </w:trPr>
        <w:tc>
          <w:tcPr>
            <w:tcW w:w="1418" w:type="dxa"/>
            <w:vMerge/>
            <w:shd w:val="clear" w:color="auto" w:fill="FFFFFF" w:themeFill="background1"/>
            <w:hideMark/>
          </w:tcPr>
          <w:p w14:paraId="4B38B055"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58D18DC3"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Budget ID</w:t>
            </w:r>
          </w:p>
        </w:tc>
        <w:tc>
          <w:tcPr>
            <w:tcW w:w="2126" w:type="dxa"/>
            <w:shd w:val="clear" w:color="auto" w:fill="FFFFFF" w:themeFill="background1"/>
          </w:tcPr>
          <w:p w14:paraId="7A38465B" w14:textId="77777777" w:rsidR="009C7D14" w:rsidRPr="007D3871" w:rsidRDefault="009C7D14" w:rsidP="003B57E4">
            <w:pPr>
              <w:spacing w:after="0" w:line="240" w:lineRule="auto"/>
              <w:rPr>
                <w:sz w:val="20"/>
                <w:szCs w:val="20"/>
              </w:rPr>
            </w:pPr>
            <w:r w:rsidRPr="007D3871">
              <w:rPr>
                <w:sz w:val="20"/>
                <w:szCs w:val="20"/>
              </w:rPr>
              <w:t>Does this organisation provide information about the activity that can link the activity to the recipient government’s relevant budget classifications?</w:t>
            </w:r>
          </w:p>
        </w:tc>
        <w:tc>
          <w:tcPr>
            <w:tcW w:w="4961" w:type="dxa"/>
            <w:shd w:val="clear" w:color="auto" w:fill="FFFFFF" w:themeFill="background1"/>
          </w:tcPr>
          <w:p w14:paraId="5BF00D10" w14:textId="77777777" w:rsidR="009C7D14" w:rsidRPr="007D3871" w:rsidRDefault="009C7D14" w:rsidP="003B57E4">
            <w:pPr>
              <w:spacing w:after="0" w:line="240" w:lineRule="auto"/>
              <w:rPr>
                <w:sz w:val="20"/>
                <w:szCs w:val="20"/>
              </w:rPr>
            </w:pPr>
            <w:r w:rsidRPr="007D3871">
              <w:rPr>
                <w:sz w:val="20"/>
                <w:szCs w:val="20"/>
              </w:rPr>
              <w:t>The budget classification is a way of linking the activity to the recipient country government’s own budget codes. There are two parts to this indicator. The administrative classification can either be provided as the budget codes themselves, or as a common code that can map from a donor organisation’s detailed purpose codes to the recipient country’s functional or administrative budget classifications. In addition, the economic classification provides the percentage of the budget that is capital versus current expenditure.</w:t>
            </w:r>
          </w:p>
          <w:p w14:paraId="23321055" w14:textId="77777777" w:rsidR="009C7D14" w:rsidRDefault="009C7D14" w:rsidP="003B57E4">
            <w:pPr>
              <w:spacing w:after="0" w:line="240" w:lineRule="auto"/>
              <w:rPr>
                <w:sz w:val="20"/>
                <w:szCs w:val="20"/>
              </w:rPr>
            </w:pPr>
          </w:p>
          <w:p w14:paraId="52A94779" w14:textId="77777777" w:rsidR="009C7D14" w:rsidRPr="007D3871" w:rsidRDefault="009C7D14" w:rsidP="003B57E4">
            <w:pPr>
              <w:spacing w:after="0" w:line="240" w:lineRule="auto"/>
              <w:rPr>
                <w:sz w:val="20"/>
                <w:szCs w:val="20"/>
              </w:rPr>
            </w:pPr>
            <w:r>
              <w:rPr>
                <w:sz w:val="20"/>
                <w:szCs w:val="20"/>
              </w:rPr>
              <w:t xml:space="preserve">The IATI reference for this indicator is: Country budget items and capital spend. </w:t>
            </w:r>
          </w:p>
        </w:tc>
        <w:tc>
          <w:tcPr>
            <w:tcW w:w="4394" w:type="dxa"/>
            <w:shd w:val="clear" w:color="auto" w:fill="FFFFFF" w:themeFill="background1"/>
          </w:tcPr>
          <w:p w14:paraId="4327C872" w14:textId="77777777" w:rsidR="009C7D14" w:rsidRDefault="009C7D14" w:rsidP="003B57E4">
            <w:pPr>
              <w:spacing w:after="0" w:line="240" w:lineRule="auto"/>
              <w:rPr>
                <w:sz w:val="20"/>
                <w:szCs w:val="20"/>
              </w:rPr>
            </w:pPr>
            <w:r w:rsidRPr="007D3871">
              <w:rPr>
                <w:sz w:val="20"/>
                <w:szCs w:val="20"/>
              </w:rPr>
              <w:t>This indicator is</w:t>
            </w:r>
            <w:r w:rsidR="00A34A3E">
              <w:rPr>
                <w:sz w:val="20"/>
                <w:szCs w:val="20"/>
              </w:rPr>
              <w:t xml:space="preserve"> retained for all organisations.</w:t>
            </w:r>
          </w:p>
          <w:p w14:paraId="68418EEF" w14:textId="77777777" w:rsidR="00A34A3E" w:rsidRPr="007D3871" w:rsidRDefault="00A34A3E" w:rsidP="003B57E4">
            <w:pPr>
              <w:spacing w:after="0" w:line="240" w:lineRule="auto"/>
              <w:rPr>
                <w:sz w:val="20"/>
                <w:szCs w:val="20"/>
              </w:rPr>
            </w:pPr>
          </w:p>
          <w:p w14:paraId="361558A4" w14:textId="77777777" w:rsidR="009C7D14" w:rsidRPr="007D3871" w:rsidRDefault="009C7D14" w:rsidP="003B57E4">
            <w:pPr>
              <w:spacing w:after="0" w:line="240" w:lineRule="auto"/>
              <w:rPr>
                <w:sz w:val="20"/>
                <w:szCs w:val="20"/>
              </w:rPr>
            </w:pPr>
            <w:r w:rsidRPr="007D3871">
              <w:rPr>
                <w:sz w:val="20"/>
                <w:szCs w:val="20"/>
              </w:rPr>
              <w:t>The budget identifier helps to explain aid flows in the context of the recipient government's own budget. It does not relate only to those flows that are direct to the government ("on budget"), but also to other flows which may relate to the government's own budget. In cases where the organisation is only providing private sector investment, budget classifications are still possible. Such activities could, for example, be classified as current expenditure under the microfinance and financial services function.</w:t>
            </w:r>
          </w:p>
        </w:tc>
      </w:tr>
      <w:tr w:rsidR="009C7D14" w:rsidRPr="007D3871" w14:paraId="26D2802D" w14:textId="77777777" w:rsidTr="00AF7769">
        <w:trPr>
          <w:trHeight w:val="227"/>
        </w:trPr>
        <w:tc>
          <w:tcPr>
            <w:tcW w:w="1418" w:type="dxa"/>
            <w:vMerge w:val="restart"/>
            <w:shd w:val="clear" w:color="auto" w:fill="FFFFFF" w:themeFill="background1"/>
            <w:hideMark/>
          </w:tcPr>
          <w:p w14:paraId="661C315C" w14:textId="77777777" w:rsidR="009C7D14" w:rsidRPr="007D3871" w:rsidRDefault="009C7D14" w:rsidP="003B57E4">
            <w:pPr>
              <w:spacing w:after="0" w:line="240" w:lineRule="auto"/>
              <w:rPr>
                <w:sz w:val="20"/>
                <w:szCs w:val="20"/>
              </w:rPr>
            </w:pPr>
            <w:r w:rsidRPr="007D3871">
              <w:rPr>
                <w:sz w:val="20"/>
                <w:szCs w:val="20"/>
              </w:rPr>
              <w:t>Performance</w:t>
            </w:r>
          </w:p>
        </w:tc>
        <w:tc>
          <w:tcPr>
            <w:tcW w:w="1843" w:type="dxa"/>
            <w:shd w:val="clear" w:color="auto" w:fill="FFFFFF" w:themeFill="background1"/>
            <w:noWrap/>
            <w:hideMark/>
          </w:tcPr>
          <w:p w14:paraId="629E8FE1"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Results</w:t>
            </w:r>
          </w:p>
        </w:tc>
        <w:tc>
          <w:tcPr>
            <w:tcW w:w="2126" w:type="dxa"/>
            <w:shd w:val="clear" w:color="auto" w:fill="FFFFFF" w:themeFill="background1"/>
          </w:tcPr>
          <w:p w14:paraId="7802956F" w14:textId="77777777" w:rsidR="009C7D14" w:rsidRPr="007D3871" w:rsidRDefault="009C7D14" w:rsidP="003B57E4">
            <w:pPr>
              <w:spacing w:after="0" w:line="240" w:lineRule="auto"/>
              <w:rPr>
                <w:sz w:val="20"/>
                <w:szCs w:val="20"/>
              </w:rPr>
            </w:pPr>
            <w:r w:rsidRPr="007D3871">
              <w:rPr>
                <w:sz w:val="20"/>
                <w:szCs w:val="20"/>
              </w:rPr>
              <w:t>Are results, outcomes and outputs published for all completed activities in this recipient country?</w:t>
            </w:r>
          </w:p>
        </w:tc>
        <w:tc>
          <w:tcPr>
            <w:tcW w:w="4961" w:type="dxa"/>
            <w:shd w:val="clear" w:color="auto" w:fill="FFFFFF" w:themeFill="background1"/>
          </w:tcPr>
          <w:p w14:paraId="162BB658" w14:textId="77777777" w:rsidR="009C7D14" w:rsidRDefault="009C7D14" w:rsidP="003B57E4">
            <w:pPr>
              <w:spacing w:after="0" w:line="240" w:lineRule="auto"/>
              <w:rPr>
                <w:sz w:val="20"/>
                <w:szCs w:val="20"/>
              </w:rPr>
            </w:pPr>
            <w:r w:rsidRPr="007D3871">
              <w:rPr>
                <w:sz w:val="20"/>
                <w:szCs w:val="20"/>
              </w:rPr>
              <w:t xml:space="preserve">The results show whether activities achieved their intended outputs in accordance with the stated goals or plans. This information often refers to logframes and results chains and may be within a specific results or evaluation section of the organisation’s website. </w:t>
            </w:r>
          </w:p>
          <w:p w14:paraId="25FEFA8E" w14:textId="77777777" w:rsidR="009C7D14" w:rsidRDefault="009C7D14" w:rsidP="003B57E4">
            <w:pPr>
              <w:spacing w:after="0" w:line="240" w:lineRule="auto"/>
              <w:rPr>
                <w:sz w:val="20"/>
                <w:szCs w:val="20"/>
              </w:rPr>
            </w:pPr>
          </w:p>
          <w:p w14:paraId="41DECFFC" w14:textId="77777777" w:rsidR="009C7D14" w:rsidRPr="007D3871" w:rsidRDefault="009C7D14" w:rsidP="003B57E4">
            <w:pPr>
              <w:spacing w:after="0" w:line="240" w:lineRule="auto"/>
              <w:rPr>
                <w:sz w:val="20"/>
                <w:szCs w:val="20"/>
              </w:rPr>
            </w:pPr>
            <w:r>
              <w:rPr>
                <w:sz w:val="20"/>
                <w:szCs w:val="20"/>
              </w:rPr>
              <w:t>The IATI reference</w:t>
            </w:r>
            <w:r w:rsidR="00AD6FCA">
              <w:rPr>
                <w:sz w:val="20"/>
                <w:szCs w:val="20"/>
              </w:rPr>
              <w:t>s</w:t>
            </w:r>
            <w:r>
              <w:rPr>
                <w:sz w:val="20"/>
                <w:szCs w:val="20"/>
              </w:rPr>
              <w:t xml:space="preserve"> for this indicator </w:t>
            </w:r>
            <w:r w:rsidR="00AD6FCA">
              <w:rPr>
                <w:sz w:val="20"/>
                <w:szCs w:val="20"/>
              </w:rPr>
              <w:t>are</w:t>
            </w:r>
            <w:r>
              <w:rPr>
                <w:sz w:val="20"/>
                <w:szCs w:val="20"/>
              </w:rPr>
              <w:t>: Result and</w:t>
            </w:r>
            <w:r w:rsidR="00AD6FCA">
              <w:rPr>
                <w:sz w:val="20"/>
                <w:szCs w:val="20"/>
              </w:rPr>
              <w:t>/or</w:t>
            </w:r>
            <w:r>
              <w:rPr>
                <w:sz w:val="20"/>
                <w:szCs w:val="20"/>
              </w:rPr>
              <w:t xml:space="preserve"> </w:t>
            </w:r>
            <w:r w:rsidR="00AD6FCA">
              <w:rPr>
                <w:sz w:val="20"/>
                <w:szCs w:val="20"/>
              </w:rPr>
              <w:t>R</w:t>
            </w:r>
            <w:r>
              <w:rPr>
                <w:sz w:val="20"/>
                <w:szCs w:val="20"/>
              </w:rPr>
              <w:t>esults, outcomes and outputs (Document code = A08).</w:t>
            </w:r>
          </w:p>
        </w:tc>
        <w:tc>
          <w:tcPr>
            <w:tcW w:w="4394" w:type="dxa"/>
            <w:shd w:val="clear" w:color="auto" w:fill="FFFFFF" w:themeFill="background1"/>
          </w:tcPr>
          <w:p w14:paraId="1BDDCB71" w14:textId="77777777" w:rsidR="009C7D14" w:rsidRPr="007D3871" w:rsidRDefault="009C7D14" w:rsidP="00D9120A">
            <w:pPr>
              <w:spacing w:after="0" w:line="240" w:lineRule="auto"/>
              <w:rPr>
                <w:sz w:val="20"/>
                <w:szCs w:val="20"/>
              </w:rPr>
            </w:pPr>
            <w:r>
              <w:rPr>
                <w:sz w:val="20"/>
                <w:szCs w:val="20"/>
              </w:rPr>
              <w:t xml:space="preserve">Both current and completed activities </w:t>
            </w:r>
            <w:r w:rsidR="00D9120A">
              <w:rPr>
                <w:sz w:val="20"/>
                <w:szCs w:val="20"/>
              </w:rPr>
              <w:t>are</w:t>
            </w:r>
            <w:r>
              <w:rPr>
                <w:sz w:val="20"/>
                <w:szCs w:val="20"/>
              </w:rPr>
              <w:t xml:space="preserve"> considered for this indicator. If the activity is ongoing then the expected results should be available. If the activity has ended then the actual results should be available within 12 months of ending. </w:t>
            </w:r>
          </w:p>
        </w:tc>
      </w:tr>
      <w:tr w:rsidR="009C7D14" w:rsidRPr="007D3871" w14:paraId="18C41719" w14:textId="77777777" w:rsidTr="00AF7769">
        <w:trPr>
          <w:trHeight w:val="227"/>
        </w:trPr>
        <w:tc>
          <w:tcPr>
            <w:tcW w:w="1418" w:type="dxa"/>
            <w:vMerge/>
            <w:shd w:val="clear" w:color="auto" w:fill="FFFFFF" w:themeFill="background1"/>
            <w:hideMark/>
          </w:tcPr>
          <w:p w14:paraId="748BF4D1"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383BF827"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Impact appraisals</w:t>
            </w:r>
          </w:p>
        </w:tc>
        <w:tc>
          <w:tcPr>
            <w:tcW w:w="2126" w:type="dxa"/>
            <w:shd w:val="clear" w:color="auto" w:fill="FFFFFF" w:themeFill="background1"/>
          </w:tcPr>
          <w:p w14:paraId="6FABBE51" w14:textId="77777777" w:rsidR="009C7D14" w:rsidRPr="007D3871" w:rsidRDefault="009C7D14" w:rsidP="003B57E4">
            <w:pPr>
              <w:spacing w:after="0" w:line="240" w:lineRule="auto"/>
              <w:rPr>
                <w:sz w:val="20"/>
                <w:szCs w:val="20"/>
              </w:rPr>
            </w:pPr>
            <w:r w:rsidRPr="007D3871">
              <w:rPr>
                <w:sz w:val="20"/>
                <w:szCs w:val="20"/>
              </w:rPr>
              <w:t>Are pre-project impact appraisals published?</w:t>
            </w:r>
          </w:p>
        </w:tc>
        <w:tc>
          <w:tcPr>
            <w:tcW w:w="4961" w:type="dxa"/>
            <w:shd w:val="clear" w:color="auto" w:fill="FFFFFF" w:themeFill="background1"/>
          </w:tcPr>
          <w:p w14:paraId="2AB11493" w14:textId="77777777" w:rsidR="009C7D14" w:rsidRPr="007D3871" w:rsidRDefault="009C7D14" w:rsidP="003B57E4">
            <w:pPr>
              <w:spacing w:after="0" w:line="240" w:lineRule="auto"/>
              <w:rPr>
                <w:sz w:val="20"/>
                <w:szCs w:val="20"/>
              </w:rPr>
            </w:pPr>
            <w:r w:rsidRPr="007D3871">
              <w:rPr>
                <w:sz w:val="20"/>
                <w:szCs w:val="20"/>
              </w:rPr>
              <w:t>Pre-project impact appraisals explain the totality of positive and negative, primary and secondary effects expected to be produced by a development intervention.</w:t>
            </w:r>
          </w:p>
          <w:p w14:paraId="666F1BA6" w14:textId="77777777" w:rsidR="009C7D14" w:rsidRPr="007D3871" w:rsidRDefault="009C7D14" w:rsidP="003B57E4">
            <w:pPr>
              <w:spacing w:after="0" w:line="240" w:lineRule="auto"/>
              <w:rPr>
                <w:sz w:val="20"/>
                <w:szCs w:val="20"/>
              </w:rPr>
            </w:pPr>
          </w:p>
          <w:p w14:paraId="4F849DC0" w14:textId="77777777" w:rsidR="009C7D14" w:rsidRDefault="009C7D14" w:rsidP="003B57E4">
            <w:pPr>
              <w:spacing w:after="0" w:line="240" w:lineRule="auto"/>
              <w:rPr>
                <w:sz w:val="20"/>
                <w:szCs w:val="20"/>
              </w:rPr>
            </w:pPr>
            <w:r w:rsidRPr="007D3871">
              <w:rPr>
                <w:sz w:val="20"/>
                <w:szCs w:val="20"/>
              </w:rPr>
              <w:t>Environmental impact assessments as well as impact assessments which explain what objectives the project itself intends to provide are accepted.</w:t>
            </w:r>
          </w:p>
          <w:p w14:paraId="2DA49E8D" w14:textId="77777777" w:rsidR="009C7D14" w:rsidRDefault="009C7D14" w:rsidP="003B57E4">
            <w:pPr>
              <w:spacing w:after="0" w:line="240" w:lineRule="auto"/>
              <w:rPr>
                <w:sz w:val="20"/>
                <w:szCs w:val="20"/>
              </w:rPr>
            </w:pPr>
          </w:p>
          <w:p w14:paraId="1F634BDC" w14:textId="77777777" w:rsidR="009C7D14" w:rsidRPr="007D3871" w:rsidRDefault="009C7D14" w:rsidP="003B57E4">
            <w:pPr>
              <w:spacing w:after="0" w:line="240" w:lineRule="auto"/>
              <w:rPr>
                <w:sz w:val="20"/>
                <w:szCs w:val="20"/>
              </w:rPr>
            </w:pPr>
            <w:r>
              <w:rPr>
                <w:sz w:val="20"/>
                <w:szCs w:val="20"/>
              </w:rPr>
              <w:t>The IATI reference for this indicator is: Pre and post-project impact appraisal (document code = A01).</w:t>
            </w:r>
          </w:p>
        </w:tc>
        <w:tc>
          <w:tcPr>
            <w:tcW w:w="4394" w:type="dxa"/>
            <w:shd w:val="clear" w:color="auto" w:fill="FFFFFF" w:themeFill="background1"/>
          </w:tcPr>
          <w:p w14:paraId="3F61F915" w14:textId="77777777" w:rsidR="009C7D14" w:rsidRPr="007D3871" w:rsidRDefault="009C7D14" w:rsidP="003B57E4">
            <w:pPr>
              <w:spacing w:after="0" w:line="240" w:lineRule="auto"/>
              <w:rPr>
                <w:sz w:val="20"/>
                <w:szCs w:val="20"/>
              </w:rPr>
            </w:pPr>
            <w:r w:rsidRPr="007D3871">
              <w:rPr>
                <w:sz w:val="20"/>
                <w:szCs w:val="20"/>
              </w:rPr>
              <w:t xml:space="preserve">IFIs and DFIs tend only to publish impact appraisals if regulations require them to, but given the link they have to the eventual impact and results of the activity, all organisations are scored on this indicator. </w:t>
            </w:r>
          </w:p>
          <w:p w14:paraId="2C9D8361" w14:textId="77777777" w:rsidR="009C7D14" w:rsidRPr="007D3871" w:rsidRDefault="009C7D14" w:rsidP="003B57E4">
            <w:pPr>
              <w:spacing w:after="0" w:line="240" w:lineRule="auto"/>
              <w:rPr>
                <w:sz w:val="20"/>
                <w:szCs w:val="20"/>
              </w:rPr>
            </w:pPr>
          </w:p>
          <w:p w14:paraId="31C5F788" w14:textId="77777777" w:rsidR="009C7D14" w:rsidRPr="007D3871" w:rsidRDefault="009C7D14" w:rsidP="003B57E4">
            <w:pPr>
              <w:spacing w:after="0" w:line="240" w:lineRule="auto"/>
              <w:rPr>
                <w:sz w:val="20"/>
                <w:szCs w:val="20"/>
              </w:rPr>
            </w:pPr>
            <w:r w:rsidRPr="007D3871">
              <w:rPr>
                <w:sz w:val="20"/>
                <w:szCs w:val="20"/>
              </w:rPr>
              <w:t>For loans or private sector investment, risk assessments and the fiscal objectives detailed in the loan document are accepted. These need to be sufficiently detailed and include any criteria used to assess eligibility for receiving the loan.</w:t>
            </w:r>
          </w:p>
          <w:p w14:paraId="12B5E756" w14:textId="77777777" w:rsidR="009C7D14" w:rsidRPr="007D3871" w:rsidRDefault="009C7D14" w:rsidP="003B57E4">
            <w:pPr>
              <w:spacing w:after="0" w:line="240" w:lineRule="auto"/>
              <w:rPr>
                <w:sz w:val="20"/>
                <w:szCs w:val="20"/>
              </w:rPr>
            </w:pPr>
          </w:p>
          <w:p w14:paraId="67789A4B" w14:textId="77777777" w:rsidR="009C7D14" w:rsidRPr="007D3871" w:rsidRDefault="009C7D14" w:rsidP="003B57E4">
            <w:pPr>
              <w:spacing w:after="0" w:line="240" w:lineRule="auto"/>
              <w:rPr>
                <w:sz w:val="20"/>
                <w:szCs w:val="20"/>
              </w:rPr>
            </w:pPr>
            <w:r w:rsidRPr="007D3871">
              <w:rPr>
                <w:sz w:val="20"/>
                <w:szCs w:val="20"/>
              </w:rPr>
              <w:t>Humanitarian Implementation Plans (HIPs) and project plans are accepted for humanitarian agencies.</w:t>
            </w:r>
          </w:p>
        </w:tc>
      </w:tr>
      <w:tr w:rsidR="009C7D14" w:rsidRPr="007D3871" w14:paraId="54D2527C" w14:textId="77777777" w:rsidTr="00AF7769">
        <w:trPr>
          <w:trHeight w:val="227"/>
        </w:trPr>
        <w:tc>
          <w:tcPr>
            <w:tcW w:w="1418" w:type="dxa"/>
            <w:vMerge/>
            <w:shd w:val="clear" w:color="auto" w:fill="FFFFFF" w:themeFill="background1"/>
            <w:hideMark/>
          </w:tcPr>
          <w:p w14:paraId="35B6EA7B" w14:textId="77777777"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14:paraId="454E46B4" w14:textId="77777777"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Conditions</w:t>
            </w:r>
          </w:p>
        </w:tc>
        <w:tc>
          <w:tcPr>
            <w:tcW w:w="2126" w:type="dxa"/>
            <w:shd w:val="clear" w:color="auto" w:fill="FFFFFF" w:themeFill="background1"/>
          </w:tcPr>
          <w:p w14:paraId="66FB2EF2" w14:textId="77777777" w:rsidR="009C7D14" w:rsidRPr="007D3871" w:rsidRDefault="009C7D14" w:rsidP="003B57E4">
            <w:pPr>
              <w:spacing w:after="0" w:line="240" w:lineRule="auto"/>
              <w:rPr>
                <w:sz w:val="20"/>
                <w:szCs w:val="20"/>
              </w:rPr>
            </w:pPr>
            <w:r w:rsidRPr="007D3871">
              <w:rPr>
                <w:sz w:val="20"/>
                <w:szCs w:val="20"/>
              </w:rPr>
              <w:t>Are the terms and conditions attached to the activity published?</w:t>
            </w:r>
          </w:p>
        </w:tc>
        <w:tc>
          <w:tcPr>
            <w:tcW w:w="4961" w:type="dxa"/>
            <w:shd w:val="clear" w:color="auto" w:fill="FFFFFF" w:themeFill="background1"/>
          </w:tcPr>
          <w:p w14:paraId="4D44E5A9" w14:textId="77777777" w:rsidR="009C7D14" w:rsidRDefault="009C7D14" w:rsidP="003B57E4">
            <w:pPr>
              <w:spacing w:after="0" w:line="240" w:lineRule="auto"/>
              <w:rPr>
                <w:sz w:val="20"/>
                <w:szCs w:val="20"/>
              </w:rPr>
            </w:pPr>
            <w:r w:rsidRPr="007D3871">
              <w:rPr>
                <w:sz w:val="20"/>
                <w:szCs w:val="20"/>
              </w:rPr>
              <w:t>The terms and conditions of the activity may also be referred to as benchmarks, priors, or involve words such as “subject to...”. They are specific to an individual activity and explain what the recipient must do in order to be eligible for the funds to be released.</w:t>
            </w:r>
            <w:r w:rsidRPr="007D3871">
              <w:rPr>
                <w:sz w:val="20"/>
                <w:szCs w:val="20"/>
              </w:rPr>
              <w:br/>
            </w:r>
            <w:r w:rsidRPr="007D3871">
              <w:rPr>
                <w:sz w:val="20"/>
                <w:szCs w:val="20"/>
              </w:rPr>
              <w:br/>
              <w:t>The conditions should include loan repayment terms if the activity is financed by a loan.</w:t>
            </w:r>
          </w:p>
          <w:p w14:paraId="672B65E0" w14:textId="77777777" w:rsidR="009C7D14" w:rsidRDefault="009C7D14" w:rsidP="003B57E4">
            <w:pPr>
              <w:spacing w:after="0" w:line="240" w:lineRule="auto"/>
              <w:rPr>
                <w:sz w:val="20"/>
                <w:szCs w:val="20"/>
              </w:rPr>
            </w:pPr>
          </w:p>
          <w:p w14:paraId="06F02848" w14:textId="77777777" w:rsidR="009C7D14" w:rsidRPr="007D3871" w:rsidRDefault="009C7D14" w:rsidP="003B57E4">
            <w:pPr>
              <w:spacing w:after="0" w:line="240" w:lineRule="auto"/>
              <w:rPr>
                <w:sz w:val="20"/>
                <w:szCs w:val="20"/>
              </w:rPr>
            </w:pPr>
            <w:r>
              <w:rPr>
                <w:sz w:val="20"/>
                <w:szCs w:val="20"/>
              </w:rPr>
              <w:t>The IATI reference</w:t>
            </w:r>
            <w:r w:rsidR="00346F66">
              <w:rPr>
                <w:sz w:val="20"/>
                <w:szCs w:val="20"/>
              </w:rPr>
              <w:t>s</w:t>
            </w:r>
            <w:r>
              <w:rPr>
                <w:sz w:val="20"/>
                <w:szCs w:val="20"/>
              </w:rPr>
              <w:t xml:space="preserve"> for this indicator </w:t>
            </w:r>
            <w:r w:rsidR="00346F66">
              <w:rPr>
                <w:sz w:val="20"/>
                <w:szCs w:val="20"/>
              </w:rPr>
              <w:t>are</w:t>
            </w:r>
            <w:r>
              <w:rPr>
                <w:sz w:val="20"/>
                <w:szCs w:val="20"/>
              </w:rPr>
              <w:t>: Conditions and</w:t>
            </w:r>
            <w:r w:rsidR="00346F66">
              <w:rPr>
                <w:sz w:val="20"/>
                <w:szCs w:val="20"/>
              </w:rPr>
              <w:t>/or</w:t>
            </w:r>
            <w:r>
              <w:rPr>
                <w:sz w:val="20"/>
                <w:szCs w:val="20"/>
              </w:rPr>
              <w:t xml:space="preserve"> </w:t>
            </w:r>
            <w:r w:rsidR="00346F66">
              <w:rPr>
                <w:sz w:val="20"/>
                <w:szCs w:val="20"/>
              </w:rPr>
              <w:t>C</w:t>
            </w:r>
            <w:r>
              <w:rPr>
                <w:sz w:val="20"/>
                <w:szCs w:val="20"/>
              </w:rPr>
              <w:t>onditions document (document code = A04).</w:t>
            </w:r>
          </w:p>
        </w:tc>
        <w:tc>
          <w:tcPr>
            <w:tcW w:w="4394" w:type="dxa"/>
            <w:shd w:val="clear" w:color="auto" w:fill="FFFFFF" w:themeFill="background1"/>
          </w:tcPr>
          <w:p w14:paraId="464606D5" w14:textId="77777777" w:rsidR="009C7D14" w:rsidRPr="007D3871" w:rsidRDefault="009C7D14" w:rsidP="003B57E4">
            <w:pPr>
              <w:spacing w:after="0" w:line="240" w:lineRule="auto"/>
              <w:rPr>
                <w:sz w:val="20"/>
                <w:szCs w:val="20"/>
              </w:rPr>
            </w:pPr>
            <w:r w:rsidRPr="007D3871">
              <w:rPr>
                <w:sz w:val="20"/>
                <w:szCs w:val="20"/>
              </w:rPr>
              <w:t>For IFIs and DFIs, this includes loan repayment conditions or special terms and conditions. In cases where the loan repayment terms are considered commercially sensitive, this information can be redacted. The reason for the redactions needs to be explicitly stated</w:t>
            </w:r>
            <w:r>
              <w:rPr>
                <w:sz w:val="20"/>
                <w:szCs w:val="20"/>
              </w:rPr>
              <w:t xml:space="preserve"> </w:t>
            </w:r>
            <w:r w:rsidRPr="00DB19D4">
              <w:rPr>
                <w:sz w:val="20"/>
                <w:szCs w:val="20"/>
              </w:rPr>
              <w:t>in detail and must clarify why the information is commercially sensitive and would cause material and direct harm if published</w:t>
            </w:r>
            <w:r w:rsidRPr="007D3871">
              <w:rPr>
                <w:sz w:val="20"/>
                <w:szCs w:val="20"/>
              </w:rPr>
              <w:t>.</w:t>
            </w:r>
          </w:p>
          <w:p w14:paraId="0780E775" w14:textId="77777777" w:rsidR="009C7D14" w:rsidRPr="007D3871" w:rsidRDefault="009C7D14" w:rsidP="003B57E4">
            <w:pPr>
              <w:spacing w:after="0" w:line="240" w:lineRule="auto"/>
              <w:rPr>
                <w:sz w:val="20"/>
                <w:szCs w:val="20"/>
              </w:rPr>
            </w:pPr>
          </w:p>
          <w:p w14:paraId="773C3151" w14:textId="77777777" w:rsidR="009C7D14" w:rsidRDefault="009C7D14" w:rsidP="003B57E4">
            <w:pPr>
              <w:spacing w:after="0" w:line="240" w:lineRule="auto"/>
              <w:rPr>
                <w:sz w:val="20"/>
                <w:szCs w:val="20"/>
              </w:rPr>
            </w:pPr>
            <w:r w:rsidRPr="007D3871">
              <w:rPr>
                <w:sz w:val="20"/>
                <w:szCs w:val="20"/>
              </w:rPr>
              <w:t>For private foundations</w:t>
            </w:r>
            <w:r>
              <w:rPr>
                <w:sz w:val="20"/>
                <w:szCs w:val="20"/>
              </w:rPr>
              <w:t xml:space="preserve"> and </w:t>
            </w:r>
            <w:r w:rsidRPr="007D3871">
              <w:rPr>
                <w:sz w:val="20"/>
                <w:szCs w:val="20"/>
              </w:rPr>
              <w:t xml:space="preserve">humanitarian </w:t>
            </w:r>
            <w:r>
              <w:rPr>
                <w:sz w:val="20"/>
                <w:szCs w:val="20"/>
              </w:rPr>
              <w:t>agencies</w:t>
            </w:r>
            <w:r w:rsidRPr="007D3871">
              <w:rPr>
                <w:sz w:val="20"/>
                <w:szCs w:val="20"/>
              </w:rPr>
              <w:t>, statements setting out what the grant can be spent on are accepted.</w:t>
            </w:r>
          </w:p>
          <w:p w14:paraId="5B3CEB02" w14:textId="77777777" w:rsidR="009C7D14" w:rsidRDefault="009C7D14" w:rsidP="003B57E4">
            <w:pPr>
              <w:spacing w:after="0" w:line="240" w:lineRule="auto"/>
              <w:rPr>
                <w:sz w:val="20"/>
                <w:szCs w:val="20"/>
              </w:rPr>
            </w:pPr>
          </w:p>
          <w:p w14:paraId="4B108BDC" w14:textId="77777777" w:rsidR="009C7D14" w:rsidRPr="007D3871" w:rsidRDefault="009C7D14" w:rsidP="003B57E4">
            <w:pPr>
              <w:spacing w:after="0" w:line="240" w:lineRule="auto"/>
              <w:rPr>
                <w:sz w:val="20"/>
                <w:szCs w:val="20"/>
              </w:rPr>
            </w:pPr>
            <w:r>
              <w:rPr>
                <w:sz w:val="20"/>
                <w:szCs w:val="20"/>
              </w:rPr>
              <w:t xml:space="preserve">Templates for general terms and conditions are not accepted for scoring this indicator. If there are no policy, performance or fiduciary conditions associated with an activity, this must be explicitly stated. </w:t>
            </w:r>
          </w:p>
        </w:tc>
      </w:tr>
    </w:tbl>
    <w:p w14:paraId="23B3378A" w14:textId="77777777" w:rsidR="00A75829" w:rsidRDefault="00A75829" w:rsidP="00935A49">
      <w:pPr>
        <w:pStyle w:val="Heading1"/>
        <w:spacing w:line="240" w:lineRule="auto"/>
        <w:rPr>
          <w:sz w:val="36"/>
        </w:rPr>
        <w:sectPr w:rsidR="00A75829" w:rsidSect="003B57E4">
          <w:pgSz w:w="16838" w:h="11906" w:orient="landscape"/>
          <w:pgMar w:top="1021" w:right="1021" w:bottom="1021" w:left="1021" w:header="709" w:footer="709" w:gutter="0"/>
          <w:cols w:space="708"/>
          <w:docGrid w:linePitch="360"/>
        </w:sectPr>
      </w:pPr>
    </w:p>
    <w:p w14:paraId="2D667077" w14:textId="77777777" w:rsidR="000D28D9" w:rsidRPr="000445AB" w:rsidRDefault="000D28D9" w:rsidP="00A75829">
      <w:pPr>
        <w:pStyle w:val="Heading1"/>
        <w:spacing w:before="0" w:line="240" w:lineRule="auto"/>
        <w:rPr>
          <w:sz w:val="36"/>
        </w:rPr>
      </w:pPr>
      <w:bookmarkStart w:id="20" w:name="_Toc416100917"/>
      <w:r w:rsidRPr="000445AB">
        <w:rPr>
          <w:sz w:val="36"/>
        </w:rPr>
        <w:t>Annex 2: Data quality tests</w:t>
      </w:r>
      <w:bookmarkEnd w:id="20"/>
      <w:r w:rsidRPr="000445AB">
        <w:rPr>
          <w:sz w:val="36"/>
        </w:rPr>
        <w:t xml:space="preserve"> </w:t>
      </w:r>
    </w:p>
    <w:p w14:paraId="4DF55C12" w14:textId="77777777" w:rsidR="007B1271" w:rsidRDefault="007B1271" w:rsidP="0055216C">
      <w:pPr>
        <w:spacing w:after="0" w:line="240" w:lineRule="auto"/>
      </w:pPr>
    </w:p>
    <w:p w14:paraId="58DA0C62" w14:textId="77777777" w:rsidR="009611A7" w:rsidRDefault="009611A7" w:rsidP="009611A7">
      <w:pPr>
        <w:spacing w:after="0" w:line="240" w:lineRule="auto"/>
      </w:pPr>
      <w:r>
        <w:t xml:space="preserve">The data quality tool of the </w:t>
      </w:r>
      <w:hyperlink r:id="rId22" w:history="1">
        <w:r w:rsidRPr="008B791A">
          <w:rPr>
            <w:rStyle w:val="Hyperlink"/>
            <w:rFonts w:cstheme="minorBidi"/>
          </w:rPr>
          <w:t>Aid Transparency Tracker</w:t>
        </w:r>
      </w:hyperlink>
      <w:r>
        <w:t xml:space="preserve"> automatically assesses the quality of data published to the IATI Registry. Both organisation and activity files are tested. </w:t>
      </w:r>
    </w:p>
    <w:p w14:paraId="4019F061" w14:textId="77777777" w:rsidR="009611A7" w:rsidRDefault="009611A7" w:rsidP="009611A7">
      <w:pPr>
        <w:spacing w:after="0" w:line="240" w:lineRule="auto"/>
      </w:pPr>
    </w:p>
    <w:p w14:paraId="3E279ED7" w14:textId="77777777" w:rsidR="009611A7" w:rsidRDefault="009611A7" w:rsidP="009611A7">
      <w:pPr>
        <w:spacing w:after="0" w:line="240" w:lineRule="auto"/>
      </w:pPr>
      <w:r>
        <w:t>The automated analysis works as follows:</w:t>
      </w:r>
    </w:p>
    <w:p w14:paraId="110583A3" w14:textId="77777777" w:rsidR="009611A7" w:rsidRDefault="009611A7" w:rsidP="009611A7">
      <w:pPr>
        <w:spacing w:after="0" w:line="240" w:lineRule="auto"/>
      </w:pPr>
    </w:p>
    <w:p w14:paraId="1B97BC6A" w14:textId="77777777" w:rsidR="009611A7" w:rsidRDefault="009611A7" w:rsidP="009611A7">
      <w:pPr>
        <w:spacing w:after="0" w:line="240" w:lineRule="auto"/>
      </w:pPr>
      <w:r>
        <w:t>For activity files:</w:t>
      </w:r>
    </w:p>
    <w:p w14:paraId="2723EAD4" w14:textId="50AB5EF0" w:rsidR="009611A7" w:rsidRDefault="009611A7" w:rsidP="00E17FFC">
      <w:pPr>
        <w:numPr>
          <w:ilvl w:val="0"/>
          <w:numId w:val="16"/>
        </w:numPr>
        <w:spacing w:after="0" w:line="240" w:lineRule="auto"/>
      </w:pPr>
      <w:r>
        <w:t>Packages are automatically attached to specific organ</w:t>
      </w:r>
      <w:r w:rsidR="00E17FFC">
        <w:t xml:space="preserve">isations included in the </w:t>
      </w:r>
      <w:r w:rsidR="002E390B">
        <w:t>Index</w:t>
      </w:r>
      <w:r w:rsidR="00E17FFC">
        <w:t>.</w:t>
      </w:r>
    </w:p>
    <w:p w14:paraId="27F482F6" w14:textId="77777777" w:rsidR="009611A7" w:rsidRDefault="009611A7" w:rsidP="009611A7">
      <w:pPr>
        <w:numPr>
          <w:ilvl w:val="0"/>
          <w:numId w:val="16"/>
        </w:numPr>
        <w:spacing w:after="0" w:line="240" w:lineRule="auto"/>
      </w:pPr>
      <w:r>
        <w:t>Each activity in each package is tested by running a series of tests. These are then aggregated up to create total scores for each test in each package; once for all data, and once to include only those activities which are defined as “current”.</w:t>
      </w:r>
    </w:p>
    <w:p w14:paraId="6A50D6D4" w14:textId="77777777" w:rsidR="009611A7" w:rsidRDefault="009611A7" w:rsidP="009611A7">
      <w:pPr>
        <w:numPr>
          <w:ilvl w:val="0"/>
          <w:numId w:val="16"/>
        </w:numPr>
        <w:spacing w:after="0" w:line="240" w:lineRule="auto"/>
      </w:pPr>
      <w:r>
        <w:t>The tests are then aggregated up into indicators for the single organisation.</w:t>
      </w:r>
    </w:p>
    <w:p w14:paraId="3A4E7D73" w14:textId="77777777" w:rsidR="009611A7" w:rsidRDefault="009611A7" w:rsidP="009611A7">
      <w:pPr>
        <w:spacing w:after="0" w:line="240" w:lineRule="auto"/>
      </w:pPr>
    </w:p>
    <w:p w14:paraId="702F76F9" w14:textId="77777777" w:rsidR="009611A7" w:rsidRDefault="009611A7" w:rsidP="009611A7">
      <w:pPr>
        <w:spacing w:after="0" w:line="240" w:lineRule="auto"/>
      </w:pPr>
      <w:r>
        <w:t>For organisation files:</w:t>
      </w:r>
    </w:p>
    <w:p w14:paraId="67F41242" w14:textId="368C272F" w:rsidR="009611A7" w:rsidRDefault="009611A7" w:rsidP="009611A7">
      <w:pPr>
        <w:pStyle w:val="ListParagraph"/>
        <w:numPr>
          <w:ilvl w:val="0"/>
          <w:numId w:val="32"/>
        </w:numPr>
        <w:spacing w:after="0" w:line="240" w:lineRule="auto"/>
      </w:pPr>
      <w:r>
        <w:t xml:space="preserve">Packages are automatically attached to specific organisations included in the </w:t>
      </w:r>
      <w:r w:rsidR="002E390B">
        <w:t>Index</w:t>
      </w:r>
      <w:r>
        <w:t>.</w:t>
      </w:r>
    </w:p>
    <w:p w14:paraId="196D6C15" w14:textId="77777777" w:rsidR="009611A7" w:rsidRDefault="009611A7" w:rsidP="009611A7">
      <w:pPr>
        <w:pStyle w:val="ListParagraph"/>
        <w:numPr>
          <w:ilvl w:val="0"/>
          <w:numId w:val="32"/>
        </w:numPr>
        <w:spacing w:after="0" w:line="240" w:lineRule="auto"/>
      </w:pPr>
      <w:r>
        <w:t>Each package is then tested by running a series of tests, which are then aggregated up into indicators for that organisation.</w:t>
      </w:r>
    </w:p>
    <w:p w14:paraId="15D83002" w14:textId="77777777" w:rsidR="009611A7" w:rsidRDefault="009611A7" w:rsidP="009611A7">
      <w:pPr>
        <w:pStyle w:val="Heading2"/>
        <w:spacing w:before="0" w:line="240" w:lineRule="auto"/>
        <w:rPr>
          <w:rFonts w:ascii="Cambria" w:eastAsia="Calibri" w:hAnsi="Cambria" w:cs="Times New Roman"/>
          <w:color w:val="4F81BD"/>
          <w:sz w:val="28"/>
        </w:rPr>
        <w:sectPr w:rsidR="009611A7" w:rsidSect="002B2AC5">
          <w:type w:val="continuous"/>
          <w:pgSz w:w="16838" w:h="11906" w:orient="landscape"/>
          <w:pgMar w:top="1021" w:right="1021" w:bottom="1021" w:left="1021" w:header="709" w:footer="709" w:gutter="0"/>
          <w:cols w:space="708"/>
          <w:docGrid w:linePitch="360"/>
        </w:sectPr>
      </w:pPr>
    </w:p>
    <w:p w14:paraId="21B6700E" w14:textId="77777777" w:rsidR="009611A7" w:rsidRPr="00394D03" w:rsidRDefault="009611A7" w:rsidP="00394D03">
      <w:pPr>
        <w:spacing w:after="0" w:line="240" w:lineRule="auto"/>
        <w:rPr>
          <w:rFonts w:ascii="Cambria" w:eastAsia="Calibri" w:hAnsi="Cambria" w:cs="Times New Roman"/>
          <w:b/>
          <w:bCs/>
          <w:color w:val="4F81BD"/>
          <w:sz w:val="28"/>
          <w:szCs w:val="26"/>
        </w:rPr>
      </w:pPr>
      <w:bookmarkStart w:id="21" w:name="_Toc370375785"/>
      <w:bookmarkStart w:id="22" w:name="_Toc370376061"/>
      <w:r w:rsidRPr="00394D03">
        <w:rPr>
          <w:rFonts w:ascii="Cambria" w:eastAsia="Calibri" w:hAnsi="Cambria" w:cs="Times New Roman"/>
          <w:b/>
          <w:bCs/>
          <w:color w:val="4F81BD"/>
          <w:sz w:val="28"/>
          <w:szCs w:val="26"/>
        </w:rPr>
        <w:t>Tests</w:t>
      </w:r>
      <w:bookmarkEnd w:id="21"/>
      <w:bookmarkEnd w:id="22"/>
    </w:p>
    <w:p w14:paraId="6EF58CD2" w14:textId="77777777" w:rsidR="009611A7" w:rsidRDefault="009611A7" w:rsidP="009611A7">
      <w:pPr>
        <w:spacing w:after="0" w:line="240" w:lineRule="auto"/>
      </w:pPr>
    </w:p>
    <w:p w14:paraId="5D2835EB" w14:textId="77777777" w:rsidR="009611A7" w:rsidRDefault="009611A7" w:rsidP="009611A7">
      <w:pPr>
        <w:spacing w:after="0" w:line="240" w:lineRule="auto"/>
      </w:pPr>
      <w:r>
        <w:t>Data that is published to the IATI Registry is automatically assessed by running one or more tests for each of the 36 publication indicators</w:t>
      </w:r>
      <w:r w:rsidRPr="0055216C">
        <w:t>. The specific test expressions are below.</w:t>
      </w:r>
    </w:p>
    <w:p w14:paraId="6AA96C48" w14:textId="77777777" w:rsidR="009611A7" w:rsidRDefault="009611A7" w:rsidP="009611A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1"/>
        <w:gridCol w:w="7405"/>
      </w:tblGrid>
      <w:tr w:rsidR="009611A7" w14:paraId="6B98374F" w14:textId="77777777" w:rsidTr="009611A7">
        <w:tc>
          <w:tcPr>
            <w:tcW w:w="7676" w:type="dxa"/>
          </w:tcPr>
          <w:p w14:paraId="00AC064A" w14:textId="77777777" w:rsidR="009611A7" w:rsidRPr="00C428DA" w:rsidRDefault="009611A7" w:rsidP="009611A7">
            <w:pPr>
              <w:keepNext/>
              <w:keepLines/>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FoxPath</w:t>
            </w:r>
          </w:p>
          <w:p w14:paraId="6279E939" w14:textId="77777777" w:rsidR="009611A7" w:rsidRDefault="009611A7" w:rsidP="009611A7">
            <w:r w:rsidRPr="0055216C">
              <w:t>The tests are written in FoxPath, a language that was developed specifically for the Aid Transparency Tracker, but which should have wider applicability. The aim was to develop a human-readable test based on XPath, which could then be parsed into any programming language and then used to test XML files.</w:t>
            </w:r>
          </w:p>
          <w:p w14:paraId="79F50D37" w14:textId="77777777" w:rsidR="009611A7" w:rsidRPr="0055216C" w:rsidRDefault="009611A7" w:rsidP="009611A7">
            <w:r w:rsidRPr="0055216C">
              <w:t xml:space="preserve"> </w:t>
            </w:r>
          </w:p>
          <w:p w14:paraId="4908F6A8" w14:textId="77777777" w:rsidR="009611A7" w:rsidRPr="0055216C" w:rsidRDefault="009611A7" w:rsidP="009611A7">
            <w:r w:rsidRPr="0055216C">
              <w:t>The following abbreviations are used in this section:</w:t>
            </w:r>
          </w:p>
          <w:p w14:paraId="77EB78A6" w14:textId="77777777" w:rsidR="009611A7" w:rsidRPr="0055216C" w:rsidRDefault="009611A7" w:rsidP="009611A7">
            <w:pPr>
              <w:numPr>
                <w:ilvl w:val="0"/>
                <w:numId w:val="34"/>
              </w:numPr>
              <w:ind w:left="714" w:hanging="357"/>
              <w:contextualSpacing/>
            </w:pPr>
            <w:r w:rsidRPr="0055216C">
              <w:t>L is the name of a list (e.g. a codelist)</w:t>
            </w:r>
          </w:p>
          <w:p w14:paraId="1F806E8B" w14:textId="77777777" w:rsidR="009611A7" w:rsidRPr="0055216C" w:rsidRDefault="009611A7" w:rsidP="009611A7">
            <w:pPr>
              <w:numPr>
                <w:ilvl w:val="0"/>
                <w:numId w:val="34"/>
              </w:numPr>
              <w:ind w:left="714" w:hanging="357"/>
              <w:contextualSpacing/>
            </w:pPr>
            <w:r w:rsidRPr="0055216C">
              <w:t>N is a number</w:t>
            </w:r>
          </w:p>
          <w:p w14:paraId="1D1D9640" w14:textId="77777777" w:rsidR="009611A7" w:rsidRPr="0055216C" w:rsidRDefault="009611A7" w:rsidP="009611A7">
            <w:pPr>
              <w:numPr>
                <w:ilvl w:val="0"/>
                <w:numId w:val="34"/>
              </w:numPr>
              <w:ind w:left="714" w:hanging="357"/>
              <w:contextualSpacing/>
            </w:pPr>
            <w:r w:rsidRPr="0055216C">
              <w:t>T is a type</w:t>
            </w:r>
          </w:p>
          <w:p w14:paraId="1319E13B" w14:textId="77777777" w:rsidR="009611A7" w:rsidRPr="0055216C" w:rsidRDefault="009611A7" w:rsidP="009611A7">
            <w:pPr>
              <w:numPr>
                <w:ilvl w:val="0"/>
                <w:numId w:val="34"/>
              </w:numPr>
              <w:ind w:left="714" w:hanging="357"/>
              <w:contextualSpacing/>
            </w:pPr>
            <w:r w:rsidRPr="0055216C">
              <w:t>X is an XPath string</w:t>
            </w:r>
          </w:p>
          <w:p w14:paraId="62E24EF3" w14:textId="77777777" w:rsidR="009611A7" w:rsidRPr="0055216C" w:rsidRDefault="009611A7" w:rsidP="009611A7">
            <w:pPr>
              <w:numPr>
                <w:ilvl w:val="0"/>
                <w:numId w:val="34"/>
              </w:numPr>
              <w:ind w:left="714" w:hanging="357"/>
              <w:contextualSpacing/>
            </w:pPr>
            <w:r w:rsidRPr="0055216C">
              <w:t>V is a string (or value)</w:t>
            </w:r>
          </w:p>
          <w:p w14:paraId="1EFBBB29" w14:textId="77777777" w:rsidR="009611A7" w:rsidRDefault="009611A7" w:rsidP="009611A7"/>
        </w:tc>
        <w:tc>
          <w:tcPr>
            <w:tcW w:w="7676" w:type="dxa"/>
          </w:tcPr>
          <w:p w14:paraId="3A47E98A" w14:textId="77777777" w:rsidR="004B26A7" w:rsidRDefault="004B26A7" w:rsidP="009611A7">
            <w:pPr>
              <w:contextualSpacing/>
            </w:pPr>
          </w:p>
          <w:p w14:paraId="73D71E35" w14:textId="77777777" w:rsidR="009611A7" w:rsidRPr="0055216C" w:rsidRDefault="009611A7" w:rsidP="009611A7">
            <w:pPr>
              <w:contextualSpacing/>
            </w:pPr>
            <w:r w:rsidRPr="0055216C">
              <w:t>The following formats are used in the tests:</w:t>
            </w:r>
          </w:p>
          <w:p w14:paraId="1EAED79C" w14:textId="77777777" w:rsidR="009611A7" w:rsidRPr="0055216C" w:rsidRDefault="009611A7" w:rsidP="009611A7">
            <w:pPr>
              <w:numPr>
                <w:ilvl w:val="0"/>
                <w:numId w:val="33"/>
              </w:numPr>
              <w:ind w:left="714" w:hanging="357"/>
              <w:contextualSpacing/>
            </w:pPr>
            <w:r w:rsidRPr="0055216C">
              <w:t>X exists?</w:t>
            </w:r>
          </w:p>
          <w:p w14:paraId="349234FE" w14:textId="77777777" w:rsidR="009611A7" w:rsidRPr="0055216C" w:rsidRDefault="009611A7" w:rsidP="009611A7">
            <w:pPr>
              <w:numPr>
                <w:ilvl w:val="0"/>
                <w:numId w:val="33"/>
              </w:numPr>
              <w:ind w:left="714" w:hanging="357"/>
              <w:contextualSpacing/>
            </w:pPr>
            <w:r w:rsidRPr="0055216C">
              <w:t>X exists N times?</w:t>
            </w:r>
          </w:p>
          <w:p w14:paraId="6807CC63" w14:textId="77777777" w:rsidR="009611A7" w:rsidRPr="0055216C" w:rsidRDefault="009611A7" w:rsidP="009611A7">
            <w:pPr>
              <w:numPr>
                <w:ilvl w:val="0"/>
                <w:numId w:val="33"/>
              </w:numPr>
              <w:ind w:left="714" w:hanging="357"/>
              <w:contextualSpacing/>
            </w:pPr>
            <w:r w:rsidRPr="0055216C">
              <w:t xml:space="preserve">X or X exists? </w:t>
            </w:r>
          </w:p>
          <w:p w14:paraId="0E38E32F" w14:textId="77777777" w:rsidR="00E17FFC" w:rsidRPr="0055216C" w:rsidRDefault="009611A7" w:rsidP="00E17FFC">
            <w:pPr>
              <w:numPr>
                <w:ilvl w:val="0"/>
                <w:numId w:val="33"/>
              </w:numPr>
              <w:ind w:left="714" w:hanging="357"/>
              <w:contextualSpacing/>
            </w:pPr>
            <w:r w:rsidRPr="0055216C">
              <w:t>X has more than N characters?</w:t>
            </w:r>
            <w:r w:rsidR="00E17FFC" w:rsidRPr="0055216C">
              <w:t xml:space="preserve"> </w:t>
            </w:r>
          </w:p>
          <w:p w14:paraId="37704729" w14:textId="77777777" w:rsidR="009611A7" w:rsidRPr="0055216C" w:rsidRDefault="00E17FFC" w:rsidP="009611A7">
            <w:pPr>
              <w:numPr>
                <w:ilvl w:val="0"/>
                <w:numId w:val="33"/>
              </w:numPr>
              <w:ind w:left="714" w:hanging="357"/>
              <w:contextualSpacing/>
            </w:pPr>
            <w:r w:rsidRPr="0055216C">
              <w:t xml:space="preserve">X is in list L? </w:t>
            </w:r>
          </w:p>
          <w:p w14:paraId="6966B580" w14:textId="77777777" w:rsidR="009611A7" w:rsidRPr="0055216C" w:rsidRDefault="009611A7" w:rsidP="009611A7">
            <w:pPr>
              <w:contextualSpacing/>
            </w:pPr>
          </w:p>
          <w:p w14:paraId="244DE5E4" w14:textId="77777777" w:rsidR="009611A7" w:rsidRPr="0055216C" w:rsidRDefault="009611A7" w:rsidP="009611A7">
            <w:pPr>
              <w:contextualSpacing/>
            </w:pPr>
            <w:r w:rsidRPr="0055216C">
              <w:t xml:space="preserve">The following formats are not used </w:t>
            </w:r>
            <w:r w:rsidR="002A5DEC">
              <w:t xml:space="preserve">for the </w:t>
            </w:r>
            <w:r w:rsidR="00A34A3E">
              <w:t>review</w:t>
            </w:r>
            <w:r w:rsidRPr="0055216C">
              <w:t>, but are supported:</w:t>
            </w:r>
          </w:p>
          <w:p w14:paraId="5B790F01" w14:textId="77777777" w:rsidR="009611A7" w:rsidRPr="0055216C" w:rsidRDefault="009611A7" w:rsidP="009611A7">
            <w:pPr>
              <w:numPr>
                <w:ilvl w:val="0"/>
                <w:numId w:val="33"/>
              </w:numPr>
              <w:ind w:left="714" w:hanging="357"/>
              <w:contextualSpacing/>
            </w:pPr>
            <w:r w:rsidRPr="0055216C">
              <w:t>only one of X or X exists?</w:t>
            </w:r>
          </w:p>
          <w:p w14:paraId="4E417586" w14:textId="77777777" w:rsidR="009611A7" w:rsidRPr="0055216C" w:rsidRDefault="009611A7" w:rsidP="009611A7">
            <w:pPr>
              <w:numPr>
                <w:ilvl w:val="0"/>
                <w:numId w:val="33"/>
              </w:numPr>
              <w:ind w:left="714" w:hanging="357"/>
              <w:contextualSpacing/>
            </w:pPr>
            <w:r w:rsidRPr="0055216C">
              <w:t>X is a T?</w:t>
            </w:r>
          </w:p>
          <w:p w14:paraId="40467F8E" w14:textId="77777777" w:rsidR="009611A7" w:rsidRDefault="009611A7" w:rsidP="00E17FFC">
            <w:pPr>
              <w:numPr>
                <w:ilvl w:val="0"/>
                <w:numId w:val="33"/>
              </w:numPr>
              <w:ind w:left="714" w:hanging="357"/>
              <w:contextualSpacing/>
            </w:pPr>
            <w:r w:rsidRPr="0055216C">
              <w:t>X sum to N?</w:t>
            </w:r>
            <w:r w:rsidR="00E17FFC">
              <w:t xml:space="preserve"> </w:t>
            </w:r>
          </w:p>
        </w:tc>
      </w:tr>
      <w:tr w:rsidR="009611A7" w14:paraId="27C234C6" w14:textId="77777777" w:rsidTr="009611A7">
        <w:tc>
          <w:tcPr>
            <w:tcW w:w="7676" w:type="dxa"/>
          </w:tcPr>
          <w:p w14:paraId="498ED1E7" w14:textId="77777777" w:rsidR="009611A7" w:rsidRPr="00C428DA" w:rsidRDefault="009611A7" w:rsidP="009611A7">
            <w:pPr>
              <w:keepNext/>
              <w:keepLines/>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Formats</w:t>
            </w:r>
          </w:p>
          <w:p w14:paraId="07175CAB" w14:textId="77777777" w:rsidR="009611A7" w:rsidRPr="0055216C" w:rsidRDefault="009611A7" w:rsidP="009611A7">
            <w:r w:rsidRPr="0055216C">
              <w:t xml:space="preserve">The tests are flexible but must conform to a specific format. The available formats could fairly easily be expanded on. Each of the tests returns a pass, fail or error (if for some reason something unexpected happened). Errors do not count against a publisher; total scores for each test for each package are composed of </w:t>
            </w:r>
            <w:r>
              <w:rPr>
                <w:b/>
              </w:rPr>
              <w:t>(pass/pass+fail) x100</w:t>
            </w:r>
            <w:r w:rsidRPr="0055216C">
              <w:t>.</w:t>
            </w:r>
          </w:p>
          <w:p w14:paraId="264AC61E" w14:textId="77777777" w:rsidR="009611A7" w:rsidRDefault="009611A7" w:rsidP="009611A7"/>
        </w:tc>
        <w:tc>
          <w:tcPr>
            <w:tcW w:w="7676" w:type="dxa"/>
          </w:tcPr>
          <w:p w14:paraId="1D9F3701" w14:textId="77777777" w:rsidR="009611A7" w:rsidRPr="00C428DA" w:rsidRDefault="009611A7" w:rsidP="009611A7">
            <w:pPr>
              <w:keepNext/>
              <w:keepLines/>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Conditions</w:t>
            </w:r>
          </w:p>
          <w:p w14:paraId="000DED7F" w14:textId="77777777" w:rsidR="009611A7" w:rsidRPr="0055216C" w:rsidRDefault="009611A7" w:rsidP="009611A7">
            <w:r w:rsidRPr="0055216C">
              <w:t>Certain conditions restrict whether a test is run. Any conditions can be found in brackets at the end of the test. These are of the format:</w:t>
            </w:r>
          </w:p>
          <w:p w14:paraId="315CC33B" w14:textId="77777777" w:rsidR="009611A7" w:rsidRPr="0055216C" w:rsidRDefault="009611A7" w:rsidP="009611A7">
            <w:pPr>
              <w:pStyle w:val="ListParagraph"/>
              <w:numPr>
                <w:ilvl w:val="0"/>
                <w:numId w:val="34"/>
              </w:numPr>
            </w:pPr>
            <w:r w:rsidRPr="0055216C">
              <w:t>if X is at least N</w:t>
            </w:r>
          </w:p>
          <w:p w14:paraId="4EBA7AB6" w14:textId="77777777" w:rsidR="009611A7" w:rsidRPr="0055216C" w:rsidRDefault="009611A7" w:rsidP="009611A7">
            <w:pPr>
              <w:pStyle w:val="ListParagraph"/>
              <w:numPr>
                <w:ilvl w:val="0"/>
                <w:numId w:val="34"/>
              </w:numPr>
            </w:pPr>
            <w:r w:rsidRPr="0055216C">
              <w:t>if X or X is not V</w:t>
            </w:r>
          </w:p>
          <w:p w14:paraId="63027C25" w14:textId="77777777" w:rsidR="009611A7" w:rsidRPr="0055216C" w:rsidRDefault="009611A7" w:rsidP="009611A7">
            <w:pPr>
              <w:pStyle w:val="ListParagraph"/>
              <w:numPr>
                <w:ilvl w:val="0"/>
                <w:numId w:val="34"/>
              </w:numPr>
            </w:pPr>
            <w:r w:rsidRPr="0055216C">
              <w:t>if X is at least N and (if X or X is not V)</w:t>
            </w:r>
          </w:p>
          <w:p w14:paraId="71618416" w14:textId="77777777" w:rsidR="009611A7" w:rsidRPr="0055216C" w:rsidRDefault="009611A7" w:rsidP="009611A7">
            <w:pPr>
              <w:pStyle w:val="ListParagraph"/>
              <w:numPr>
                <w:ilvl w:val="0"/>
                <w:numId w:val="34"/>
              </w:numPr>
            </w:pPr>
            <w:r w:rsidRPr="0055216C">
              <w:t>if X is at least N and (if X or X is at least N)</w:t>
            </w:r>
          </w:p>
          <w:p w14:paraId="4515285E" w14:textId="77777777" w:rsidR="009611A7" w:rsidRDefault="009611A7" w:rsidP="009611A7"/>
          <w:p w14:paraId="57BA7909" w14:textId="77777777" w:rsidR="009611A7" w:rsidRDefault="009611A7" w:rsidP="009611A7">
            <w:r w:rsidRPr="0055216C">
              <w:t>If the condition is not passed, then the test does not count either as a pass or a fail.</w:t>
            </w:r>
          </w:p>
        </w:tc>
      </w:tr>
    </w:tbl>
    <w:p w14:paraId="606F55FC" w14:textId="77777777" w:rsidR="009611A7" w:rsidRDefault="009611A7" w:rsidP="009611A7">
      <w:pPr>
        <w:spacing w:after="0" w:line="240" w:lineRule="auto"/>
      </w:pPr>
    </w:p>
    <w:p w14:paraId="2A429E62" w14:textId="48BBB0D6" w:rsidR="009611A7" w:rsidRDefault="009611A7" w:rsidP="009611A7">
      <w:pPr>
        <w:spacing w:after="0" w:line="240" w:lineRule="auto"/>
      </w:pPr>
      <w:r w:rsidRPr="0055216C">
        <w:t>The tests were derived programmatically from the IATI schema in the first instance to test for the existence of each element that ha</w:t>
      </w:r>
      <w:r w:rsidR="002A5DEC">
        <w:t>s</w:t>
      </w:r>
      <w:r w:rsidRPr="0055216C">
        <w:t xml:space="preserve"> a relevant indicator in the</w:t>
      </w:r>
      <w:r w:rsidR="002A5DEC">
        <w:t xml:space="preserve"> </w:t>
      </w:r>
      <w:r w:rsidR="002E390B">
        <w:t>Index</w:t>
      </w:r>
      <w:r w:rsidRPr="0055216C">
        <w:t xml:space="preserve">. Additional tests were incorporated in order to ensure that the data </w:t>
      </w:r>
      <w:r w:rsidR="002A5DEC">
        <w:t>is</w:t>
      </w:r>
      <w:r w:rsidRPr="0055216C">
        <w:t xml:space="preserve"> useful – for example, titles must have a minimum character length in order to be meaningful. </w:t>
      </w:r>
    </w:p>
    <w:p w14:paraId="58C2D66A" w14:textId="77777777" w:rsidR="009611A7" w:rsidRDefault="009611A7" w:rsidP="009611A7">
      <w:pPr>
        <w:spacing w:after="0" w:line="240" w:lineRule="auto"/>
      </w:pPr>
    </w:p>
    <w:p w14:paraId="45A87EEB" w14:textId="77777777" w:rsidR="009611A7" w:rsidRPr="0055216C" w:rsidRDefault="009611A7" w:rsidP="009611A7">
      <w:pPr>
        <w:spacing w:after="0" w:line="240" w:lineRule="auto"/>
      </w:pPr>
      <w:r w:rsidRPr="0055216C">
        <w:t xml:space="preserve">Following donor feedback regarding the tests, further modifications </w:t>
      </w:r>
      <w:r w:rsidR="002A5DEC">
        <w:t>have been</w:t>
      </w:r>
      <w:r w:rsidRPr="0055216C">
        <w:t xml:space="preserve"> made to reduce the extent to which donors </w:t>
      </w:r>
      <w:r w:rsidR="002A5DEC">
        <w:t>are</w:t>
      </w:r>
      <w:r w:rsidRPr="0055216C">
        <w:t xml:space="preserve"> penalised for not publishing information that would be logically impossible for them to publish. For example, </w:t>
      </w:r>
      <w:r w:rsidR="00D43320">
        <w:t>activity end dates</w:t>
      </w:r>
      <w:r w:rsidRPr="0055216C">
        <w:t xml:space="preserve"> not be expected to exist until a project has closed, so the existence of this </w:t>
      </w:r>
      <w:r w:rsidR="00D43320">
        <w:t>information</w:t>
      </w:r>
      <w:r w:rsidR="00D43320" w:rsidRPr="0055216C">
        <w:t xml:space="preserve"> </w:t>
      </w:r>
      <w:r w:rsidRPr="0055216C">
        <w:t>is only tested if an activity is in the completion stage or later.</w:t>
      </w:r>
    </w:p>
    <w:p w14:paraId="6C19D21D" w14:textId="77777777" w:rsidR="009611A7" w:rsidRDefault="009611A7" w:rsidP="009611A7">
      <w:pPr>
        <w:spacing w:after="0" w:line="240" w:lineRule="auto"/>
        <w:rPr>
          <w:rFonts w:ascii="Cambria" w:eastAsia="Calibri" w:hAnsi="Cambria" w:cs="Times New Roman"/>
          <w:b/>
          <w:bCs/>
          <w:color w:val="4F81BD"/>
          <w:sz w:val="24"/>
        </w:rPr>
        <w:sectPr w:rsidR="009611A7" w:rsidSect="002B2AC5">
          <w:pgSz w:w="16838" w:h="11906" w:orient="landscape"/>
          <w:pgMar w:top="1021" w:right="1021" w:bottom="1021" w:left="1021" w:header="709" w:footer="709" w:gutter="0"/>
          <w:cols w:space="708"/>
          <w:docGrid w:linePitch="360"/>
        </w:sectPr>
      </w:pPr>
    </w:p>
    <w:p w14:paraId="359E8D16" w14:textId="77777777" w:rsidR="009611A7" w:rsidRDefault="009611A7" w:rsidP="009611A7">
      <w:pPr>
        <w:keepNext/>
        <w:spacing w:after="0" w:line="240" w:lineRule="auto"/>
        <w:rPr>
          <w:rFonts w:ascii="Cambria" w:eastAsia="Calibri" w:hAnsi="Cambria" w:cs="Times New Roman"/>
          <w:b/>
          <w:bCs/>
          <w:color w:val="4F81BD"/>
          <w:sz w:val="24"/>
        </w:rPr>
      </w:pPr>
      <w:r w:rsidRPr="00B03254">
        <w:rPr>
          <w:rFonts w:ascii="Cambria" w:eastAsia="Calibri" w:hAnsi="Cambria" w:cs="Times New Roman"/>
          <w:b/>
          <w:bCs/>
          <w:color w:val="4F81BD"/>
          <w:sz w:val="24"/>
        </w:rPr>
        <w:t xml:space="preserve">Table </w:t>
      </w:r>
      <w:r>
        <w:rPr>
          <w:rFonts w:ascii="Cambria" w:eastAsia="Calibri" w:hAnsi="Cambria" w:cs="Times New Roman"/>
          <w:b/>
          <w:bCs/>
          <w:color w:val="4F81BD"/>
          <w:sz w:val="24"/>
        </w:rPr>
        <w:t>6: Tests used on data published to the IATI Registry</w:t>
      </w:r>
      <w:r w:rsidRPr="002A5DEC">
        <w:rPr>
          <w:rStyle w:val="FootnoteReference"/>
          <w:rFonts w:ascii="Cambria" w:eastAsia="Calibri" w:hAnsi="Cambria"/>
          <w:b/>
          <w:bCs/>
          <w:color w:val="4F81BD"/>
        </w:rPr>
        <w:footnoteReference w:id="16"/>
      </w:r>
    </w:p>
    <w:p w14:paraId="1E9743DC" w14:textId="77777777" w:rsidR="009611A7" w:rsidRPr="004D17AF" w:rsidRDefault="009611A7" w:rsidP="009611A7">
      <w:pPr>
        <w:keepNext/>
        <w:spacing w:after="0" w:line="240" w:lineRule="auto"/>
        <w:rPr>
          <w:rFonts w:ascii="Cambria" w:eastAsia="Calibri" w:hAnsi="Cambria" w:cs="Times New Roman"/>
          <w:b/>
          <w:bCs/>
          <w:color w:val="4F81BD"/>
          <w:sz w:val="24"/>
        </w:rPr>
      </w:pPr>
    </w:p>
    <w:tbl>
      <w:tblPr>
        <w:tblW w:w="513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5"/>
        <w:gridCol w:w="6702"/>
        <w:gridCol w:w="3625"/>
        <w:gridCol w:w="2239"/>
      </w:tblGrid>
      <w:tr w:rsidR="009611A7" w:rsidRPr="001448DC" w14:paraId="131B15E1" w14:textId="77777777" w:rsidTr="006D799E">
        <w:trPr>
          <w:cantSplit/>
          <w:trHeight w:val="145"/>
        </w:trPr>
        <w:tc>
          <w:tcPr>
            <w:tcW w:w="864" w:type="pct"/>
            <w:shd w:val="clear" w:color="auto" w:fill="4F81BD"/>
            <w:noWrap/>
            <w:hideMark/>
          </w:tcPr>
          <w:p w14:paraId="2C13119C" w14:textId="77777777" w:rsidR="009611A7" w:rsidRPr="00EC70E0"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Indicator</w:t>
            </w:r>
          </w:p>
        </w:tc>
        <w:tc>
          <w:tcPr>
            <w:tcW w:w="2206" w:type="pct"/>
            <w:shd w:val="clear" w:color="auto" w:fill="4F81BD"/>
            <w:noWrap/>
            <w:hideMark/>
          </w:tcPr>
          <w:p w14:paraId="72975A78" w14:textId="77777777" w:rsidR="009611A7" w:rsidRPr="00EC70E0"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Test expression</w:t>
            </w:r>
          </w:p>
        </w:tc>
        <w:tc>
          <w:tcPr>
            <w:tcW w:w="1193" w:type="pct"/>
            <w:shd w:val="clear" w:color="auto" w:fill="4F81BD"/>
            <w:noWrap/>
            <w:hideMark/>
          </w:tcPr>
          <w:p w14:paraId="3376B4C4" w14:textId="77777777" w:rsidR="009611A7" w:rsidRPr="00EC70E0"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Test Name</w:t>
            </w:r>
          </w:p>
        </w:tc>
        <w:tc>
          <w:tcPr>
            <w:tcW w:w="737" w:type="pct"/>
            <w:shd w:val="clear" w:color="auto" w:fill="4F81BD"/>
          </w:tcPr>
          <w:p w14:paraId="6C0190C0" w14:textId="77777777" w:rsidR="009611A7" w:rsidRPr="001448DC"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Conditions</w:t>
            </w:r>
          </w:p>
        </w:tc>
      </w:tr>
      <w:tr w:rsidR="009611A7" w:rsidRPr="00053BAD" w14:paraId="0C19434E" w14:textId="77777777" w:rsidTr="006D799E">
        <w:trPr>
          <w:cantSplit/>
          <w:trHeight w:val="300"/>
        </w:trPr>
        <w:tc>
          <w:tcPr>
            <w:tcW w:w="5000" w:type="pct"/>
            <w:gridSpan w:val="4"/>
            <w:shd w:val="clear" w:color="auto" w:fill="auto"/>
            <w:noWrap/>
          </w:tcPr>
          <w:p w14:paraId="11232398" w14:textId="77777777" w:rsidR="009611A7" w:rsidRPr="00053BAD" w:rsidRDefault="009611A7" w:rsidP="009611A7">
            <w:pPr>
              <w:spacing w:after="0" w:line="240" w:lineRule="auto"/>
              <w:rPr>
                <w:rFonts w:ascii="Calibri" w:eastAsia="Times New Roman" w:hAnsi="Calibri" w:cs="Times New Roman"/>
                <w:b/>
                <w:color w:val="000000"/>
                <w:sz w:val="20"/>
                <w:lang w:eastAsia="en-GB"/>
              </w:rPr>
            </w:pPr>
            <w:r w:rsidRPr="00053BAD">
              <w:rPr>
                <w:rFonts w:ascii="Calibri" w:eastAsia="Times New Roman" w:hAnsi="Calibri" w:cs="Times New Roman"/>
                <w:b/>
                <w:color w:val="000000"/>
                <w:sz w:val="20"/>
                <w:lang w:eastAsia="en-GB"/>
              </w:rPr>
              <w:t>Organisation level</w:t>
            </w:r>
          </w:p>
        </w:tc>
      </w:tr>
      <w:tr w:rsidR="009611A7" w:rsidRPr="00EC70E0" w14:paraId="000919D0" w14:textId="77777777" w:rsidTr="006D799E">
        <w:trPr>
          <w:cantSplit/>
          <w:trHeight w:val="300"/>
        </w:trPr>
        <w:tc>
          <w:tcPr>
            <w:tcW w:w="864" w:type="pct"/>
            <w:shd w:val="clear" w:color="auto" w:fill="auto"/>
            <w:noWrap/>
            <w:hideMark/>
          </w:tcPr>
          <w:p w14:paraId="4037CCF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4. </w:t>
            </w:r>
            <w:r w:rsidRPr="00EC70E0">
              <w:rPr>
                <w:rFonts w:ascii="Calibri" w:eastAsia="Times New Roman" w:hAnsi="Calibri" w:cs="Times New Roman"/>
                <w:color w:val="000000"/>
                <w:sz w:val="20"/>
                <w:lang w:eastAsia="en-GB"/>
              </w:rPr>
              <w:t>Strategy</w:t>
            </w:r>
          </w:p>
        </w:tc>
        <w:tc>
          <w:tcPr>
            <w:tcW w:w="2206" w:type="pct"/>
            <w:shd w:val="clear" w:color="auto" w:fill="auto"/>
            <w:noWrap/>
            <w:hideMark/>
          </w:tcPr>
          <w:p w14:paraId="37BE2FF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document-link/category[@code='B02'] exists?</w:t>
            </w:r>
          </w:p>
        </w:tc>
        <w:tc>
          <w:tcPr>
            <w:tcW w:w="1193" w:type="pct"/>
            <w:shd w:val="clear" w:color="auto" w:fill="auto"/>
            <w:noWrap/>
            <w:hideMark/>
          </w:tcPr>
          <w:p w14:paraId="1641E3B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Strategy</w:t>
            </w:r>
          </w:p>
        </w:tc>
        <w:tc>
          <w:tcPr>
            <w:tcW w:w="737" w:type="pct"/>
          </w:tcPr>
          <w:p w14:paraId="78CA32BB"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42344AB0" w14:textId="77777777" w:rsidTr="006D799E">
        <w:trPr>
          <w:cantSplit/>
          <w:trHeight w:val="300"/>
        </w:trPr>
        <w:tc>
          <w:tcPr>
            <w:tcW w:w="864" w:type="pct"/>
            <w:shd w:val="clear" w:color="auto" w:fill="auto"/>
            <w:noWrap/>
            <w:hideMark/>
          </w:tcPr>
          <w:p w14:paraId="782FE6FF"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5. </w:t>
            </w:r>
            <w:r w:rsidRPr="00EC70E0">
              <w:rPr>
                <w:rFonts w:ascii="Calibri" w:eastAsia="Times New Roman" w:hAnsi="Calibri" w:cs="Times New Roman"/>
                <w:color w:val="000000"/>
                <w:sz w:val="20"/>
                <w:lang w:eastAsia="en-GB"/>
              </w:rPr>
              <w:t>Annual report</w:t>
            </w:r>
          </w:p>
        </w:tc>
        <w:tc>
          <w:tcPr>
            <w:tcW w:w="2206" w:type="pct"/>
            <w:shd w:val="clear" w:color="auto" w:fill="auto"/>
            <w:noWrap/>
            <w:hideMark/>
          </w:tcPr>
          <w:p w14:paraId="60BDCBCF"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document-link/category[@code='B01'] exists?</w:t>
            </w:r>
          </w:p>
        </w:tc>
        <w:tc>
          <w:tcPr>
            <w:tcW w:w="1193" w:type="pct"/>
            <w:shd w:val="clear" w:color="auto" w:fill="auto"/>
            <w:noWrap/>
            <w:hideMark/>
          </w:tcPr>
          <w:p w14:paraId="6C409F8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Annual report</w:t>
            </w:r>
          </w:p>
        </w:tc>
        <w:tc>
          <w:tcPr>
            <w:tcW w:w="737" w:type="pct"/>
          </w:tcPr>
          <w:p w14:paraId="063534B9"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274EAC65" w14:textId="77777777" w:rsidTr="006D799E">
        <w:trPr>
          <w:cantSplit/>
          <w:trHeight w:val="300"/>
        </w:trPr>
        <w:tc>
          <w:tcPr>
            <w:tcW w:w="864" w:type="pct"/>
            <w:shd w:val="clear" w:color="auto" w:fill="auto"/>
            <w:noWrap/>
            <w:hideMark/>
          </w:tcPr>
          <w:p w14:paraId="6B22259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6. </w:t>
            </w:r>
            <w:r w:rsidRPr="00EC70E0">
              <w:rPr>
                <w:rFonts w:ascii="Calibri" w:eastAsia="Times New Roman" w:hAnsi="Calibri" w:cs="Times New Roman"/>
                <w:color w:val="000000"/>
                <w:sz w:val="20"/>
                <w:lang w:eastAsia="en-GB"/>
              </w:rPr>
              <w:t>Allocation policy</w:t>
            </w:r>
          </w:p>
        </w:tc>
        <w:tc>
          <w:tcPr>
            <w:tcW w:w="2206" w:type="pct"/>
            <w:shd w:val="clear" w:color="auto" w:fill="auto"/>
            <w:noWrap/>
            <w:hideMark/>
          </w:tcPr>
          <w:p w14:paraId="1809020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document-link/category[@code='B04'] exists?</w:t>
            </w:r>
          </w:p>
        </w:tc>
        <w:tc>
          <w:tcPr>
            <w:tcW w:w="1193" w:type="pct"/>
            <w:shd w:val="clear" w:color="auto" w:fill="auto"/>
            <w:noWrap/>
            <w:hideMark/>
          </w:tcPr>
          <w:p w14:paraId="2C9F76E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Allocation policy</w:t>
            </w:r>
          </w:p>
        </w:tc>
        <w:tc>
          <w:tcPr>
            <w:tcW w:w="737" w:type="pct"/>
          </w:tcPr>
          <w:p w14:paraId="7CA028EB"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3F3B336A" w14:textId="77777777" w:rsidTr="006D799E">
        <w:trPr>
          <w:cantSplit/>
          <w:trHeight w:val="300"/>
        </w:trPr>
        <w:tc>
          <w:tcPr>
            <w:tcW w:w="864" w:type="pct"/>
            <w:shd w:val="clear" w:color="auto" w:fill="auto"/>
            <w:noWrap/>
            <w:hideMark/>
          </w:tcPr>
          <w:p w14:paraId="10385D4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7. </w:t>
            </w:r>
            <w:r w:rsidRPr="00EC70E0">
              <w:rPr>
                <w:rFonts w:ascii="Calibri" w:eastAsia="Times New Roman" w:hAnsi="Calibri" w:cs="Times New Roman"/>
                <w:color w:val="000000"/>
                <w:sz w:val="20"/>
                <w:lang w:eastAsia="en-GB"/>
              </w:rPr>
              <w:t>Procurement policy</w:t>
            </w:r>
          </w:p>
        </w:tc>
        <w:tc>
          <w:tcPr>
            <w:tcW w:w="2206" w:type="pct"/>
            <w:shd w:val="clear" w:color="auto" w:fill="auto"/>
            <w:noWrap/>
            <w:hideMark/>
          </w:tcPr>
          <w:p w14:paraId="5D5E7A27" w14:textId="77777777" w:rsidR="009611A7" w:rsidRPr="00497C0A" w:rsidRDefault="009611A7" w:rsidP="009611A7">
            <w:pPr>
              <w:spacing w:after="0" w:line="240" w:lineRule="auto"/>
              <w:rPr>
                <w:rFonts w:ascii="Calibri" w:eastAsia="Times New Roman" w:hAnsi="Calibri" w:cs="Times New Roman"/>
                <w:color w:val="000000"/>
                <w:sz w:val="20"/>
                <w:lang w:eastAsia="en-GB"/>
              </w:rPr>
            </w:pPr>
            <w:r w:rsidRPr="00497C0A">
              <w:rPr>
                <w:rFonts w:ascii="Calibri" w:eastAsia="Times New Roman" w:hAnsi="Calibri" w:cs="Times New Roman"/>
                <w:color w:val="000000"/>
                <w:sz w:val="20"/>
                <w:lang w:eastAsia="en-GB"/>
              </w:rPr>
              <w:t>document-link/category[@code='B05'] exists?</w:t>
            </w:r>
          </w:p>
        </w:tc>
        <w:tc>
          <w:tcPr>
            <w:tcW w:w="1193" w:type="pct"/>
            <w:shd w:val="clear" w:color="auto" w:fill="auto"/>
            <w:noWrap/>
            <w:hideMark/>
          </w:tcPr>
          <w:p w14:paraId="0C81077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Procurement policy</w:t>
            </w:r>
          </w:p>
        </w:tc>
        <w:tc>
          <w:tcPr>
            <w:tcW w:w="737" w:type="pct"/>
          </w:tcPr>
          <w:p w14:paraId="4D07CC73"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0093321D" w14:textId="77777777" w:rsidTr="006D799E">
        <w:trPr>
          <w:cantSplit/>
          <w:trHeight w:val="300"/>
        </w:trPr>
        <w:tc>
          <w:tcPr>
            <w:tcW w:w="864" w:type="pct"/>
            <w:shd w:val="clear" w:color="auto" w:fill="auto"/>
            <w:noWrap/>
            <w:hideMark/>
          </w:tcPr>
          <w:p w14:paraId="5D3048F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8. Country s</w:t>
            </w:r>
            <w:r w:rsidRPr="00EC70E0">
              <w:rPr>
                <w:rFonts w:ascii="Calibri" w:eastAsia="Times New Roman" w:hAnsi="Calibri" w:cs="Times New Roman"/>
                <w:color w:val="000000"/>
                <w:sz w:val="20"/>
                <w:lang w:eastAsia="en-GB"/>
              </w:rPr>
              <w:t>trategy</w:t>
            </w:r>
          </w:p>
        </w:tc>
        <w:tc>
          <w:tcPr>
            <w:tcW w:w="2206" w:type="pct"/>
            <w:shd w:val="clear" w:color="auto" w:fill="auto"/>
            <w:noWrap/>
            <w:hideMark/>
          </w:tcPr>
          <w:p w14:paraId="206C154F" w14:textId="77777777" w:rsidR="009611A7" w:rsidRPr="00497C0A" w:rsidRDefault="00216D75" w:rsidP="009611A7">
            <w:pPr>
              <w:spacing w:after="0" w:line="240" w:lineRule="auto"/>
              <w:rPr>
                <w:rFonts w:ascii="Calibri" w:eastAsia="Times New Roman" w:hAnsi="Calibri" w:cs="Times New Roman"/>
                <w:color w:val="000000"/>
                <w:sz w:val="20"/>
                <w:lang w:eastAsia="en-GB"/>
              </w:rPr>
            </w:pPr>
            <w:r w:rsidRPr="00497C0A">
              <w:rPr>
                <w:rFonts w:ascii="Calibri" w:eastAsia="Times New Roman" w:hAnsi="Calibri" w:cs="Times New Roman"/>
                <w:color w:val="000000"/>
                <w:sz w:val="20"/>
                <w:lang w:eastAsia="en-GB"/>
              </w:rPr>
              <w:t xml:space="preserve">See page </w:t>
            </w:r>
            <w:r w:rsidR="00E26CCF" w:rsidRPr="00497C0A">
              <w:rPr>
                <w:rFonts w:ascii="Calibri" w:eastAsia="Times New Roman" w:hAnsi="Calibri" w:cs="Times New Roman"/>
                <w:color w:val="000000"/>
                <w:sz w:val="20"/>
                <w:lang w:eastAsia="en-GB"/>
              </w:rPr>
              <w:t>4</w:t>
            </w:r>
            <w:r w:rsidR="00E069CF" w:rsidRPr="00497C0A">
              <w:rPr>
                <w:rFonts w:ascii="Calibri" w:eastAsia="Times New Roman" w:hAnsi="Calibri" w:cs="Times New Roman"/>
                <w:color w:val="000000"/>
                <w:sz w:val="20"/>
                <w:lang w:eastAsia="en-GB"/>
              </w:rPr>
              <w:t>4</w:t>
            </w:r>
          </w:p>
        </w:tc>
        <w:tc>
          <w:tcPr>
            <w:tcW w:w="1193" w:type="pct"/>
            <w:shd w:val="clear" w:color="auto" w:fill="auto"/>
            <w:noWrap/>
            <w:hideMark/>
          </w:tcPr>
          <w:p w14:paraId="6D7A288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Country strategy paper</w:t>
            </w:r>
          </w:p>
        </w:tc>
        <w:tc>
          <w:tcPr>
            <w:tcW w:w="737" w:type="pct"/>
          </w:tcPr>
          <w:p w14:paraId="0272938D"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317280ED" w14:textId="77777777" w:rsidTr="006D799E">
        <w:trPr>
          <w:cantSplit/>
          <w:trHeight w:val="300"/>
        </w:trPr>
        <w:tc>
          <w:tcPr>
            <w:tcW w:w="864" w:type="pct"/>
            <w:shd w:val="clear" w:color="auto" w:fill="auto"/>
            <w:noWrap/>
          </w:tcPr>
          <w:p w14:paraId="29F6244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9. Total organisation budget</w:t>
            </w:r>
          </w:p>
        </w:tc>
        <w:tc>
          <w:tcPr>
            <w:tcW w:w="2206" w:type="pct"/>
            <w:shd w:val="clear" w:color="auto" w:fill="auto"/>
            <w:noWrap/>
          </w:tcPr>
          <w:p w14:paraId="62D9B868" w14:textId="77777777" w:rsidR="009611A7" w:rsidRPr="00497C0A" w:rsidRDefault="00216D75" w:rsidP="009611A7">
            <w:pPr>
              <w:spacing w:after="0" w:line="240" w:lineRule="auto"/>
              <w:rPr>
                <w:rFonts w:ascii="Calibri" w:eastAsia="Times New Roman" w:hAnsi="Calibri" w:cs="Times New Roman"/>
                <w:color w:val="000000"/>
                <w:sz w:val="20"/>
                <w:lang w:eastAsia="en-GB"/>
              </w:rPr>
            </w:pPr>
            <w:r w:rsidRPr="00497C0A">
              <w:rPr>
                <w:rFonts w:ascii="Calibri" w:eastAsia="Times New Roman" w:hAnsi="Calibri" w:cs="Times New Roman"/>
                <w:color w:val="000000"/>
                <w:sz w:val="20"/>
                <w:lang w:eastAsia="en-GB"/>
              </w:rPr>
              <w:t xml:space="preserve">See page </w:t>
            </w:r>
            <w:r w:rsidR="00E26CCF" w:rsidRPr="00497C0A">
              <w:rPr>
                <w:rFonts w:ascii="Calibri" w:eastAsia="Times New Roman" w:hAnsi="Calibri" w:cs="Times New Roman"/>
                <w:color w:val="000000"/>
                <w:sz w:val="20"/>
                <w:lang w:eastAsia="en-GB"/>
              </w:rPr>
              <w:t>4</w:t>
            </w:r>
            <w:r w:rsidR="00E069CF" w:rsidRPr="00497C0A">
              <w:rPr>
                <w:rFonts w:ascii="Calibri" w:eastAsia="Times New Roman" w:hAnsi="Calibri" w:cs="Times New Roman"/>
                <w:color w:val="000000"/>
                <w:sz w:val="20"/>
                <w:lang w:eastAsia="en-GB"/>
              </w:rPr>
              <w:t>4</w:t>
            </w:r>
          </w:p>
        </w:tc>
        <w:tc>
          <w:tcPr>
            <w:tcW w:w="1193" w:type="pct"/>
            <w:shd w:val="clear" w:color="auto" w:fill="auto"/>
            <w:noWrap/>
          </w:tcPr>
          <w:p w14:paraId="558462EE"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Total organisation budget</w:t>
            </w:r>
          </w:p>
        </w:tc>
        <w:tc>
          <w:tcPr>
            <w:tcW w:w="737" w:type="pct"/>
          </w:tcPr>
          <w:p w14:paraId="52D43142"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58AB74D7" w14:textId="77777777" w:rsidTr="006D799E">
        <w:trPr>
          <w:cantSplit/>
          <w:trHeight w:val="300"/>
        </w:trPr>
        <w:tc>
          <w:tcPr>
            <w:tcW w:w="864" w:type="pct"/>
            <w:shd w:val="clear" w:color="auto" w:fill="auto"/>
            <w:noWrap/>
          </w:tcPr>
          <w:p w14:paraId="10C8D6A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10. Disaggregated budget</w:t>
            </w:r>
          </w:p>
        </w:tc>
        <w:tc>
          <w:tcPr>
            <w:tcW w:w="2206" w:type="pct"/>
            <w:shd w:val="clear" w:color="auto" w:fill="auto"/>
            <w:noWrap/>
          </w:tcPr>
          <w:p w14:paraId="03E03E68" w14:textId="77777777" w:rsidR="009611A7" w:rsidRPr="00497C0A" w:rsidRDefault="00216D75" w:rsidP="009611A7">
            <w:pPr>
              <w:spacing w:after="0" w:line="240" w:lineRule="auto"/>
              <w:rPr>
                <w:rFonts w:ascii="Calibri" w:eastAsia="Times New Roman" w:hAnsi="Calibri" w:cs="Times New Roman"/>
                <w:color w:val="000000"/>
                <w:sz w:val="20"/>
                <w:lang w:eastAsia="en-GB"/>
              </w:rPr>
            </w:pPr>
            <w:r w:rsidRPr="00497C0A">
              <w:rPr>
                <w:rFonts w:ascii="Calibri" w:eastAsia="Times New Roman" w:hAnsi="Calibri" w:cs="Times New Roman"/>
                <w:color w:val="000000"/>
                <w:sz w:val="20"/>
                <w:lang w:eastAsia="en-GB"/>
              </w:rPr>
              <w:t xml:space="preserve">See page </w:t>
            </w:r>
            <w:r w:rsidR="00E26CCF" w:rsidRPr="00497C0A">
              <w:rPr>
                <w:rFonts w:ascii="Calibri" w:eastAsia="Times New Roman" w:hAnsi="Calibri" w:cs="Times New Roman"/>
                <w:color w:val="000000"/>
                <w:sz w:val="20"/>
                <w:lang w:eastAsia="en-GB"/>
              </w:rPr>
              <w:t>4</w:t>
            </w:r>
            <w:r w:rsidR="00E069CF" w:rsidRPr="00497C0A">
              <w:rPr>
                <w:rFonts w:ascii="Calibri" w:eastAsia="Times New Roman" w:hAnsi="Calibri" w:cs="Times New Roman"/>
                <w:color w:val="000000"/>
                <w:sz w:val="20"/>
                <w:lang w:eastAsia="en-GB"/>
              </w:rPr>
              <w:t>4</w:t>
            </w:r>
          </w:p>
        </w:tc>
        <w:tc>
          <w:tcPr>
            <w:tcW w:w="1193" w:type="pct"/>
            <w:shd w:val="clear" w:color="auto" w:fill="auto"/>
            <w:noWrap/>
          </w:tcPr>
          <w:p w14:paraId="4CC6DEE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Disaggregated budget</w:t>
            </w:r>
          </w:p>
        </w:tc>
        <w:tc>
          <w:tcPr>
            <w:tcW w:w="737" w:type="pct"/>
          </w:tcPr>
          <w:p w14:paraId="0462ADA0"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7B03989E" w14:textId="77777777" w:rsidTr="006D799E">
        <w:trPr>
          <w:cantSplit/>
          <w:trHeight w:val="300"/>
        </w:trPr>
        <w:tc>
          <w:tcPr>
            <w:tcW w:w="864" w:type="pct"/>
            <w:shd w:val="clear" w:color="auto" w:fill="auto"/>
            <w:noWrap/>
            <w:hideMark/>
          </w:tcPr>
          <w:p w14:paraId="44AE524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11. </w:t>
            </w:r>
            <w:r w:rsidRPr="00EC70E0">
              <w:rPr>
                <w:rFonts w:ascii="Calibri" w:eastAsia="Times New Roman" w:hAnsi="Calibri" w:cs="Times New Roman"/>
                <w:color w:val="000000"/>
                <w:sz w:val="20"/>
                <w:lang w:eastAsia="en-GB"/>
              </w:rPr>
              <w:t>Audit</w:t>
            </w:r>
          </w:p>
        </w:tc>
        <w:tc>
          <w:tcPr>
            <w:tcW w:w="2206" w:type="pct"/>
            <w:shd w:val="clear" w:color="auto" w:fill="auto"/>
            <w:noWrap/>
            <w:hideMark/>
          </w:tcPr>
          <w:p w14:paraId="6E96E5B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document-link/category[@code='B06'] exists?</w:t>
            </w:r>
          </w:p>
        </w:tc>
        <w:tc>
          <w:tcPr>
            <w:tcW w:w="1193" w:type="pct"/>
            <w:shd w:val="clear" w:color="auto" w:fill="auto"/>
            <w:noWrap/>
            <w:hideMark/>
          </w:tcPr>
          <w:p w14:paraId="2DF6EC8E"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Audit</w:t>
            </w:r>
          </w:p>
        </w:tc>
        <w:tc>
          <w:tcPr>
            <w:tcW w:w="737" w:type="pct"/>
          </w:tcPr>
          <w:p w14:paraId="74DDC60B"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0B5AB749" w14:textId="77777777" w:rsidTr="006D799E">
        <w:trPr>
          <w:cantSplit/>
          <w:trHeight w:val="300"/>
        </w:trPr>
        <w:tc>
          <w:tcPr>
            <w:tcW w:w="5000" w:type="pct"/>
            <w:gridSpan w:val="4"/>
            <w:shd w:val="clear" w:color="auto" w:fill="auto"/>
            <w:noWrap/>
          </w:tcPr>
          <w:p w14:paraId="5402D2B8" w14:textId="77777777" w:rsidR="009611A7" w:rsidRPr="00053BAD" w:rsidRDefault="009611A7" w:rsidP="009611A7">
            <w:pPr>
              <w:spacing w:after="0" w:line="240" w:lineRule="auto"/>
              <w:rPr>
                <w:rFonts w:ascii="Calibri" w:eastAsia="Times New Roman" w:hAnsi="Calibri" w:cs="Times New Roman"/>
                <w:b/>
                <w:color w:val="000000"/>
                <w:sz w:val="20"/>
                <w:lang w:eastAsia="en-GB"/>
              </w:rPr>
            </w:pPr>
            <w:r w:rsidRPr="00053BAD">
              <w:rPr>
                <w:rFonts w:ascii="Calibri" w:eastAsia="Times New Roman" w:hAnsi="Calibri" w:cs="Times New Roman"/>
                <w:b/>
                <w:color w:val="000000"/>
                <w:sz w:val="20"/>
                <w:lang w:eastAsia="en-GB"/>
              </w:rPr>
              <w:t>Activity level</w:t>
            </w:r>
          </w:p>
        </w:tc>
      </w:tr>
      <w:tr w:rsidR="009611A7" w:rsidRPr="00EC70E0" w14:paraId="5BA3B044" w14:textId="77777777" w:rsidTr="006D799E">
        <w:trPr>
          <w:cantSplit/>
          <w:trHeight w:val="300"/>
        </w:trPr>
        <w:tc>
          <w:tcPr>
            <w:tcW w:w="864" w:type="pct"/>
            <w:shd w:val="clear" w:color="auto" w:fill="auto"/>
            <w:noWrap/>
            <w:hideMark/>
          </w:tcPr>
          <w:p w14:paraId="3236283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12. </w:t>
            </w:r>
            <w:r w:rsidRPr="00EC70E0">
              <w:rPr>
                <w:rFonts w:ascii="Calibri" w:eastAsia="Times New Roman" w:hAnsi="Calibri" w:cs="Times New Roman"/>
                <w:color w:val="000000"/>
                <w:sz w:val="20"/>
                <w:lang w:eastAsia="en-GB"/>
              </w:rPr>
              <w:t>Implementer</w:t>
            </w:r>
          </w:p>
        </w:tc>
        <w:tc>
          <w:tcPr>
            <w:tcW w:w="2206" w:type="pct"/>
            <w:shd w:val="clear" w:color="auto" w:fill="auto"/>
            <w:noWrap/>
            <w:hideMark/>
          </w:tcPr>
          <w:p w14:paraId="62B17E66" w14:textId="77777777" w:rsidR="009611A7" w:rsidRPr="00EC70E0" w:rsidRDefault="005262EB" w:rsidP="009611A7">
            <w:pPr>
              <w:spacing w:after="0" w:line="240" w:lineRule="auto"/>
              <w:rPr>
                <w:rFonts w:ascii="Calibri" w:eastAsia="Times New Roman" w:hAnsi="Calibri" w:cs="Times New Roman"/>
                <w:color w:val="000000"/>
                <w:sz w:val="20"/>
                <w:lang w:eastAsia="en-GB"/>
              </w:rPr>
            </w:pPr>
            <w:r w:rsidRPr="005262EB">
              <w:rPr>
                <w:rFonts w:ascii="Calibri" w:eastAsia="Times New Roman" w:hAnsi="Calibri" w:cs="Times New Roman"/>
                <w:color w:val="000000"/>
                <w:sz w:val="20"/>
                <w:lang w:eastAsia="en-GB"/>
              </w:rPr>
              <w:t>participating-org[@role='Implementing'] exists (if activity-status/@code is at least 2)?</w:t>
            </w:r>
          </w:p>
        </w:tc>
        <w:tc>
          <w:tcPr>
            <w:tcW w:w="1193" w:type="pct"/>
            <w:shd w:val="clear" w:color="auto" w:fill="auto"/>
            <w:noWrap/>
            <w:hideMark/>
          </w:tcPr>
          <w:p w14:paraId="4E4B06A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Implementing organisation</w:t>
            </w:r>
          </w:p>
        </w:tc>
        <w:tc>
          <w:tcPr>
            <w:tcW w:w="737" w:type="pct"/>
          </w:tcPr>
          <w:p w14:paraId="2F4A978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6AC5FD88" w14:textId="77777777" w:rsidTr="006D799E">
        <w:trPr>
          <w:cantSplit/>
          <w:trHeight w:val="300"/>
        </w:trPr>
        <w:tc>
          <w:tcPr>
            <w:tcW w:w="864" w:type="pct"/>
            <w:shd w:val="clear" w:color="auto" w:fill="auto"/>
            <w:noWrap/>
            <w:hideMark/>
          </w:tcPr>
          <w:p w14:paraId="31AE109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13. </w:t>
            </w:r>
            <w:r w:rsidRPr="00EC70E0">
              <w:rPr>
                <w:rFonts w:ascii="Calibri" w:eastAsia="Times New Roman" w:hAnsi="Calibri" w:cs="Times New Roman"/>
                <w:color w:val="000000"/>
                <w:sz w:val="20"/>
                <w:lang w:eastAsia="en-GB"/>
              </w:rPr>
              <w:t>Unique ID</w:t>
            </w:r>
          </w:p>
        </w:tc>
        <w:tc>
          <w:tcPr>
            <w:tcW w:w="2206" w:type="pct"/>
            <w:shd w:val="clear" w:color="auto" w:fill="auto"/>
            <w:noWrap/>
            <w:hideMark/>
          </w:tcPr>
          <w:p w14:paraId="7DBE9225" w14:textId="77777777" w:rsidR="009611A7" w:rsidRPr="00EC70E0" w:rsidRDefault="005262EB" w:rsidP="009611A7">
            <w:pPr>
              <w:spacing w:after="0" w:line="240" w:lineRule="auto"/>
              <w:rPr>
                <w:rFonts w:ascii="Calibri" w:eastAsia="Times New Roman" w:hAnsi="Calibri" w:cs="Times New Roman"/>
                <w:color w:val="000000"/>
                <w:sz w:val="20"/>
                <w:lang w:eastAsia="en-GB"/>
              </w:rPr>
            </w:pPr>
            <w:r w:rsidRPr="005262EB">
              <w:rPr>
                <w:rFonts w:ascii="Calibri" w:eastAsia="Times New Roman" w:hAnsi="Calibri" w:cs="Times New Roman"/>
                <w:color w:val="000000"/>
                <w:sz w:val="20"/>
                <w:lang w:eastAsia="en-GB"/>
              </w:rPr>
              <w:t>iati-identifier exists?</w:t>
            </w:r>
          </w:p>
        </w:tc>
        <w:tc>
          <w:tcPr>
            <w:tcW w:w="1193" w:type="pct"/>
            <w:shd w:val="clear" w:color="auto" w:fill="auto"/>
            <w:noWrap/>
            <w:hideMark/>
          </w:tcPr>
          <w:p w14:paraId="12F97EDE"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Unique IATI Identifier</w:t>
            </w:r>
          </w:p>
        </w:tc>
        <w:tc>
          <w:tcPr>
            <w:tcW w:w="737" w:type="pct"/>
          </w:tcPr>
          <w:p w14:paraId="0884D402"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08DB16AE" w14:textId="77777777" w:rsidTr="006D799E">
        <w:trPr>
          <w:cantSplit/>
          <w:trHeight w:val="300"/>
        </w:trPr>
        <w:tc>
          <w:tcPr>
            <w:tcW w:w="864" w:type="pct"/>
            <w:shd w:val="clear" w:color="auto" w:fill="auto"/>
            <w:noWrap/>
            <w:hideMark/>
          </w:tcPr>
          <w:p w14:paraId="489C3C1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13. </w:t>
            </w:r>
            <w:r w:rsidRPr="00EC70E0">
              <w:rPr>
                <w:rFonts w:ascii="Calibri" w:eastAsia="Times New Roman" w:hAnsi="Calibri" w:cs="Times New Roman"/>
                <w:color w:val="000000"/>
                <w:sz w:val="20"/>
                <w:lang w:eastAsia="en-GB"/>
              </w:rPr>
              <w:t>Unique ID</w:t>
            </w:r>
          </w:p>
        </w:tc>
        <w:tc>
          <w:tcPr>
            <w:tcW w:w="2206" w:type="pct"/>
            <w:shd w:val="clear" w:color="auto" w:fill="auto"/>
            <w:noWrap/>
            <w:hideMark/>
          </w:tcPr>
          <w:p w14:paraId="2CB96D82" w14:textId="77777777" w:rsidR="009611A7" w:rsidRPr="002A52E5" w:rsidRDefault="005262EB"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iati-identifier/text() starts with reporting-org/@ref or other-identifier[@type='B1']/@ref?</w:t>
            </w:r>
          </w:p>
        </w:tc>
        <w:tc>
          <w:tcPr>
            <w:tcW w:w="1193" w:type="pct"/>
            <w:shd w:val="clear" w:color="auto" w:fill="auto"/>
            <w:noWrap/>
            <w:hideMark/>
          </w:tcPr>
          <w:p w14:paraId="60AAEE7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IATI Identifier starts with reporting org ref</w:t>
            </w:r>
            <w:r w:rsidR="004A3C4E">
              <w:rPr>
                <w:rFonts w:ascii="Calibri" w:eastAsia="Times New Roman" w:hAnsi="Calibri" w:cs="Times New Roman"/>
                <w:color w:val="000000"/>
                <w:sz w:val="20"/>
                <w:lang w:eastAsia="en-GB"/>
              </w:rPr>
              <w:t>erence</w:t>
            </w:r>
          </w:p>
        </w:tc>
        <w:tc>
          <w:tcPr>
            <w:tcW w:w="737" w:type="pct"/>
          </w:tcPr>
          <w:p w14:paraId="188A3334"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403B5491" w14:textId="77777777" w:rsidTr="006D799E">
        <w:trPr>
          <w:cantSplit/>
          <w:trHeight w:val="300"/>
        </w:trPr>
        <w:tc>
          <w:tcPr>
            <w:tcW w:w="864" w:type="pct"/>
            <w:shd w:val="clear" w:color="auto" w:fill="auto"/>
            <w:noWrap/>
            <w:hideMark/>
          </w:tcPr>
          <w:p w14:paraId="5801BAF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14. </w:t>
            </w:r>
            <w:r w:rsidRPr="00EC70E0">
              <w:rPr>
                <w:rFonts w:ascii="Calibri" w:eastAsia="Times New Roman" w:hAnsi="Calibri" w:cs="Times New Roman"/>
                <w:color w:val="000000"/>
                <w:sz w:val="20"/>
                <w:lang w:eastAsia="en-GB"/>
              </w:rPr>
              <w:t>Title</w:t>
            </w:r>
          </w:p>
        </w:tc>
        <w:tc>
          <w:tcPr>
            <w:tcW w:w="2206" w:type="pct"/>
            <w:shd w:val="clear" w:color="auto" w:fill="auto"/>
            <w:noWrap/>
            <w:hideMark/>
          </w:tcPr>
          <w:p w14:paraId="556DB66C" w14:textId="77777777" w:rsidR="009611A7" w:rsidRPr="002A52E5" w:rsidRDefault="005262EB"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title/text() or title/narrative/text() exists?</w:t>
            </w:r>
          </w:p>
        </w:tc>
        <w:tc>
          <w:tcPr>
            <w:tcW w:w="1193" w:type="pct"/>
            <w:shd w:val="clear" w:color="auto" w:fill="auto"/>
            <w:noWrap/>
            <w:hideMark/>
          </w:tcPr>
          <w:p w14:paraId="6CFC254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Title</w:t>
            </w:r>
          </w:p>
        </w:tc>
        <w:tc>
          <w:tcPr>
            <w:tcW w:w="737" w:type="pct"/>
          </w:tcPr>
          <w:p w14:paraId="202ED8AE"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36828EA0" w14:textId="77777777" w:rsidTr="006D799E">
        <w:trPr>
          <w:cantSplit/>
          <w:trHeight w:val="300"/>
        </w:trPr>
        <w:tc>
          <w:tcPr>
            <w:tcW w:w="864" w:type="pct"/>
            <w:shd w:val="clear" w:color="auto" w:fill="auto"/>
            <w:noWrap/>
            <w:hideMark/>
          </w:tcPr>
          <w:p w14:paraId="3F2811D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14. </w:t>
            </w:r>
            <w:r w:rsidRPr="00EC70E0">
              <w:rPr>
                <w:rFonts w:ascii="Calibri" w:eastAsia="Times New Roman" w:hAnsi="Calibri" w:cs="Times New Roman"/>
                <w:color w:val="000000"/>
                <w:sz w:val="20"/>
                <w:lang w:eastAsia="en-GB"/>
              </w:rPr>
              <w:t>Title</w:t>
            </w:r>
          </w:p>
        </w:tc>
        <w:tc>
          <w:tcPr>
            <w:tcW w:w="2206" w:type="pct"/>
            <w:shd w:val="clear" w:color="auto" w:fill="auto"/>
            <w:noWrap/>
            <w:hideMark/>
          </w:tcPr>
          <w:p w14:paraId="7F417D22" w14:textId="77777777" w:rsidR="009611A7" w:rsidRPr="002A52E5" w:rsidRDefault="005262EB"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title/text() or title/narrative/text() has more than 10 characters?</w:t>
            </w:r>
          </w:p>
        </w:tc>
        <w:tc>
          <w:tcPr>
            <w:tcW w:w="1193" w:type="pct"/>
            <w:shd w:val="clear" w:color="auto" w:fill="auto"/>
            <w:noWrap/>
            <w:hideMark/>
          </w:tcPr>
          <w:p w14:paraId="0E6A7040" w14:textId="77777777" w:rsidR="009611A7" w:rsidRPr="00EC70E0" w:rsidRDefault="004A3C4E"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Title, more than 10 characters</w:t>
            </w:r>
          </w:p>
        </w:tc>
        <w:tc>
          <w:tcPr>
            <w:tcW w:w="737" w:type="pct"/>
          </w:tcPr>
          <w:p w14:paraId="2460F422"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308296D2" w14:textId="77777777" w:rsidTr="006D799E">
        <w:trPr>
          <w:cantSplit/>
          <w:trHeight w:val="300"/>
        </w:trPr>
        <w:tc>
          <w:tcPr>
            <w:tcW w:w="864" w:type="pct"/>
            <w:shd w:val="clear" w:color="auto" w:fill="auto"/>
            <w:noWrap/>
            <w:hideMark/>
          </w:tcPr>
          <w:p w14:paraId="49A6548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15. </w:t>
            </w:r>
            <w:r w:rsidRPr="00EC70E0">
              <w:rPr>
                <w:rFonts w:ascii="Calibri" w:eastAsia="Times New Roman" w:hAnsi="Calibri" w:cs="Times New Roman"/>
                <w:color w:val="000000"/>
                <w:sz w:val="20"/>
                <w:lang w:eastAsia="en-GB"/>
              </w:rPr>
              <w:t>Description</w:t>
            </w:r>
          </w:p>
        </w:tc>
        <w:tc>
          <w:tcPr>
            <w:tcW w:w="2206" w:type="pct"/>
            <w:shd w:val="clear" w:color="auto" w:fill="auto"/>
            <w:noWrap/>
            <w:hideMark/>
          </w:tcPr>
          <w:p w14:paraId="0D05DF65" w14:textId="77777777" w:rsidR="009611A7" w:rsidRPr="002A52E5" w:rsidRDefault="005262EB"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description/text() or description/narrative/text() exists?</w:t>
            </w:r>
          </w:p>
        </w:tc>
        <w:tc>
          <w:tcPr>
            <w:tcW w:w="1193" w:type="pct"/>
            <w:shd w:val="clear" w:color="auto" w:fill="auto"/>
            <w:noWrap/>
            <w:hideMark/>
          </w:tcPr>
          <w:p w14:paraId="3557CE1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Description</w:t>
            </w:r>
          </w:p>
        </w:tc>
        <w:tc>
          <w:tcPr>
            <w:tcW w:w="737" w:type="pct"/>
          </w:tcPr>
          <w:p w14:paraId="0489AB70"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699F0A21" w14:textId="77777777" w:rsidTr="006D799E">
        <w:trPr>
          <w:cantSplit/>
          <w:trHeight w:val="300"/>
        </w:trPr>
        <w:tc>
          <w:tcPr>
            <w:tcW w:w="864" w:type="pct"/>
            <w:shd w:val="clear" w:color="auto" w:fill="auto"/>
            <w:noWrap/>
            <w:hideMark/>
          </w:tcPr>
          <w:p w14:paraId="1CE0B36F"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15. </w:t>
            </w:r>
            <w:r w:rsidRPr="00EC70E0">
              <w:rPr>
                <w:rFonts w:ascii="Calibri" w:eastAsia="Times New Roman" w:hAnsi="Calibri" w:cs="Times New Roman"/>
                <w:color w:val="000000"/>
                <w:sz w:val="20"/>
                <w:lang w:eastAsia="en-GB"/>
              </w:rPr>
              <w:t>Description</w:t>
            </w:r>
          </w:p>
        </w:tc>
        <w:tc>
          <w:tcPr>
            <w:tcW w:w="2206" w:type="pct"/>
            <w:shd w:val="clear" w:color="auto" w:fill="auto"/>
            <w:noWrap/>
            <w:hideMark/>
          </w:tcPr>
          <w:p w14:paraId="73506530" w14:textId="77777777" w:rsidR="005262EB" w:rsidRPr="002A52E5" w:rsidRDefault="005262EB"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description/text() or description/narrative/text() has more than 40 characters?</w:t>
            </w:r>
          </w:p>
        </w:tc>
        <w:tc>
          <w:tcPr>
            <w:tcW w:w="1193" w:type="pct"/>
            <w:shd w:val="clear" w:color="auto" w:fill="auto"/>
            <w:noWrap/>
            <w:hideMark/>
          </w:tcPr>
          <w:p w14:paraId="6E46E7A8" w14:textId="77777777" w:rsidR="009611A7" w:rsidRPr="00EC70E0" w:rsidRDefault="004A3C4E"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Description, more than 40 characters</w:t>
            </w:r>
          </w:p>
        </w:tc>
        <w:tc>
          <w:tcPr>
            <w:tcW w:w="737" w:type="pct"/>
          </w:tcPr>
          <w:p w14:paraId="313216BC"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3F5B65EC" w14:textId="77777777" w:rsidTr="006D799E">
        <w:trPr>
          <w:cantSplit/>
          <w:trHeight w:val="300"/>
        </w:trPr>
        <w:tc>
          <w:tcPr>
            <w:tcW w:w="864" w:type="pct"/>
            <w:shd w:val="clear" w:color="auto" w:fill="auto"/>
            <w:noWrap/>
            <w:hideMark/>
          </w:tcPr>
          <w:p w14:paraId="15547A0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16. </w:t>
            </w:r>
            <w:r w:rsidRPr="00EC70E0">
              <w:rPr>
                <w:rFonts w:ascii="Calibri" w:eastAsia="Times New Roman" w:hAnsi="Calibri" w:cs="Times New Roman"/>
                <w:color w:val="000000"/>
                <w:sz w:val="20"/>
                <w:lang w:eastAsia="en-GB"/>
              </w:rPr>
              <w:t>Planned dates</w:t>
            </w:r>
          </w:p>
        </w:tc>
        <w:tc>
          <w:tcPr>
            <w:tcW w:w="2206" w:type="pct"/>
            <w:shd w:val="clear" w:color="auto" w:fill="auto"/>
            <w:noWrap/>
            <w:hideMark/>
          </w:tcPr>
          <w:p w14:paraId="64DABA9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activity-date[@type='end-planned'] exists?</w:t>
            </w:r>
          </w:p>
        </w:tc>
        <w:tc>
          <w:tcPr>
            <w:tcW w:w="1193" w:type="pct"/>
            <w:shd w:val="clear" w:color="auto" w:fill="auto"/>
            <w:noWrap/>
            <w:hideMark/>
          </w:tcPr>
          <w:p w14:paraId="3635B88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planned end date</w:t>
            </w:r>
          </w:p>
        </w:tc>
        <w:tc>
          <w:tcPr>
            <w:tcW w:w="737" w:type="pct"/>
          </w:tcPr>
          <w:p w14:paraId="45F411CB"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599D06AF" w14:textId="77777777" w:rsidTr="006D799E">
        <w:trPr>
          <w:cantSplit/>
          <w:trHeight w:val="300"/>
        </w:trPr>
        <w:tc>
          <w:tcPr>
            <w:tcW w:w="864" w:type="pct"/>
            <w:shd w:val="clear" w:color="auto" w:fill="auto"/>
            <w:noWrap/>
            <w:hideMark/>
          </w:tcPr>
          <w:p w14:paraId="3061EC0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16. </w:t>
            </w:r>
            <w:r w:rsidRPr="00EC70E0">
              <w:rPr>
                <w:rFonts w:ascii="Calibri" w:eastAsia="Times New Roman" w:hAnsi="Calibri" w:cs="Times New Roman"/>
                <w:color w:val="000000"/>
                <w:sz w:val="20"/>
                <w:lang w:eastAsia="en-GB"/>
              </w:rPr>
              <w:t>Planned dates</w:t>
            </w:r>
          </w:p>
        </w:tc>
        <w:tc>
          <w:tcPr>
            <w:tcW w:w="2206" w:type="pct"/>
            <w:shd w:val="clear" w:color="auto" w:fill="auto"/>
            <w:noWrap/>
            <w:hideMark/>
          </w:tcPr>
          <w:p w14:paraId="37A85B2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activity-date[@type='start-planned'] exists?</w:t>
            </w:r>
          </w:p>
        </w:tc>
        <w:tc>
          <w:tcPr>
            <w:tcW w:w="1193" w:type="pct"/>
            <w:shd w:val="clear" w:color="auto" w:fill="auto"/>
            <w:noWrap/>
            <w:hideMark/>
          </w:tcPr>
          <w:p w14:paraId="50BCB64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planned start date</w:t>
            </w:r>
          </w:p>
        </w:tc>
        <w:tc>
          <w:tcPr>
            <w:tcW w:w="737" w:type="pct"/>
          </w:tcPr>
          <w:p w14:paraId="72A907CC"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0FB4C1B2" w14:textId="77777777" w:rsidTr="006D799E">
        <w:trPr>
          <w:cantSplit/>
          <w:trHeight w:val="300"/>
        </w:trPr>
        <w:tc>
          <w:tcPr>
            <w:tcW w:w="864" w:type="pct"/>
            <w:shd w:val="clear" w:color="auto" w:fill="auto"/>
            <w:noWrap/>
            <w:hideMark/>
          </w:tcPr>
          <w:p w14:paraId="78163ED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17. </w:t>
            </w:r>
            <w:r w:rsidRPr="00EC70E0">
              <w:rPr>
                <w:rFonts w:ascii="Calibri" w:eastAsia="Times New Roman" w:hAnsi="Calibri" w:cs="Times New Roman"/>
                <w:color w:val="000000"/>
                <w:sz w:val="20"/>
                <w:lang w:eastAsia="en-GB"/>
              </w:rPr>
              <w:t>Actual dates</w:t>
            </w:r>
          </w:p>
        </w:tc>
        <w:tc>
          <w:tcPr>
            <w:tcW w:w="2206" w:type="pct"/>
            <w:shd w:val="clear" w:color="auto" w:fill="auto"/>
            <w:noWrap/>
            <w:hideMark/>
          </w:tcPr>
          <w:p w14:paraId="0876959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activity-date[@type='end-actual'] exists (if activity-status/@code is at least 3)?</w:t>
            </w:r>
          </w:p>
        </w:tc>
        <w:tc>
          <w:tcPr>
            <w:tcW w:w="1193" w:type="pct"/>
            <w:shd w:val="clear" w:color="auto" w:fill="auto"/>
            <w:noWrap/>
            <w:hideMark/>
          </w:tcPr>
          <w:p w14:paraId="48551AD1"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actual end date</w:t>
            </w:r>
          </w:p>
        </w:tc>
        <w:tc>
          <w:tcPr>
            <w:tcW w:w="737" w:type="pct"/>
          </w:tcPr>
          <w:p w14:paraId="03F2ABC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completion</w:t>
            </w:r>
          </w:p>
        </w:tc>
      </w:tr>
      <w:tr w:rsidR="009611A7" w:rsidRPr="00EC70E0" w14:paraId="3DB00D45" w14:textId="77777777" w:rsidTr="006D799E">
        <w:trPr>
          <w:cantSplit/>
          <w:trHeight w:val="300"/>
        </w:trPr>
        <w:tc>
          <w:tcPr>
            <w:tcW w:w="864" w:type="pct"/>
            <w:shd w:val="clear" w:color="auto" w:fill="auto"/>
            <w:noWrap/>
            <w:hideMark/>
          </w:tcPr>
          <w:p w14:paraId="2477795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17. </w:t>
            </w:r>
            <w:r w:rsidRPr="00EC70E0">
              <w:rPr>
                <w:rFonts w:ascii="Calibri" w:eastAsia="Times New Roman" w:hAnsi="Calibri" w:cs="Times New Roman"/>
                <w:color w:val="000000"/>
                <w:sz w:val="20"/>
                <w:lang w:eastAsia="en-GB"/>
              </w:rPr>
              <w:t>Actual dates</w:t>
            </w:r>
          </w:p>
        </w:tc>
        <w:tc>
          <w:tcPr>
            <w:tcW w:w="2206" w:type="pct"/>
            <w:shd w:val="clear" w:color="auto" w:fill="auto"/>
            <w:noWrap/>
            <w:hideMark/>
          </w:tcPr>
          <w:p w14:paraId="1676065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activity-date[@type='start-actual'] exists (if activity-status/@code is at least 2)?</w:t>
            </w:r>
          </w:p>
        </w:tc>
        <w:tc>
          <w:tcPr>
            <w:tcW w:w="1193" w:type="pct"/>
            <w:shd w:val="clear" w:color="auto" w:fill="auto"/>
            <w:noWrap/>
            <w:hideMark/>
          </w:tcPr>
          <w:p w14:paraId="48DE49B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actual start date</w:t>
            </w:r>
          </w:p>
        </w:tc>
        <w:tc>
          <w:tcPr>
            <w:tcW w:w="737" w:type="pct"/>
          </w:tcPr>
          <w:p w14:paraId="12BED2F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0988F2E2" w14:textId="77777777" w:rsidTr="006D799E">
        <w:trPr>
          <w:cantSplit/>
          <w:trHeight w:val="300"/>
        </w:trPr>
        <w:tc>
          <w:tcPr>
            <w:tcW w:w="864" w:type="pct"/>
            <w:shd w:val="clear" w:color="auto" w:fill="auto"/>
            <w:noWrap/>
            <w:hideMark/>
          </w:tcPr>
          <w:p w14:paraId="25F9EB1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18. </w:t>
            </w:r>
            <w:r w:rsidRPr="00EC70E0">
              <w:rPr>
                <w:rFonts w:ascii="Calibri" w:eastAsia="Times New Roman" w:hAnsi="Calibri" w:cs="Times New Roman"/>
                <w:color w:val="000000"/>
                <w:sz w:val="20"/>
                <w:lang w:eastAsia="en-GB"/>
              </w:rPr>
              <w:t>Current Status</w:t>
            </w:r>
          </w:p>
        </w:tc>
        <w:tc>
          <w:tcPr>
            <w:tcW w:w="2206" w:type="pct"/>
            <w:shd w:val="clear" w:color="auto" w:fill="auto"/>
            <w:noWrap/>
            <w:hideMark/>
          </w:tcPr>
          <w:p w14:paraId="7FBD38E1"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activity-status exists?</w:t>
            </w:r>
          </w:p>
        </w:tc>
        <w:tc>
          <w:tcPr>
            <w:tcW w:w="1193" w:type="pct"/>
            <w:shd w:val="clear" w:color="auto" w:fill="auto"/>
            <w:noWrap/>
            <w:hideMark/>
          </w:tcPr>
          <w:p w14:paraId="193C1A4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Activity status </w:t>
            </w:r>
          </w:p>
        </w:tc>
        <w:tc>
          <w:tcPr>
            <w:tcW w:w="737" w:type="pct"/>
          </w:tcPr>
          <w:p w14:paraId="31C91074"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77D0D2B7" w14:textId="77777777" w:rsidTr="006D799E">
        <w:trPr>
          <w:cantSplit/>
          <w:trHeight w:val="300"/>
        </w:trPr>
        <w:tc>
          <w:tcPr>
            <w:tcW w:w="864" w:type="pct"/>
            <w:shd w:val="clear" w:color="auto" w:fill="auto"/>
            <w:noWrap/>
            <w:hideMark/>
          </w:tcPr>
          <w:p w14:paraId="65DA792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18. </w:t>
            </w:r>
            <w:r w:rsidRPr="00EC70E0">
              <w:rPr>
                <w:rFonts w:ascii="Calibri" w:eastAsia="Times New Roman" w:hAnsi="Calibri" w:cs="Times New Roman"/>
                <w:color w:val="000000"/>
                <w:sz w:val="20"/>
                <w:lang w:eastAsia="en-GB"/>
              </w:rPr>
              <w:t>Current Status</w:t>
            </w:r>
          </w:p>
        </w:tc>
        <w:tc>
          <w:tcPr>
            <w:tcW w:w="2206" w:type="pct"/>
            <w:shd w:val="clear" w:color="auto" w:fill="auto"/>
            <w:noWrap/>
            <w:hideMark/>
          </w:tcPr>
          <w:p w14:paraId="0967B29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activity-status/@code is on list ActivityStatus?</w:t>
            </w:r>
          </w:p>
        </w:tc>
        <w:tc>
          <w:tcPr>
            <w:tcW w:w="1193" w:type="pct"/>
            <w:shd w:val="clear" w:color="auto" w:fill="auto"/>
            <w:noWrap/>
            <w:hideMark/>
          </w:tcPr>
          <w:p w14:paraId="6A3A9B9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status, only once</w:t>
            </w:r>
          </w:p>
        </w:tc>
        <w:tc>
          <w:tcPr>
            <w:tcW w:w="737" w:type="pct"/>
          </w:tcPr>
          <w:p w14:paraId="656F3F00"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20A79D23" w14:textId="77777777" w:rsidTr="006D799E">
        <w:trPr>
          <w:cantSplit/>
          <w:trHeight w:val="300"/>
        </w:trPr>
        <w:tc>
          <w:tcPr>
            <w:tcW w:w="864" w:type="pct"/>
            <w:shd w:val="clear" w:color="auto" w:fill="auto"/>
            <w:noWrap/>
            <w:hideMark/>
          </w:tcPr>
          <w:p w14:paraId="2130B00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19. </w:t>
            </w:r>
            <w:r w:rsidRPr="00EC70E0">
              <w:rPr>
                <w:rFonts w:ascii="Calibri" w:eastAsia="Times New Roman" w:hAnsi="Calibri" w:cs="Times New Roman"/>
                <w:color w:val="000000"/>
                <w:sz w:val="20"/>
                <w:lang w:eastAsia="en-GB"/>
              </w:rPr>
              <w:t>Contact details</w:t>
            </w:r>
          </w:p>
        </w:tc>
        <w:tc>
          <w:tcPr>
            <w:tcW w:w="2206" w:type="pct"/>
            <w:shd w:val="clear" w:color="auto" w:fill="auto"/>
            <w:noWrap/>
            <w:hideMark/>
          </w:tcPr>
          <w:p w14:paraId="63DD54E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contact-info exists?</w:t>
            </w:r>
          </w:p>
        </w:tc>
        <w:tc>
          <w:tcPr>
            <w:tcW w:w="1193" w:type="pct"/>
            <w:shd w:val="clear" w:color="auto" w:fill="auto"/>
            <w:noWrap/>
            <w:hideMark/>
          </w:tcPr>
          <w:p w14:paraId="3D0F1EC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Contact information for the activity </w:t>
            </w:r>
          </w:p>
        </w:tc>
        <w:tc>
          <w:tcPr>
            <w:tcW w:w="737" w:type="pct"/>
          </w:tcPr>
          <w:p w14:paraId="081B76C2"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5C742568" w14:textId="77777777" w:rsidTr="006D799E">
        <w:trPr>
          <w:cantSplit/>
          <w:trHeight w:val="300"/>
        </w:trPr>
        <w:tc>
          <w:tcPr>
            <w:tcW w:w="864" w:type="pct"/>
            <w:shd w:val="clear" w:color="auto" w:fill="auto"/>
            <w:noWrap/>
            <w:hideMark/>
          </w:tcPr>
          <w:p w14:paraId="5944051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20. </w:t>
            </w:r>
            <w:r w:rsidRPr="00EC70E0">
              <w:rPr>
                <w:rFonts w:ascii="Calibri" w:eastAsia="Times New Roman" w:hAnsi="Calibri" w:cs="Times New Roman"/>
                <w:color w:val="000000"/>
                <w:sz w:val="20"/>
                <w:lang w:eastAsia="en-GB"/>
              </w:rPr>
              <w:t>Collaboration Type</w:t>
            </w:r>
          </w:p>
        </w:tc>
        <w:tc>
          <w:tcPr>
            <w:tcW w:w="2206" w:type="pct"/>
            <w:shd w:val="clear" w:color="auto" w:fill="auto"/>
            <w:noWrap/>
            <w:hideMark/>
          </w:tcPr>
          <w:p w14:paraId="2183C76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collaboration-type exists (if activity-status/@code is at least 2)?</w:t>
            </w:r>
          </w:p>
        </w:tc>
        <w:tc>
          <w:tcPr>
            <w:tcW w:w="1193" w:type="pct"/>
            <w:shd w:val="clear" w:color="auto" w:fill="auto"/>
            <w:noWrap/>
            <w:hideMark/>
          </w:tcPr>
          <w:p w14:paraId="57858CE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Collaboration type </w:t>
            </w:r>
          </w:p>
        </w:tc>
        <w:tc>
          <w:tcPr>
            <w:tcW w:w="737" w:type="pct"/>
          </w:tcPr>
          <w:p w14:paraId="397BC65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25EBEC40" w14:textId="77777777" w:rsidTr="006D799E">
        <w:trPr>
          <w:cantSplit/>
          <w:trHeight w:val="300"/>
        </w:trPr>
        <w:tc>
          <w:tcPr>
            <w:tcW w:w="864" w:type="pct"/>
            <w:shd w:val="clear" w:color="auto" w:fill="auto"/>
            <w:noWrap/>
            <w:hideMark/>
          </w:tcPr>
          <w:p w14:paraId="6ECBFD04"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20. </w:t>
            </w:r>
            <w:r w:rsidRPr="00EC70E0">
              <w:rPr>
                <w:rFonts w:ascii="Calibri" w:eastAsia="Times New Roman" w:hAnsi="Calibri" w:cs="Times New Roman"/>
                <w:color w:val="000000"/>
                <w:sz w:val="20"/>
                <w:lang w:eastAsia="en-GB"/>
              </w:rPr>
              <w:t>Collaboration Type</w:t>
            </w:r>
          </w:p>
        </w:tc>
        <w:tc>
          <w:tcPr>
            <w:tcW w:w="2206" w:type="pct"/>
            <w:shd w:val="clear" w:color="auto" w:fill="auto"/>
            <w:noWrap/>
            <w:hideMark/>
          </w:tcPr>
          <w:p w14:paraId="22B6746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collaboration-type/@code is on list CollaborationType (if activity-status/@code is at least 2)?</w:t>
            </w:r>
          </w:p>
        </w:tc>
        <w:tc>
          <w:tcPr>
            <w:tcW w:w="1193" w:type="pct"/>
            <w:shd w:val="clear" w:color="auto" w:fill="auto"/>
            <w:noWrap/>
            <w:hideMark/>
          </w:tcPr>
          <w:p w14:paraId="4C9D115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Collaboration type uses standard codelist</w:t>
            </w:r>
          </w:p>
        </w:tc>
        <w:tc>
          <w:tcPr>
            <w:tcW w:w="737" w:type="pct"/>
          </w:tcPr>
          <w:p w14:paraId="40AF736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3B95CF6B" w14:textId="77777777" w:rsidTr="006D799E">
        <w:trPr>
          <w:cantSplit/>
          <w:trHeight w:val="300"/>
        </w:trPr>
        <w:tc>
          <w:tcPr>
            <w:tcW w:w="864" w:type="pct"/>
            <w:shd w:val="clear" w:color="auto" w:fill="auto"/>
            <w:noWrap/>
            <w:hideMark/>
          </w:tcPr>
          <w:p w14:paraId="66D309F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21. </w:t>
            </w:r>
            <w:r w:rsidRPr="00EC70E0">
              <w:rPr>
                <w:rFonts w:ascii="Calibri" w:eastAsia="Times New Roman" w:hAnsi="Calibri" w:cs="Times New Roman"/>
                <w:color w:val="000000"/>
                <w:sz w:val="20"/>
                <w:lang w:eastAsia="en-GB"/>
              </w:rPr>
              <w:t>Flow Type</w:t>
            </w:r>
          </w:p>
        </w:tc>
        <w:tc>
          <w:tcPr>
            <w:tcW w:w="2206" w:type="pct"/>
            <w:shd w:val="clear" w:color="auto" w:fill="auto"/>
            <w:noWrap/>
            <w:hideMark/>
          </w:tcPr>
          <w:p w14:paraId="493179AE" w14:textId="77777777" w:rsidR="009611A7" w:rsidRPr="00EC70E0" w:rsidRDefault="00D46BFC" w:rsidP="009611A7">
            <w:pPr>
              <w:spacing w:after="0" w:line="240" w:lineRule="auto"/>
              <w:rPr>
                <w:rFonts w:ascii="Calibri" w:eastAsia="Times New Roman" w:hAnsi="Calibri" w:cs="Times New Roman"/>
                <w:color w:val="000000"/>
                <w:sz w:val="20"/>
                <w:lang w:eastAsia="en-GB"/>
              </w:rPr>
            </w:pPr>
            <w:r w:rsidRPr="00D46BFC">
              <w:rPr>
                <w:rFonts w:ascii="Calibri" w:eastAsia="Times New Roman" w:hAnsi="Calibri" w:cs="Times New Roman"/>
                <w:color w:val="000000"/>
                <w:sz w:val="20"/>
                <w:lang w:eastAsia="en-GB"/>
              </w:rPr>
              <w:t>default-flow-type or transaction/flow-type exists (if activity-status/@code is at least 2)?</w:t>
            </w:r>
          </w:p>
        </w:tc>
        <w:tc>
          <w:tcPr>
            <w:tcW w:w="1193" w:type="pct"/>
            <w:shd w:val="clear" w:color="auto" w:fill="auto"/>
            <w:noWrap/>
            <w:hideMark/>
          </w:tcPr>
          <w:p w14:paraId="0A15F03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Flow type</w:t>
            </w:r>
          </w:p>
        </w:tc>
        <w:tc>
          <w:tcPr>
            <w:tcW w:w="737" w:type="pct"/>
          </w:tcPr>
          <w:p w14:paraId="06AD25F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749065F0" w14:textId="77777777" w:rsidTr="006D799E">
        <w:trPr>
          <w:cantSplit/>
          <w:trHeight w:val="300"/>
        </w:trPr>
        <w:tc>
          <w:tcPr>
            <w:tcW w:w="864" w:type="pct"/>
            <w:shd w:val="clear" w:color="auto" w:fill="auto"/>
            <w:noWrap/>
            <w:hideMark/>
          </w:tcPr>
          <w:p w14:paraId="7D43042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21. </w:t>
            </w:r>
            <w:r w:rsidRPr="00EC70E0">
              <w:rPr>
                <w:rFonts w:ascii="Calibri" w:eastAsia="Times New Roman" w:hAnsi="Calibri" w:cs="Times New Roman"/>
                <w:color w:val="000000"/>
                <w:sz w:val="20"/>
                <w:lang w:eastAsia="en-GB"/>
              </w:rPr>
              <w:t>Flow Type</w:t>
            </w:r>
          </w:p>
        </w:tc>
        <w:tc>
          <w:tcPr>
            <w:tcW w:w="2206" w:type="pct"/>
            <w:shd w:val="clear" w:color="auto" w:fill="auto"/>
            <w:noWrap/>
            <w:hideMark/>
          </w:tcPr>
          <w:p w14:paraId="0F04170E"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default-flow-type/@code or transaction/flow-type/@code is on list FlowType (if activity-status/@code is at least 2)?</w:t>
            </w:r>
          </w:p>
        </w:tc>
        <w:tc>
          <w:tcPr>
            <w:tcW w:w="1193" w:type="pct"/>
            <w:shd w:val="clear" w:color="auto" w:fill="auto"/>
            <w:noWrap/>
            <w:hideMark/>
          </w:tcPr>
          <w:p w14:paraId="2AF52C5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Flow type uses standard codelist</w:t>
            </w:r>
          </w:p>
        </w:tc>
        <w:tc>
          <w:tcPr>
            <w:tcW w:w="737" w:type="pct"/>
          </w:tcPr>
          <w:p w14:paraId="1AB388B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232D174D" w14:textId="77777777" w:rsidTr="006D799E">
        <w:trPr>
          <w:cantSplit/>
          <w:trHeight w:val="300"/>
        </w:trPr>
        <w:tc>
          <w:tcPr>
            <w:tcW w:w="864" w:type="pct"/>
            <w:shd w:val="clear" w:color="auto" w:fill="auto"/>
            <w:noWrap/>
            <w:hideMark/>
          </w:tcPr>
          <w:p w14:paraId="62A38E6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22. </w:t>
            </w:r>
            <w:r w:rsidRPr="00EC70E0">
              <w:rPr>
                <w:rFonts w:ascii="Calibri" w:eastAsia="Times New Roman" w:hAnsi="Calibri" w:cs="Times New Roman"/>
                <w:color w:val="000000"/>
                <w:sz w:val="20"/>
                <w:lang w:eastAsia="en-GB"/>
              </w:rPr>
              <w:t>Aid Type</w:t>
            </w:r>
          </w:p>
        </w:tc>
        <w:tc>
          <w:tcPr>
            <w:tcW w:w="2206" w:type="pct"/>
            <w:shd w:val="clear" w:color="auto" w:fill="auto"/>
            <w:noWrap/>
            <w:hideMark/>
          </w:tcPr>
          <w:p w14:paraId="379A62E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default-aid-type or transaction/aid-type exists (if activity-status/@code is at least 2)?</w:t>
            </w:r>
          </w:p>
        </w:tc>
        <w:tc>
          <w:tcPr>
            <w:tcW w:w="1193" w:type="pct"/>
            <w:shd w:val="clear" w:color="auto" w:fill="auto"/>
            <w:noWrap/>
            <w:hideMark/>
          </w:tcPr>
          <w:p w14:paraId="38D00F5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Default aid type </w:t>
            </w:r>
          </w:p>
        </w:tc>
        <w:tc>
          <w:tcPr>
            <w:tcW w:w="737" w:type="pct"/>
          </w:tcPr>
          <w:p w14:paraId="20E8EF3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3460C48A" w14:textId="77777777" w:rsidTr="006D799E">
        <w:trPr>
          <w:cantSplit/>
          <w:trHeight w:val="300"/>
        </w:trPr>
        <w:tc>
          <w:tcPr>
            <w:tcW w:w="864" w:type="pct"/>
            <w:shd w:val="clear" w:color="auto" w:fill="auto"/>
            <w:noWrap/>
            <w:hideMark/>
          </w:tcPr>
          <w:p w14:paraId="13E3990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22. </w:t>
            </w:r>
            <w:r w:rsidRPr="00EC70E0">
              <w:rPr>
                <w:rFonts w:ascii="Calibri" w:eastAsia="Times New Roman" w:hAnsi="Calibri" w:cs="Times New Roman"/>
                <w:color w:val="000000"/>
                <w:sz w:val="20"/>
                <w:lang w:eastAsia="en-GB"/>
              </w:rPr>
              <w:t>Aid Type</w:t>
            </w:r>
          </w:p>
        </w:tc>
        <w:tc>
          <w:tcPr>
            <w:tcW w:w="2206" w:type="pct"/>
            <w:shd w:val="clear" w:color="auto" w:fill="auto"/>
            <w:noWrap/>
            <w:hideMark/>
          </w:tcPr>
          <w:p w14:paraId="1D73446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default-aid-type/@code or transaction/aid-type/@code is on list AidType (if activity-status/@code is at least 2)?</w:t>
            </w:r>
          </w:p>
        </w:tc>
        <w:tc>
          <w:tcPr>
            <w:tcW w:w="1193" w:type="pct"/>
            <w:shd w:val="clear" w:color="auto" w:fill="auto"/>
            <w:noWrap/>
            <w:hideMark/>
          </w:tcPr>
          <w:p w14:paraId="6A14754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Aid type uses standard codelist</w:t>
            </w:r>
          </w:p>
        </w:tc>
        <w:tc>
          <w:tcPr>
            <w:tcW w:w="737" w:type="pct"/>
          </w:tcPr>
          <w:p w14:paraId="2DE48F7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1219DA86" w14:textId="77777777" w:rsidTr="006D799E">
        <w:trPr>
          <w:cantSplit/>
          <w:trHeight w:val="300"/>
        </w:trPr>
        <w:tc>
          <w:tcPr>
            <w:tcW w:w="864" w:type="pct"/>
            <w:shd w:val="clear" w:color="auto" w:fill="auto"/>
            <w:noWrap/>
            <w:hideMark/>
          </w:tcPr>
          <w:p w14:paraId="7F60A2B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23. </w:t>
            </w:r>
            <w:r w:rsidRPr="00EC70E0">
              <w:rPr>
                <w:rFonts w:ascii="Calibri" w:eastAsia="Times New Roman" w:hAnsi="Calibri" w:cs="Times New Roman"/>
                <w:color w:val="000000"/>
                <w:sz w:val="20"/>
                <w:lang w:eastAsia="en-GB"/>
              </w:rPr>
              <w:t>Finance Type</w:t>
            </w:r>
          </w:p>
        </w:tc>
        <w:tc>
          <w:tcPr>
            <w:tcW w:w="2206" w:type="pct"/>
            <w:shd w:val="clear" w:color="auto" w:fill="auto"/>
            <w:noWrap/>
            <w:hideMark/>
          </w:tcPr>
          <w:p w14:paraId="394F5CB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default-finance-type or transaction/finance-type exists (if activity-status/@code is at least 2)?</w:t>
            </w:r>
          </w:p>
        </w:tc>
        <w:tc>
          <w:tcPr>
            <w:tcW w:w="1193" w:type="pct"/>
            <w:shd w:val="clear" w:color="auto" w:fill="auto"/>
            <w:noWrap/>
            <w:hideMark/>
          </w:tcPr>
          <w:p w14:paraId="34A4934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Default finance type </w:t>
            </w:r>
          </w:p>
        </w:tc>
        <w:tc>
          <w:tcPr>
            <w:tcW w:w="737" w:type="pct"/>
          </w:tcPr>
          <w:p w14:paraId="28B3BB01"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065D5991" w14:textId="77777777" w:rsidTr="006D799E">
        <w:trPr>
          <w:cantSplit/>
          <w:trHeight w:val="300"/>
        </w:trPr>
        <w:tc>
          <w:tcPr>
            <w:tcW w:w="864" w:type="pct"/>
            <w:shd w:val="clear" w:color="auto" w:fill="auto"/>
            <w:noWrap/>
            <w:hideMark/>
          </w:tcPr>
          <w:p w14:paraId="04E1134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23. </w:t>
            </w:r>
            <w:r w:rsidRPr="00EC70E0">
              <w:rPr>
                <w:rFonts w:ascii="Calibri" w:eastAsia="Times New Roman" w:hAnsi="Calibri" w:cs="Times New Roman"/>
                <w:color w:val="000000"/>
                <w:sz w:val="20"/>
                <w:lang w:eastAsia="en-GB"/>
              </w:rPr>
              <w:t>Finance Type</w:t>
            </w:r>
          </w:p>
        </w:tc>
        <w:tc>
          <w:tcPr>
            <w:tcW w:w="2206" w:type="pct"/>
            <w:shd w:val="clear" w:color="auto" w:fill="auto"/>
            <w:noWrap/>
            <w:hideMark/>
          </w:tcPr>
          <w:p w14:paraId="49AC96E1" w14:textId="77777777" w:rsidR="009611A7" w:rsidRPr="00163019"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default-finance-type/@code or transaction/finance-type/@code is on list FinanceType (if activity-status/@code is at least 2)?</w:t>
            </w:r>
          </w:p>
          <w:p w14:paraId="7D250FA6"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c>
          <w:tcPr>
            <w:tcW w:w="1193" w:type="pct"/>
            <w:shd w:val="clear" w:color="auto" w:fill="auto"/>
            <w:noWrap/>
            <w:hideMark/>
          </w:tcPr>
          <w:p w14:paraId="11D6525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Finance type uses standard codelist</w:t>
            </w:r>
          </w:p>
        </w:tc>
        <w:tc>
          <w:tcPr>
            <w:tcW w:w="737" w:type="pct"/>
          </w:tcPr>
          <w:p w14:paraId="6620760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51641674" w14:textId="77777777" w:rsidTr="006D799E">
        <w:trPr>
          <w:cantSplit/>
          <w:trHeight w:val="300"/>
        </w:trPr>
        <w:tc>
          <w:tcPr>
            <w:tcW w:w="864" w:type="pct"/>
            <w:shd w:val="clear" w:color="auto" w:fill="auto"/>
            <w:noWrap/>
            <w:hideMark/>
          </w:tcPr>
          <w:p w14:paraId="4641D3C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24. </w:t>
            </w:r>
            <w:r w:rsidRPr="00EC70E0">
              <w:rPr>
                <w:rFonts w:ascii="Calibri" w:eastAsia="Times New Roman" w:hAnsi="Calibri" w:cs="Times New Roman"/>
                <w:color w:val="000000"/>
                <w:sz w:val="20"/>
                <w:lang w:eastAsia="en-GB"/>
              </w:rPr>
              <w:t>Sector</w:t>
            </w:r>
          </w:p>
        </w:tc>
        <w:tc>
          <w:tcPr>
            <w:tcW w:w="2206" w:type="pct"/>
            <w:shd w:val="clear" w:color="auto" w:fill="auto"/>
            <w:noWrap/>
            <w:hideMark/>
          </w:tcPr>
          <w:p w14:paraId="6666A421" w14:textId="77777777" w:rsidR="009611A7" w:rsidRPr="002A52E5" w:rsidRDefault="00D46BFC"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sector or transaction/sector exists?</w:t>
            </w:r>
          </w:p>
        </w:tc>
        <w:tc>
          <w:tcPr>
            <w:tcW w:w="1193" w:type="pct"/>
            <w:shd w:val="clear" w:color="auto" w:fill="auto"/>
            <w:noWrap/>
            <w:hideMark/>
          </w:tcPr>
          <w:p w14:paraId="0AB3653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Sector </w:t>
            </w:r>
          </w:p>
        </w:tc>
        <w:tc>
          <w:tcPr>
            <w:tcW w:w="737" w:type="pct"/>
          </w:tcPr>
          <w:p w14:paraId="1F3F1061"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0FA21843" w14:textId="77777777" w:rsidTr="006D799E">
        <w:trPr>
          <w:cantSplit/>
          <w:trHeight w:val="300"/>
        </w:trPr>
        <w:tc>
          <w:tcPr>
            <w:tcW w:w="864" w:type="pct"/>
            <w:shd w:val="clear" w:color="auto" w:fill="auto"/>
            <w:noWrap/>
            <w:hideMark/>
          </w:tcPr>
          <w:p w14:paraId="07BE495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24. </w:t>
            </w:r>
            <w:r w:rsidRPr="00EC70E0">
              <w:rPr>
                <w:rFonts w:ascii="Calibri" w:eastAsia="Times New Roman" w:hAnsi="Calibri" w:cs="Times New Roman"/>
                <w:color w:val="000000"/>
                <w:sz w:val="20"/>
                <w:lang w:eastAsia="en-GB"/>
              </w:rPr>
              <w:t>Sector</w:t>
            </w:r>
          </w:p>
        </w:tc>
        <w:tc>
          <w:tcPr>
            <w:tcW w:w="2206" w:type="pct"/>
            <w:shd w:val="clear" w:color="auto" w:fill="auto"/>
            <w:noWrap/>
            <w:hideMark/>
          </w:tcPr>
          <w:p w14:paraId="2A106958" w14:textId="77777777" w:rsidR="009611A7" w:rsidRPr="002A52E5" w:rsidRDefault="00D46BFC"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at least one (sector[@vocabulary="DAC"]/@code or sector[not(@vocabulary)]/@code or sector[@vocabulary="1"]/@code or transaction/sector[@vocabulary="1"]/@code) is on list Sector?</w:t>
            </w:r>
          </w:p>
        </w:tc>
        <w:tc>
          <w:tcPr>
            <w:tcW w:w="1193" w:type="pct"/>
            <w:shd w:val="clear" w:color="auto" w:fill="auto"/>
            <w:noWrap/>
            <w:hideMark/>
          </w:tcPr>
          <w:p w14:paraId="52A62D8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Sector uses standard codelist</w:t>
            </w:r>
          </w:p>
        </w:tc>
        <w:tc>
          <w:tcPr>
            <w:tcW w:w="737" w:type="pct"/>
          </w:tcPr>
          <w:p w14:paraId="4C2DAF12" w14:textId="77777777"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14:paraId="7C7969B1" w14:textId="77777777" w:rsidTr="006D799E">
        <w:trPr>
          <w:cantSplit/>
          <w:trHeight w:val="300"/>
        </w:trPr>
        <w:tc>
          <w:tcPr>
            <w:tcW w:w="864" w:type="pct"/>
            <w:shd w:val="clear" w:color="auto" w:fill="auto"/>
            <w:noWrap/>
            <w:hideMark/>
          </w:tcPr>
          <w:p w14:paraId="58898A3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25. </w:t>
            </w:r>
            <w:r w:rsidRPr="00EC70E0">
              <w:rPr>
                <w:rFonts w:ascii="Calibri" w:eastAsia="Times New Roman" w:hAnsi="Calibri" w:cs="Times New Roman"/>
                <w:color w:val="000000"/>
                <w:sz w:val="20"/>
                <w:lang w:eastAsia="en-GB"/>
              </w:rPr>
              <w:t>Sub-national location</w:t>
            </w:r>
          </w:p>
        </w:tc>
        <w:tc>
          <w:tcPr>
            <w:tcW w:w="2206" w:type="pct"/>
            <w:shd w:val="clear" w:color="auto" w:fill="auto"/>
            <w:noWrap/>
            <w:hideMark/>
          </w:tcPr>
          <w:p w14:paraId="2F87816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 exists (if activity-status/@code is at least 2 and recipient-region/@code is not 998)?</w:t>
            </w:r>
          </w:p>
        </w:tc>
        <w:tc>
          <w:tcPr>
            <w:tcW w:w="1193" w:type="pct"/>
            <w:shd w:val="clear" w:color="auto" w:fill="auto"/>
            <w:noWrap/>
            <w:hideMark/>
          </w:tcPr>
          <w:p w14:paraId="7C7CDD3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 (sub-national)</w:t>
            </w:r>
          </w:p>
        </w:tc>
        <w:tc>
          <w:tcPr>
            <w:tcW w:w="737" w:type="pct"/>
          </w:tcPr>
          <w:p w14:paraId="5D4007D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recipient region is not ‘bilateral unspecified’</w:t>
            </w:r>
          </w:p>
        </w:tc>
      </w:tr>
      <w:tr w:rsidR="009611A7" w:rsidRPr="00EC70E0" w14:paraId="1D0DD572" w14:textId="77777777" w:rsidTr="006D799E">
        <w:trPr>
          <w:cantSplit/>
          <w:trHeight w:val="300"/>
        </w:trPr>
        <w:tc>
          <w:tcPr>
            <w:tcW w:w="864" w:type="pct"/>
            <w:shd w:val="clear" w:color="auto" w:fill="auto"/>
            <w:noWrap/>
            <w:hideMark/>
          </w:tcPr>
          <w:p w14:paraId="58D89A0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25. </w:t>
            </w:r>
            <w:r w:rsidRPr="00EC70E0">
              <w:rPr>
                <w:rFonts w:ascii="Calibri" w:eastAsia="Times New Roman" w:hAnsi="Calibri" w:cs="Times New Roman"/>
                <w:color w:val="000000"/>
                <w:sz w:val="20"/>
                <w:lang w:eastAsia="en-GB"/>
              </w:rPr>
              <w:t>Sub-national location</w:t>
            </w:r>
          </w:p>
        </w:tc>
        <w:tc>
          <w:tcPr>
            <w:tcW w:w="2206" w:type="pct"/>
            <w:shd w:val="clear" w:color="auto" w:fill="auto"/>
            <w:noWrap/>
            <w:hideMark/>
          </w:tcPr>
          <w:p w14:paraId="089A83D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location/coordinates exists (if activity-status/@code is at least 2 and recipient-region/@code is not 998)?</w:t>
            </w:r>
          </w:p>
        </w:tc>
        <w:tc>
          <w:tcPr>
            <w:tcW w:w="1193" w:type="pct"/>
            <w:shd w:val="clear" w:color="auto" w:fill="auto"/>
            <w:noWrap/>
            <w:hideMark/>
          </w:tcPr>
          <w:p w14:paraId="2ABFD161"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 (sub-national) coordinates</w:t>
            </w:r>
          </w:p>
        </w:tc>
        <w:tc>
          <w:tcPr>
            <w:tcW w:w="737" w:type="pct"/>
          </w:tcPr>
          <w:p w14:paraId="1BD031A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recipient region is not ‘bilateral unspecified’</w:t>
            </w:r>
          </w:p>
        </w:tc>
      </w:tr>
      <w:tr w:rsidR="009611A7" w:rsidRPr="00EC70E0" w14:paraId="7BB65B7C" w14:textId="77777777" w:rsidTr="006D799E">
        <w:trPr>
          <w:cantSplit/>
          <w:trHeight w:val="300"/>
        </w:trPr>
        <w:tc>
          <w:tcPr>
            <w:tcW w:w="864" w:type="pct"/>
            <w:shd w:val="clear" w:color="auto" w:fill="auto"/>
            <w:noWrap/>
            <w:hideMark/>
          </w:tcPr>
          <w:p w14:paraId="36C240F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26. </w:t>
            </w:r>
            <w:r w:rsidRPr="00EC70E0">
              <w:rPr>
                <w:rFonts w:ascii="Calibri" w:eastAsia="Times New Roman" w:hAnsi="Calibri" w:cs="Times New Roman"/>
                <w:color w:val="000000"/>
                <w:sz w:val="20"/>
                <w:lang w:eastAsia="en-GB"/>
              </w:rPr>
              <w:t>Tied Aid Status</w:t>
            </w:r>
          </w:p>
        </w:tc>
        <w:tc>
          <w:tcPr>
            <w:tcW w:w="2206" w:type="pct"/>
            <w:shd w:val="clear" w:color="auto" w:fill="auto"/>
            <w:noWrap/>
            <w:hideMark/>
          </w:tcPr>
          <w:p w14:paraId="554339A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default-tied-status or transaction/tied-status exists (if activity-status/@code is at least 2)?</w:t>
            </w:r>
          </w:p>
        </w:tc>
        <w:tc>
          <w:tcPr>
            <w:tcW w:w="1193" w:type="pct"/>
            <w:shd w:val="clear" w:color="auto" w:fill="auto"/>
            <w:noWrap/>
            <w:hideMark/>
          </w:tcPr>
          <w:p w14:paraId="0F082B3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Tied aid status</w:t>
            </w:r>
          </w:p>
        </w:tc>
        <w:tc>
          <w:tcPr>
            <w:tcW w:w="737" w:type="pct"/>
          </w:tcPr>
          <w:p w14:paraId="476EAB81"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5AA2CBD6" w14:textId="77777777" w:rsidTr="006D799E">
        <w:trPr>
          <w:cantSplit/>
          <w:trHeight w:val="300"/>
        </w:trPr>
        <w:tc>
          <w:tcPr>
            <w:tcW w:w="864" w:type="pct"/>
            <w:shd w:val="clear" w:color="auto" w:fill="auto"/>
            <w:noWrap/>
            <w:hideMark/>
          </w:tcPr>
          <w:p w14:paraId="1DE0AC4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26. </w:t>
            </w:r>
            <w:r w:rsidRPr="00EC70E0">
              <w:rPr>
                <w:rFonts w:ascii="Calibri" w:eastAsia="Times New Roman" w:hAnsi="Calibri" w:cs="Times New Roman"/>
                <w:color w:val="000000"/>
                <w:sz w:val="20"/>
                <w:lang w:eastAsia="en-GB"/>
              </w:rPr>
              <w:t>Tied Aid Status</w:t>
            </w:r>
          </w:p>
        </w:tc>
        <w:tc>
          <w:tcPr>
            <w:tcW w:w="2206" w:type="pct"/>
            <w:shd w:val="clear" w:color="auto" w:fill="auto"/>
            <w:noWrap/>
            <w:hideMark/>
          </w:tcPr>
          <w:p w14:paraId="4F3D8F3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default-tied-status/@code or transaction/tied-status/@code is on list TiedStatus (if activity-status/@code is at least 2)?</w:t>
            </w:r>
          </w:p>
        </w:tc>
        <w:tc>
          <w:tcPr>
            <w:tcW w:w="1193" w:type="pct"/>
            <w:shd w:val="clear" w:color="auto" w:fill="auto"/>
            <w:noWrap/>
            <w:hideMark/>
          </w:tcPr>
          <w:p w14:paraId="07ACC52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Tied aid status uses standard codelist</w:t>
            </w:r>
          </w:p>
        </w:tc>
        <w:tc>
          <w:tcPr>
            <w:tcW w:w="737" w:type="pct"/>
          </w:tcPr>
          <w:p w14:paraId="0A14CA5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52AFAA43" w14:textId="77777777" w:rsidTr="006D799E">
        <w:trPr>
          <w:cantSplit/>
          <w:trHeight w:val="300"/>
        </w:trPr>
        <w:tc>
          <w:tcPr>
            <w:tcW w:w="864" w:type="pct"/>
            <w:shd w:val="clear" w:color="auto" w:fill="auto"/>
            <w:noWrap/>
            <w:hideMark/>
          </w:tcPr>
          <w:p w14:paraId="3272A9F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27. </w:t>
            </w:r>
            <w:r w:rsidRPr="00EC70E0">
              <w:rPr>
                <w:rFonts w:ascii="Calibri" w:eastAsia="Times New Roman" w:hAnsi="Calibri" w:cs="Times New Roman"/>
                <w:color w:val="000000"/>
                <w:sz w:val="20"/>
                <w:lang w:eastAsia="en-GB"/>
              </w:rPr>
              <w:t>MoU</w:t>
            </w:r>
          </w:p>
        </w:tc>
        <w:tc>
          <w:tcPr>
            <w:tcW w:w="2206" w:type="pct"/>
            <w:shd w:val="clear" w:color="auto" w:fill="auto"/>
            <w:noWrap/>
            <w:hideMark/>
          </w:tcPr>
          <w:p w14:paraId="73EFE8D5" w14:textId="77777777" w:rsidR="009611A7" w:rsidRPr="00EC70E0" w:rsidRDefault="009611A7" w:rsidP="007E3DDA">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document-link/category[@code='A09'] exists (if activity-status/@code is at least 2</w:t>
            </w:r>
            <w:r>
              <w:rPr>
                <w:rFonts w:ascii="Calibri" w:eastAsia="Times New Roman" w:hAnsi="Calibri" w:cs="Times New Roman"/>
                <w:color w:val="000000"/>
                <w:sz w:val="20"/>
                <w:lang w:eastAsia="en-GB"/>
              </w:rPr>
              <w:t>)</w:t>
            </w:r>
            <w:r w:rsidRPr="00163019">
              <w:rPr>
                <w:rFonts w:ascii="Calibri" w:eastAsia="Times New Roman" w:hAnsi="Calibri" w:cs="Times New Roman"/>
                <w:color w:val="000000"/>
                <w:sz w:val="20"/>
                <w:lang w:eastAsia="en-GB"/>
              </w:rPr>
              <w:t>?</w:t>
            </w:r>
          </w:p>
        </w:tc>
        <w:tc>
          <w:tcPr>
            <w:tcW w:w="1193" w:type="pct"/>
            <w:shd w:val="clear" w:color="auto" w:fill="auto"/>
            <w:noWrap/>
            <w:hideMark/>
          </w:tcPr>
          <w:p w14:paraId="55C42DB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Memorandum of understanding document</w:t>
            </w:r>
          </w:p>
        </w:tc>
        <w:tc>
          <w:tcPr>
            <w:tcW w:w="737" w:type="pct"/>
          </w:tcPr>
          <w:p w14:paraId="621B76F6" w14:textId="77777777" w:rsidR="009611A7" w:rsidRPr="00EC70E0" w:rsidRDefault="009611A7" w:rsidP="007E3DDA">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At least implementation </w:t>
            </w:r>
          </w:p>
        </w:tc>
      </w:tr>
      <w:tr w:rsidR="009611A7" w:rsidRPr="00EC70E0" w14:paraId="32C173C8" w14:textId="77777777" w:rsidTr="006D799E">
        <w:trPr>
          <w:cantSplit/>
          <w:trHeight w:val="300"/>
        </w:trPr>
        <w:tc>
          <w:tcPr>
            <w:tcW w:w="864" w:type="pct"/>
            <w:shd w:val="clear" w:color="auto" w:fill="auto"/>
            <w:noWrap/>
            <w:hideMark/>
          </w:tcPr>
          <w:p w14:paraId="38239F9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28. </w:t>
            </w:r>
            <w:r w:rsidRPr="00EC70E0">
              <w:rPr>
                <w:rFonts w:ascii="Calibri" w:eastAsia="Times New Roman" w:hAnsi="Calibri" w:cs="Times New Roman"/>
                <w:color w:val="000000"/>
                <w:sz w:val="20"/>
                <w:lang w:eastAsia="en-GB"/>
              </w:rPr>
              <w:t>Evaluations</w:t>
            </w:r>
          </w:p>
        </w:tc>
        <w:tc>
          <w:tcPr>
            <w:tcW w:w="2206" w:type="pct"/>
            <w:shd w:val="clear" w:color="auto" w:fill="auto"/>
            <w:noWrap/>
            <w:hideMark/>
          </w:tcPr>
          <w:p w14:paraId="49AE0FC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document-link/category[@code='A07'] exists (if activity-status/@code is at least 3)?</w:t>
            </w:r>
          </w:p>
        </w:tc>
        <w:tc>
          <w:tcPr>
            <w:tcW w:w="1193" w:type="pct"/>
            <w:shd w:val="clear" w:color="auto" w:fill="auto"/>
            <w:noWrap/>
            <w:hideMark/>
          </w:tcPr>
          <w:p w14:paraId="359F969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Review of project performance and evaluation document</w:t>
            </w:r>
          </w:p>
        </w:tc>
        <w:tc>
          <w:tcPr>
            <w:tcW w:w="737" w:type="pct"/>
          </w:tcPr>
          <w:p w14:paraId="4661D8A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completion</w:t>
            </w:r>
          </w:p>
        </w:tc>
      </w:tr>
      <w:tr w:rsidR="009611A7" w:rsidRPr="00EC70E0" w14:paraId="731D7F4C" w14:textId="77777777" w:rsidTr="006D799E">
        <w:trPr>
          <w:cantSplit/>
          <w:trHeight w:val="300"/>
        </w:trPr>
        <w:tc>
          <w:tcPr>
            <w:tcW w:w="864" w:type="pct"/>
            <w:shd w:val="clear" w:color="auto" w:fill="auto"/>
            <w:noWrap/>
            <w:hideMark/>
          </w:tcPr>
          <w:p w14:paraId="428395D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29. </w:t>
            </w:r>
            <w:r w:rsidRPr="00EC70E0">
              <w:rPr>
                <w:rFonts w:ascii="Calibri" w:eastAsia="Times New Roman" w:hAnsi="Calibri" w:cs="Times New Roman"/>
                <w:color w:val="000000"/>
                <w:sz w:val="20"/>
                <w:lang w:eastAsia="en-GB"/>
              </w:rPr>
              <w:t>Objectives</w:t>
            </w:r>
          </w:p>
        </w:tc>
        <w:tc>
          <w:tcPr>
            <w:tcW w:w="2206" w:type="pct"/>
            <w:shd w:val="clear" w:color="auto" w:fill="auto"/>
            <w:noWrap/>
            <w:hideMark/>
          </w:tcPr>
          <w:p w14:paraId="4D17952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document-link/category[@code='A02'] or description[@type='2'] exists (if activity-status/@code is at least 2)?</w:t>
            </w:r>
          </w:p>
        </w:tc>
        <w:tc>
          <w:tcPr>
            <w:tcW w:w="1193" w:type="pct"/>
            <w:shd w:val="clear" w:color="auto" w:fill="auto"/>
            <w:noWrap/>
            <w:hideMark/>
          </w:tcPr>
          <w:p w14:paraId="1CC18FF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Objectives / Purpose of activity document</w:t>
            </w:r>
          </w:p>
        </w:tc>
        <w:tc>
          <w:tcPr>
            <w:tcW w:w="737" w:type="pct"/>
          </w:tcPr>
          <w:p w14:paraId="48BC192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7072DC98" w14:textId="77777777" w:rsidTr="006D799E">
        <w:trPr>
          <w:cantSplit/>
          <w:trHeight w:val="300"/>
        </w:trPr>
        <w:tc>
          <w:tcPr>
            <w:tcW w:w="864" w:type="pct"/>
            <w:shd w:val="clear" w:color="auto" w:fill="auto"/>
            <w:noWrap/>
            <w:hideMark/>
          </w:tcPr>
          <w:p w14:paraId="4DA9852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30. </w:t>
            </w:r>
            <w:r w:rsidRPr="00EC70E0">
              <w:rPr>
                <w:rFonts w:ascii="Calibri" w:eastAsia="Times New Roman" w:hAnsi="Calibri" w:cs="Times New Roman"/>
                <w:color w:val="000000"/>
                <w:sz w:val="20"/>
                <w:lang w:eastAsia="en-GB"/>
              </w:rPr>
              <w:t>Budget Docs</w:t>
            </w:r>
          </w:p>
        </w:tc>
        <w:tc>
          <w:tcPr>
            <w:tcW w:w="2206" w:type="pct"/>
            <w:shd w:val="clear" w:color="auto" w:fill="auto"/>
            <w:noWrap/>
            <w:hideMark/>
          </w:tcPr>
          <w:p w14:paraId="7B666E2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document-link/category[@code='A05'] exists (if activity-status/@code is at least 2 and (default-aid-type/@code or transaction/aid-type/@code is not A01))?</w:t>
            </w:r>
          </w:p>
        </w:tc>
        <w:tc>
          <w:tcPr>
            <w:tcW w:w="1193" w:type="pct"/>
            <w:shd w:val="clear" w:color="auto" w:fill="auto"/>
            <w:noWrap/>
            <w:hideMark/>
          </w:tcPr>
          <w:p w14:paraId="239CBC7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Budget document</w:t>
            </w:r>
          </w:p>
        </w:tc>
        <w:tc>
          <w:tcPr>
            <w:tcW w:w="737" w:type="pct"/>
          </w:tcPr>
          <w:p w14:paraId="4EF6E31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14:paraId="0160F7DE" w14:textId="77777777" w:rsidTr="006D799E">
        <w:trPr>
          <w:cantSplit/>
          <w:trHeight w:val="300"/>
        </w:trPr>
        <w:tc>
          <w:tcPr>
            <w:tcW w:w="864" w:type="pct"/>
            <w:shd w:val="clear" w:color="auto" w:fill="auto"/>
            <w:noWrap/>
            <w:hideMark/>
          </w:tcPr>
          <w:p w14:paraId="01859B0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31. </w:t>
            </w:r>
            <w:r w:rsidRPr="00EC70E0">
              <w:rPr>
                <w:rFonts w:ascii="Calibri" w:eastAsia="Times New Roman" w:hAnsi="Calibri" w:cs="Times New Roman"/>
                <w:color w:val="000000"/>
                <w:sz w:val="20"/>
                <w:lang w:eastAsia="en-GB"/>
              </w:rPr>
              <w:t>Contracts</w:t>
            </w:r>
          </w:p>
        </w:tc>
        <w:tc>
          <w:tcPr>
            <w:tcW w:w="2206" w:type="pct"/>
            <w:shd w:val="clear" w:color="auto" w:fill="auto"/>
            <w:noWrap/>
            <w:hideMark/>
          </w:tcPr>
          <w:p w14:paraId="7D97F22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document-link/category[@code='A06'] or document-link/category[@code='A11'] exists (if activity-status/@code is at least 2 and (default-aid-type/@code or transaction/aid-type/@code is not A01))?</w:t>
            </w:r>
          </w:p>
        </w:tc>
        <w:tc>
          <w:tcPr>
            <w:tcW w:w="1193" w:type="pct"/>
            <w:shd w:val="clear" w:color="auto" w:fill="auto"/>
            <w:noWrap/>
            <w:hideMark/>
          </w:tcPr>
          <w:p w14:paraId="4931303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Contract</w:t>
            </w:r>
          </w:p>
        </w:tc>
        <w:tc>
          <w:tcPr>
            <w:tcW w:w="737" w:type="pct"/>
          </w:tcPr>
          <w:p w14:paraId="7F12700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14:paraId="369D1D3F" w14:textId="77777777" w:rsidTr="006D799E">
        <w:trPr>
          <w:cantSplit/>
          <w:trHeight w:val="300"/>
        </w:trPr>
        <w:tc>
          <w:tcPr>
            <w:tcW w:w="864" w:type="pct"/>
            <w:shd w:val="clear" w:color="auto" w:fill="auto"/>
            <w:noWrap/>
            <w:hideMark/>
          </w:tcPr>
          <w:p w14:paraId="0011B70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32. </w:t>
            </w:r>
            <w:r w:rsidRPr="00EC70E0">
              <w:rPr>
                <w:rFonts w:ascii="Calibri" w:eastAsia="Times New Roman" w:hAnsi="Calibri" w:cs="Times New Roman"/>
                <w:color w:val="000000"/>
                <w:sz w:val="20"/>
                <w:lang w:eastAsia="en-GB"/>
              </w:rPr>
              <w:t>Tenders</w:t>
            </w:r>
          </w:p>
        </w:tc>
        <w:tc>
          <w:tcPr>
            <w:tcW w:w="2206" w:type="pct"/>
            <w:shd w:val="clear" w:color="auto" w:fill="auto"/>
            <w:noWrap/>
            <w:hideMark/>
          </w:tcPr>
          <w:p w14:paraId="42A71D9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document-link/category[@code='A10'] exists (if activity-status/@code is at least 2 and (default-aid-type</w:t>
            </w:r>
            <w:r w:rsidRPr="00163019">
              <w:rPr>
                <w:rFonts w:ascii="Calibri" w:eastAsia="Times New Roman" w:hAnsi="Calibri" w:cs="Times New Roman"/>
                <w:sz w:val="20"/>
                <w:lang w:eastAsia="en-GB"/>
              </w:rPr>
              <w:t>/@code or transaction/aid-type/@cod</w:t>
            </w:r>
            <w:r w:rsidRPr="00163019">
              <w:rPr>
                <w:rFonts w:ascii="Calibri" w:eastAsia="Times New Roman" w:hAnsi="Calibri" w:cs="Times New Roman"/>
                <w:color w:val="000000"/>
                <w:sz w:val="20"/>
                <w:lang w:eastAsia="en-GB"/>
              </w:rPr>
              <w:t>e is not A01))?</w:t>
            </w:r>
          </w:p>
        </w:tc>
        <w:tc>
          <w:tcPr>
            <w:tcW w:w="1193" w:type="pct"/>
            <w:shd w:val="clear" w:color="auto" w:fill="auto"/>
            <w:noWrap/>
            <w:hideMark/>
          </w:tcPr>
          <w:p w14:paraId="20265ED1"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Tender</w:t>
            </w:r>
          </w:p>
        </w:tc>
        <w:tc>
          <w:tcPr>
            <w:tcW w:w="737" w:type="pct"/>
          </w:tcPr>
          <w:p w14:paraId="7B102D0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14:paraId="07F678B5" w14:textId="77777777" w:rsidTr="006D799E">
        <w:trPr>
          <w:cantSplit/>
          <w:trHeight w:val="300"/>
        </w:trPr>
        <w:tc>
          <w:tcPr>
            <w:tcW w:w="864" w:type="pct"/>
            <w:shd w:val="clear" w:color="auto" w:fill="auto"/>
            <w:noWrap/>
            <w:hideMark/>
          </w:tcPr>
          <w:p w14:paraId="4477C55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33. </w:t>
            </w:r>
            <w:r w:rsidRPr="00EC70E0">
              <w:rPr>
                <w:rFonts w:ascii="Calibri" w:eastAsia="Times New Roman" w:hAnsi="Calibri" w:cs="Times New Roman"/>
                <w:color w:val="000000"/>
                <w:sz w:val="20"/>
                <w:lang w:eastAsia="en-GB"/>
              </w:rPr>
              <w:t>Budget</w:t>
            </w:r>
          </w:p>
        </w:tc>
        <w:tc>
          <w:tcPr>
            <w:tcW w:w="2206" w:type="pct"/>
            <w:shd w:val="clear" w:color="auto" w:fill="auto"/>
            <w:noWrap/>
            <w:hideMark/>
          </w:tcPr>
          <w:p w14:paraId="41DA7113"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or planned-disbursement is available forward (if activity-status/@code is at least 2)?</w:t>
            </w:r>
          </w:p>
        </w:tc>
        <w:tc>
          <w:tcPr>
            <w:tcW w:w="1193" w:type="pct"/>
            <w:shd w:val="clear" w:color="auto" w:fill="auto"/>
            <w:noWrap/>
            <w:hideMark/>
          </w:tcPr>
          <w:p w14:paraId="7430B0E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w:t>
            </w:r>
          </w:p>
        </w:tc>
        <w:tc>
          <w:tcPr>
            <w:tcW w:w="737" w:type="pct"/>
          </w:tcPr>
          <w:p w14:paraId="0AFF874E"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2BFBCB38" w14:textId="77777777" w:rsidTr="006D799E">
        <w:trPr>
          <w:cantSplit/>
          <w:trHeight w:val="300"/>
        </w:trPr>
        <w:tc>
          <w:tcPr>
            <w:tcW w:w="864" w:type="pct"/>
            <w:shd w:val="clear" w:color="auto" w:fill="auto"/>
            <w:noWrap/>
            <w:hideMark/>
          </w:tcPr>
          <w:p w14:paraId="1581622B"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33. </w:t>
            </w:r>
            <w:r w:rsidRPr="00EC70E0">
              <w:rPr>
                <w:rFonts w:ascii="Calibri" w:eastAsia="Times New Roman" w:hAnsi="Calibri" w:cs="Times New Roman"/>
                <w:color w:val="000000"/>
                <w:sz w:val="20"/>
                <w:lang w:eastAsia="en-GB"/>
              </w:rPr>
              <w:t>Budget</w:t>
            </w:r>
          </w:p>
        </w:tc>
        <w:tc>
          <w:tcPr>
            <w:tcW w:w="2206" w:type="pct"/>
            <w:shd w:val="clear" w:color="auto" w:fill="auto"/>
            <w:noWrap/>
            <w:hideMark/>
          </w:tcPr>
          <w:p w14:paraId="1F9FB7C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or planned-disbursement is available forward by quarters (if activity-status/@code is at least 2)?</w:t>
            </w:r>
          </w:p>
        </w:tc>
        <w:tc>
          <w:tcPr>
            <w:tcW w:w="1193" w:type="pct"/>
            <w:shd w:val="clear" w:color="auto" w:fill="auto"/>
            <w:noWrap/>
            <w:hideMark/>
          </w:tcPr>
          <w:p w14:paraId="4D59406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by quarters</w:t>
            </w:r>
          </w:p>
        </w:tc>
        <w:tc>
          <w:tcPr>
            <w:tcW w:w="737" w:type="pct"/>
          </w:tcPr>
          <w:p w14:paraId="74098337"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27B1755A" w14:textId="77777777" w:rsidTr="006D799E">
        <w:trPr>
          <w:cantSplit/>
          <w:trHeight w:val="300"/>
        </w:trPr>
        <w:tc>
          <w:tcPr>
            <w:tcW w:w="864" w:type="pct"/>
            <w:shd w:val="clear" w:color="auto" w:fill="auto"/>
            <w:noWrap/>
            <w:hideMark/>
          </w:tcPr>
          <w:p w14:paraId="75AFEF1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34. </w:t>
            </w:r>
            <w:r w:rsidRPr="00EC70E0">
              <w:rPr>
                <w:rFonts w:ascii="Calibri" w:eastAsia="Times New Roman" w:hAnsi="Calibri" w:cs="Times New Roman"/>
                <w:color w:val="000000"/>
                <w:sz w:val="20"/>
                <w:lang w:eastAsia="en-GB"/>
              </w:rPr>
              <w:t>Commitments</w:t>
            </w:r>
          </w:p>
        </w:tc>
        <w:tc>
          <w:tcPr>
            <w:tcW w:w="2206" w:type="pct"/>
            <w:shd w:val="clear" w:color="auto" w:fill="auto"/>
            <w:noWrap/>
            <w:hideMark/>
          </w:tcPr>
          <w:p w14:paraId="79745E0E" w14:textId="77777777" w:rsidR="009611A7" w:rsidRPr="002A52E5" w:rsidRDefault="00D46BFC"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transaction/transaction-type[@code='C'] or transaction/transaction-type[@code='2'] exists (if activity-status/@code is at least 2)?</w:t>
            </w:r>
          </w:p>
        </w:tc>
        <w:tc>
          <w:tcPr>
            <w:tcW w:w="1193" w:type="pct"/>
            <w:shd w:val="clear" w:color="auto" w:fill="auto"/>
            <w:noWrap/>
            <w:hideMark/>
          </w:tcPr>
          <w:p w14:paraId="0049467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Commitments</w:t>
            </w:r>
          </w:p>
        </w:tc>
        <w:tc>
          <w:tcPr>
            <w:tcW w:w="737" w:type="pct"/>
          </w:tcPr>
          <w:p w14:paraId="1621BF3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723C324E" w14:textId="77777777" w:rsidTr="006D799E">
        <w:trPr>
          <w:cantSplit/>
          <w:trHeight w:val="300"/>
        </w:trPr>
        <w:tc>
          <w:tcPr>
            <w:tcW w:w="864" w:type="pct"/>
            <w:shd w:val="clear" w:color="auto" w:fill="auto"/>
            <w:noWrap/>
            <w:hideMark/>
          </w:tcPr>
          <w:p w14:paraId="5DEFD3C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35. </w:t>
            </w:r>
            <w:r w:rsidRPr="00EC70E0">
              <w:rPr>
                <w:rFonts w:ascii="Calibri" w:eastAsia="Times New Roman" w:hAnsi="Calibri" w:cs="Times New Roman"/>
                <w:color w:val="000000"/>
                <w:sz w:val="20"/>
                <w:lang w:eastAsia="en-GB"/>
              </w:rPr>
              <w:t>Disbursements and expenditure</w:t>
            </w:r>
            <w:r>
              <w:rPr>
                <w:rFonts w:ascii="Calibri" w:eastAsia="Times New Roman" w:hAnsi="Calibri" w:cs="Times New Roman"/>
                <w:color w:val="000000"/>
                <w:sz w:val="20"/>
                <w:lang w:eastAsia="en-GB"/>
              </w:rPr>
              <w:t>s</w:t>
            </w:r>
          </w:p>
        </w:tc>
        <w:tc>
          <w:tcPr>
            <w:tcW w:w="2206" w:type="pct"/>
            <w:shd w:val="clear" w:color="auto" w:fill="auto"/>
            <w:noWrap/>
            <w:hideMark/>
          </w:tcPr>
          <w:p w14:paraId="549C02F5" w14:textId="77777777" w:rsidR="009611A7" w:rsidRPr="002A52E5" w:rsidRDefault="00D46BFC" w:rsidP="009611A7">
            <w:pPr>
              <w:spacing w:after="0" w:line="240" w:lineRule="auto"/>
              <w:rPr>
                <w:rFonts w:ascii="Calibri" w:eastAsia="Times New Roman" w:hAnsi="Calibri" w:cs="Times New Roman"/>
                <w:color w:val="000000"/>
                <w:sz w:val="20"/>
                <w:lang w:eastAsia="en-GB"/>
              </w:rPr>
            </w:pPr>
            <w:r w:rsidRPr="002A52E5">
              <w:rPr>
                <w:rFonts w:ascii="Calibri" w:eastAsia="Times New Roman" w:hAnsi="Calibri" w:cs="Times New Roman"/>
                <w:color w:val="000000"/>
                <w:sz w:val="20"/>
                <w:lang w:eastAsia="en-GB"/>
              </w:rPr>
              <w:t>transaction/transaction-type[@code='D'] or transaction/transaction-type[@code='E'] or transaction/transaction-type[@code='3'] or transaction/transaction-type[@code='4'] exists (if activity-status/@code is at least 2)?</w:t>
            </w:r>
          </w:p>
        </w:tc>
        <w:tc>
          <w:tcPr>
            <w:tcW w:w="1193" w:type="pct"/>
            <w:shd w:val="clear" w:color="auto" w:fill="auto"/>
            <w:noWrap/>
            <w:hideMark/>
          </w:tcPr>
          <w:p w14:paraId="002A5B68"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Disbursements</w:t>
            </w:r>
            <w:r>
              <w:rPr>
                <w:rFonts w:ascii="Calibri" w:eastAsia="Times New Roman" w:hAnsi="Calibri" w:cs="Times New Roman"/>
                <w:color w:val="000000"/>
                <w:sz w:val="20"/>
                <w:lang w:eastAsia="en-GB"/>
              </w:rPr>
              <w:t xml:space="preserve"> and expenditures</w:t>
            </w:r>
          </w:p>
        </w:tc>
        <w:tc>
          <w:tcPr>
            <w:tcW w:w="737" w:type="pct"/>
          </w:tcPr>
          <w:p w14:paraId="7401558F"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14:paraId="36F71842" w14:textId="77777777" w:rsidTr="006D799E">
        <w:trPr>
          <w:cantSplit/>
          <w:trHeight w:val="300"/>
        </w:trPr>
        <w:tc>
          <w:tcPr>
            <w:tcW w:w="864" w:type="pct"/>
            <w:shd w:val="clear" w:color="auto" w:fill="auto"/>
            <w:noWrap/>
            <w:hideMark/>
          </w:tcPr>
          <w:p w14:paraId="0A62BD05"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36. </w:t>
            </w:r>
            <w:r w:rsidRPr="00EC70E0">
              <w:rPr>
                <w:rFonts w:ascii="Calibri" w:eastAsia="Times New Roman" w:hAnsi="Calibri" w:cs="Times New Roman"/>
                <w:color w:val="000000"/>
                <w:sz w:val="20"/>
                <w:lang w:eastAsia="en-GB"/>
              </w:rPr>
              <w:t>Budget Identifier</w:t>
            </w:r>
          </w:p>
        </w:tc>
        <w:tc>
          <w:tcPr>
            <w:tcW w:w="2206" w:type="pct"/>
            <w:shd w:val="clear" w:color="auto" w:fill="auto"/>
            <w:noWrap/>
            <w:hideMark/>
          </w:tcPr>
          <w:p w14:paraId="08FA24D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at least one country-budget-items[@vocabulary=""1""]/budget-item/@code is on list BudgetIdentifier (if activity-status/@code is at least 2 and (default-aid-type/@code or transaction/aid-</w:t>
            </w:r>
            <w:r>
              <w:rPr>
                <w:rFonts w:ascii="Calibri" w:eastAsia="Times New Roman" w:hAnsi="Calibri" w:cs="Times New Roman"/>
                <w:color w:val="000000"/>
                <w:sz w:val="20"/>
                <w:lang w:eastAsia="en-GB"/>
              </w:rPr>
              <w:t>type/@code is not A01 or A02))?</w:t>
            </w:r>
          </w:p>
        </w:tc>
        <w:tc>
          <w:tcPr>
            <w:tcW w:w="1193" w:type="pct"/>
            <w:shd w:val="clear" w:color="auto" w:fill="auto"/>
            <w:noWrap/>
            <w:hideMark/>
          </w:tcPr>
          <w:p w14:paraId="7F63EC2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identifier, administrative/functional classification</w:t>
            </w:r>
          </w:p>
        </w:tc>
        <w:tc>
          <w:tcPr>
            <w:tcW w:w="737" w:type="pct"/>
          </w:tcPr>
          <w:p w14:paraId="37684A4C"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14:paraId="280D6F74" w14:textId="77777777" w:rsidTr="006D799E">
        <w:trPr>
          <w:cantSplit/>
          <w:trHeight w:val="300"/>
        </w:trPr>
        <w:tc>
          <w:tcPr>
            <w:tcW w:w="864" w:type="pct"/>
            <w:shd w:val="clear" w:color="auto" w:fill="auto"/>
            <w:noWrap/>
            <w:hideMark/>
          </w:tcPr>
          <w:p w14:paraId="406A5CDD"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36. </w:t>
            </w:r>
            <w:r w:rsidRPr="00EC70E0">
              <w:rPr>
                <w:rFonts w:ascii="Calibri" w:eastAsia="Times New Roman" w:hAnsi="Calibri" w:cs="Times New Roman"/>
                <w:color w:val="000000"/>
                <w:sz w:val="20"/>
                <w:lang w:eastAsia="en-GB"/>
              </w:rPr>
              <w:t>Budget Identifier</w:t>
            </w:r>
          </w:p>
        </w:tc>
        <w:tc>
          <w:tcPr>
            <w:tcW w:w="2206" w:type="pct"/>
            <w:shd w:val="clear" w:color="auto" w:fill="auto"/>
            <w:noWrap/>
            <w:hideMark/>
          </w:tcPr>
          <w:p w14:paraId="4B796FAA"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capital-spend exists (if activity-status/@code is at least 2 and (default-aid-type/@code or transaction/aid-type/@code is not A01 or A02))?</w:t>
            </w:r>
          </w:p>
        </w:tc>
        <w:tc>
          <w:tcPr>
            <w:tcW w:w="1193" w:type="pct"/>
            <w:shd w:val="clear" w:color="auto" w:fill="auto"/>
            <w:noWrap/>
            <w:hideMark/>
          </w:tcPr>
          <w:p w14:paraId="0CBD9D62"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identifier, economic classification</w:t>
            </w:r>
          </w:p>
        </w:tc>
        <w:tc>
          <w:tcPr>
            <w:tcW w:w="737" w:type="pct"/>
          </w:tcPr>
          <w:p w14:paraId="614B7D29"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14:paraId="28DFF96B" w14:textId="77777777" w:rsidTr="006D799E">
        <w:trPr>
          <w:cantSplit/>
          <w:trHeight w:val="300"/>
        </w:trPr>
        <w:tc>
          <w:tcPr>
            <w:tcW w:w="864" w:type="pct"/>
            <w:shd w:val="clear" w:color="auto" w:fill="auto"/>
            <w:noWrap/>
            <w:hideMark/>
          </w:tcPr>
          <w:p w14:paraId="26797BA6"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37. </w:t>
            </w:r>
            <w:r w:rsidRPr="00EC70E0">
              <w:rPr>
                <w:rFonts w:ascii="Calibri" w:eastAsia="Times New Roman" w:hAnsi="Calibri" w:cs="Times New Roman"/>
                <w:color w:val="000000"/>
                <w:sz w:val="20"/>
                <w:lang w:eastAsia="en-GB"/>
              </w:rPr>
              <w:t>Results</w:t>
            </w:r>
          </w:p>
        </w:tc>
        <w:tc>
          <w:tcPr>
            <w:tcW w:w="2206" w:type="pct"/>
            <w:shd w:val="clear" w:color="auto" w:fill="auto"/>
            <w:noWrap/>
            <w:hideMark/>
          </w:tcPr>
          <w:p w14:paraId="1D896639" w14:textId="77777777" w:rsidR="009611A7" w:rsidRPr="003D1640" w:rsidRDefault="003D1640" w:rsidP="009611A7">
            <w:pPr>
              <w:spacing w:after="0" w:line="240" w:lineRule="auto"/>
              <w:rPr>
                <w:rFonts w:ascii="Calibri" w:eastAsia="Times New Roman" w:hAnsi="Calibri" w:cs="Times New Roman"/>
                <w:color w:val="000000"/>
                <w:sz w:val="20"/>
                <w:szCs w:val="20"/>
                <w:lang w:eastAsia="en-GB"/>
              </w:rPr>
            </w:pPr>
            <w:r w:rsidRPr="00AD6FCA">
              <w:rPr>
                <w:sz w:val="20"/>
                <w:szCs w:val="20"/>
              </w:rPr>
              <w:t>result exists (if activity-status/@code is at least 2)?</w:t>
            </w:r>
            <w:r w:rsidRPr="00AD6FCA">
              <w:rPr>
                <w:sz w:val="20"/>
                <w:szCs w:val="20"/>
              </w:rPr>
              <w:br/>
            </w:r>
          </w:p>
        </w:tc>
        <w:tc>
          <w:tcPr>
            <w:tcW w:w="1193" w:type="pct"/>
            <w:shd w:val="clear" w:color="auto" w:fill="auto"/>
            <w:noWrap/>
            <w:hideMark/>
          </w:tcPr>
          <w:p w14:paraId="3B236728" w14:textId="77777777" w:rsidR="009611A7" w:rsidRPr="00EC70E0" w:rsidRDefault="003D1640"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 Result</w:t>
            </w:r>
          </w:p>
        </w:tc>
        <w:tc>
          <w:tcPr>
            <w:tcW w:w="737" w:type="pct"/>
          </w:tcPr>
          <w:p w14:paraId="58394A30" w14:textId="77777777"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3D1640" w:rsidRPr="00EC70E0" w14:paraId="44E8DA52" w14:textId="77777777" w:rsidTr="006D799E">
        <w:trPr>
          <w:cantSplit/>
          <w:trHeight w:val="300"/>
        </w:trPr>
        <w:tc>
          <w:tcPr>
            <w:tcW w:w="864" w:type="pct"/>
            <w:shd w:val="clear" w:color="auto" w:fill="auto"/>
            <w:noWrap/>
          </w:tcPr>
          <w:p w14:paraId="33703984" w14:textId="77777777" w:rsidR="003D164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37. </w:t>
            </w:r>
            <w:r w:rsidRPr="00EC70E0">
              <w:rPr>
                <w:rFonts w:ascii="Calibri" w:eastAsia="Times New Roman" w:hAnsi="Calibri" w:cs="Times New Roman"/>
                <w:color w:val="000000"/>
                <w:sz w:val="20"/>
                <w:lang w:eastAsia="en-GB"/>
              </w:rPr>
              <w:t>Results</w:t>
            </w:r>
          </w:p>
        </w:tc>
        <w:tc>
          <w:tcPr>
            <w:tcW w:w="2206" w:type="pct"/>
            <w:shd w:val="clear" w:color="auto" w:fill="auto"/>
            <w:noWrap/>
          </w:tcPr>
          <w:p w14:paraId="735B46E8" w14:textId="77777777" w:rsidR="003D1640" w:rsidRPr="003D1640" w:rsidRDefault="003D1640" w:rsidP="003D1640">
            <w:pPr>
              <w:spacing w:after="0" w:line="240" w:lineRule="auto"/>
              <w:rPr>
                <w:rFonts w:ascii="Calibri" w:eastAsia="Times New Roman" w:hAnsi="Calibri" w:cs="Times New Roman"/>
                <w:color w:val="000000"/>
                <w:sz w:val="20"/>
                <w:szCs w:val="20"/>
                <w:lang w:eastAsia="en-GB"/>
              </w:rPr>
            </w:pPr>
            <w:r w:rsidRPr="00AD6FCA">
              <w:rPr>
                <w:sz w:val="20"/>
                <w:szCs w:val="20"/>
              </w:rPr>
              <w:t>document-link/category[@code='A08'] exists (if activity-status/@code is at least 2)?</w:t>
            </w:r>
          </w:p>
        </w:tc>
        <w:tc>
          <w:tcPr>
            <w:tcW w:w="1193" w:type="pct"/>
            <w:shd w:val="clear" w:color="auto" w:fill="auto"/>
            <w:noWrap/>
          </w:tcPr>
          <w:p w14:paraId="0FBC16D7"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Results, outcomes and outputs document</w:t>
            </w:r>
          </w:p>
        </w:tc>
        <w:tc>
          <w:tcPr>
            <w:tcW w:w="737" w:type="pct"/>
          </w:tcPr>
          <w:p w14:paraId="3DC4E097" w14:textId="77777777" w:rsidR="003D164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3D1640" w:rsidRPr="00EC70E0" w14:paraId="1685D544" w14:textId="77777777" w:rsidTr="006D799E">
        <w:trPr>
          <w:cantSplit/>
          <w:trHeight w:val="300"/>
        </w:trPr>
        <w:tc>
          <w:tcPr>
            <w:tcW w:w="864" w:type="pct"/>
            <w:shd w:val="clear" w:color="auto" w:fill="auto"/>
            <w:noWrap/>
            <w:hideMark/>
          </w:tcPr>
          <w:p w14:paraId="340C50FC"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38. </w:t>
            </w:r>
            <w:r w:rsidRPr="00EC70E0">
              <w:rPr>
                <w:rFonts w:ascii="Calibri" w:eastAsia="Times New Roman" w:hAnsi="Calibri" w:cs="Times New Roman"/>
                <w:color w:val="000000"/>
                <w:sz w:val="20"/>
                <w:lang w:eastAsia="en-GB"/>
              </w:rPr>
              <w:t>Impact Appraisals</w:t>
            </w:r>
          </w:p>
        </w:tc>
        <w:tc>
          <w:tcPr>
            <w:tcW w:w="2206" w:type="pct"/>
            <w:shd w:val="clear" w:color="auto" w:fill="auto"/>
            <w:noWrap/>
            <w:hideMark/>
          </w:tcPr>
          <w:p w14:paraId="578B9B2D"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document-link/category[@code='A01'] exists (if activity-status/@code is at least 2)?</w:t>
            </w:r>
          </w:p>
        </w:tc>
        <w:tc>
          <w:tcPr>
            <w:tcW w:w="1193" w:type="pct"/>
            <w:shd w:val="clear" w:color="auto" w:fill="auto"/>
            <w:noWrap/>
            <w:hideMark/>
          </w:tcPr>
          <w:p w14:paraId="21CD0011"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Pre- and post-project impact appraisal</w:t>
            </w:r>
          </w:p>
        </w:tc>
        <w:tc>
          <w:tcPr>
            <w:tcW w:w="737" w:type="pct"/>
          </w:tcPr>
          <w:p w14:paraId="5088432C"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3D1640" w:rsidRPr="00EC70E0" w14:paraId="7B6B36CF" w14:textId="77777777" w:rsidTr="006D799E">
        <w:trPr>
          <w:cantSplit/>
          <w:trHeight w:val="300"/>
        </w:trPr>
        <w:tc>
          <w:tcPr>
            <w:tcW w:w="864" w:type="pct"/>
            <w:shd w:val="clear" w:color="auto" w:fill="auto"/>
            <w:noWrap/>
            <w:hideMark/>
          </w:tcPr>
          <w:p w14:paraId="275342DC"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39. </w:t>
            </w:r>
            <w:r w:rsidRPr="00EC70E0">
              <w:rPr>
                <w:rFonts w:ascii="Calibri" w:eastAsia="Times New Roman" w:hAnsi="Calibri" w:cs="Times New Roman"/>
                <w:color w:val="000000"/>
                <w:sz w:val="20"/>
                <w:lang w:eastAsia="en-GB"/>
              </w:rPr>
              <w:t>Conditions</w:t>
            </w:r>
          </w:p>
        </w:tc>
        <w:tc>
          <w:tcPr>
            <w:tcW w:w="2206" w:type="pct"/>
            <w:shd w:val="clear" w:color="auto" w:fill="auto"/>
            <w:noWrap/>
            <w:hideMark/>
          </w:tcPr>
          <w:p w14:paraId="4038AB64" w14:textId="77777777" w:rsidR="003D1640" w:rsidRPr="00EC70E0" w:rsidRDefault="003D1640" w:rsidP="007E3DDA">
            <w:pPr>
              <w:spacing w:after="0" w:line="240" w:lineRule="auto"/>
              <w:rPr>
                <w:rFonts w:ascii="Calibri" w:eastAsia="Times New Roman" w:hAnsi="Calibri" w:cs="Times New Roman"/>
                <w:color w:val="000000"/>
                <w:sz w:val="20"/>
                <w:lang w:eastAsia="en-GB"/>
              </w:rPr>
            </w:pPr>
            <w:r w:rsidRPr="003D1640">
              <w:rPr>
                <w:rFonts w:ascii="Calibri" w:eastAsia="Times New Roman" w:hAnsi="Calibri" w:cs="Times New Roman"/>
                <w:color w:val="000000"/>
                <w:sz w:val="20"/>
                <w:lang w:eastAsia="en-GB"/>
              </w:rPr>
              <w:t>conditions exists (if activity-status/@code is at least 2</w:t>
            </w:r>
            <w:r w:rsidR="007E3DDA">
              <w:rPr>
                <w:rFonts w:ascii="Calibri" w:eastAsia="Times New Roman" w:hAnsi="Calibri" w:cs="Times New Roman"/>
                <w:color w:val="000000"/>
                <w:sz w:val="20"/>
                <w:lang w:eastAsia="en-GB"/>
              </w:rPr>
              <w:t>)?</w:t>
            </w:r>
            <w:r w:rsidRPr="003D1640">
              <w:rPr>
                <w:rFonts w:ascii="Calibri" w:eastAsia="Times New Roman" w:hAnsi="Calibri" w:cs="Times New Roman"/>
                <w:color w:val="000000"/>
                <w:sz w:val="20"/>
                <w:lang w:eastAsia="en-GB"/>
              </w:rPr>
              <w:t xml:space="preserve"> </w:t>
            </w:r>
          </w:p>
        </w:tc>
        <w:tc>
          <w:tcPr>
            <w:tcW w:w="1193" w:type="pct"/>
            <w:shd w:val="clear" w:color="auto" w:fill="auto"/>
            <w:noWrap/>
            <w:hideMark/>
          </w:tcPr>
          <w:p w14:paraId="59140161"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Conditions</w:t>
            </w:r>
          </w:p>
        </w:tc>
        <w:tc>
          <w:tcPr>
            <w:tcW w:w="737" w:type="pct"/>
          </w:tcPr>
          <w:p w14:paraId="6F85CF36" w14:textId="77777777" w:rsidR="003D1640" w:rsidRPr="00EC70E0" w:rsidRDefault="003D1640" w:rsidP="007E3DDA">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At least implementation </w:t>
            </w:r>
          </w:p>
        </w:tc>
      </w:tr>
      <w:tr w:rsidR="003D1640" w:rsidRPr="00EC70E0" w14:paraId="1802F99B" w14:textId="77777777" w:rsidTr="006D799E">
        <w:trPr>
          <w:cantSplit/>
          <w:trHeight w:val="300"/>
        </w:trPr>
        <w:tc>
          <w:tcPr>
            <w:tcW w:w="864" w:type="pct"/>
            <w:shd w:val="clear" w:color="auto" w:fill="auto"/>
            <w:noWrap/>
          </w:tcPr>
          <w:p w14:paraId="5B22AE7D" w14:textId="77777777" w:rsidR="003D164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39. </w:t>
            </w:r>
            <w:r w:rsidRPr="00EC70E0">
              <w:rPr>
                <w:rFonts w:ascii="Calibri" w:eastAsia="Times New Roman" w:hAnsi="Calibri" w:cs="Times New Roman"/>
                <w:color w:val="000000"/>
                <w:sz w:val="20"/>
                <w:lang w:eastAsia="en-GB"/>
              </w:rPr>
              <w:t>Conditions</w:t>
            </w:r>
          </w:p>
        </w:tc>
        <w:tc>
          <w:tcPr>
            <w:tcW w:w="2206" w:type="pct"/>
            <w:shd w:val="clear" w:color="auto" w:fill="auto"/>
            <w:noWrap/>
          </w:tcPr>
          <w:p w14:paraId="5C8CE506" w14:textId="77777777" w:rsidR="003D1640" w:rsidRPr="00EC70E0" w:rsidRDefault="003D1640" w:rsidP="007E3DDA">
            <w:pPr>
              <w:spacing w:after="0" w:line="240" w:lineRule="auto"/>
              <w:rPr>
                <w:rFonts w:ascii="Calibri" w:eastAsia="Times New Roman" w:hAnsi="Calibri" w:cs="Times New Roman"/>
                <w:color w:val="000000"/>
                <w:sz w:val="20"/>
                <w:lang w:eastAsia="en-GB"/>
              </w:rPr>
            </w:pPr>
            <w:r w:rsidRPr="003D1640">
              <w:rPr>
                <w:rFonts w:ascii="Calibri" w:eastAsia="Times New Roman" w:hAnsi="Calibri" w:cs="Times New Roman"/>
                <w:color w:val="000000"/>
                <w:sz w:val="20"/>
                <w:lang w:eastAsia="en-GB"/>
              </w:rPr>
              <w:t>document-link/category[@code='A04'] exists (if activity-status/@code is at least 2)?</w:t>
            </w:r>
          </w:p>
        </w:tc>
        <w:tc>
          <w:tcPr>
            <w:tcW w:w="1193" w:type="pct"/>
            <w:shd w:val="clear" w:color="auto" w:fill="auto"/>
            <w:noWrap/>
          </w:tcPr>
          <w:p w14:paraId="243AFB70" w14:textId="77777777"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Conditions document</w:t>
            </w:r>
          </w:p>
        </w:tc>
        <w:tc>
          <w:tcPr>
            <w:tcW w:w="737" w:type="pct"/>
          </w:tcPr>
          <w:p w14:paraId="05CCAC84" w14:textId="77777777" w:rsidR="003D1640" w:rsidRDefault="003D1640" w:rsidP="007E3DDA">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At least implementation </w:t>
            </w:r>
          </w:p>
        </w:tc>
      </w:tr>
    </w:tbl>
    <w:p w14:paraId="452E64E2" w14:textId="77777777" w:rsidR="009611A7" w:rsidRDefault="009611A7" w:rsidP="009611A7">
      <w:pPr>
        <w:spacing w:after="0" w:line="240" w:lineRule="auto"/>
        <w:rPr>
          <w:rFonts w:ascii="Cambria" w:eastAsia="Calibri" w:hAnsi="Cambria" w:cs="Times New Roman"/>
          <w:b/>
          <w:bCs/>
          <w:color w:val="4F81BD"/>
        </w:rPr>
      </w:pPr>
    </w:p>
    <w:p w14:paraId="1FE10713" w14:textId="77777777" w:rsidR="00E069CF" w:rsidRDefault="00E069CF" w:rsidP="009611A7">
      <w:pPr>
        <w:spacing w:after="0" w:line="240" w:lineRule="auto"/>
        <w:rPr>
          <w:rFonts w:ascii="Cambria" w:eastAsia="Calibri" w:hAnsi="Cambria" w:cs="Times New Roman"/>
          <w:b/>
          <w:bCs/>
          <w:color w:val="4F81BD"/>
        </w:rPr>
      </w:pPr>
    </w:p>
    <w:p w14:paraId="16D916A2" w14:textId="77777777" w:rsidR="00E069CF" w:rsidRDefault="00E069CF" w:rsidP="009611A7">
      <w:pPr>
        <w:spacing w:after="0" w:line="240" w:lineRule="auto"/>
        <w:rPr>
          <w:rFonts w:ascii="Cambria" w:eastAsia="Calibri" w:hAnsi="Cambria" w:cs="Times New Roman"/>
          <w:b/>
          <w:bCs/>
          <w:color w:val="4F81BD"/>
        </w:rPr>
      </w:pPr>
    </w:p>
    <w:p w14:paraId="2145F735" w14:textId="77777777" w:rsidR="00E069CF" w:rsidRDefault="00E069CF" w:rsidP="009611A7">
      <w:pPr>
        <w:spacing w:after="0" w:line="240" w:lineRule="auto"/>
        <w:rPr>
          <w:rFonts w:ascii="Cambria" w:eastAsia="Calibri" w:hAnsi="Cambria" w:cs="Times New Roman"/>
          <w:b/>
          <w:bCs/>
          <w:color w:val="4F81BD"/>
        </w:rPr>
      </w:pPr>
    </w:p>
    <w:p w14:paraId="14296221" w14:textId="77777777" w:rsidR="00E069CF" w:rsidRDefault="00E069CF" w:rsidP="009611A7">
      <w:pPr>
        <w:spacing w:after="0" w:line="240" w:lineRule="auto"/>
        <w:rPr>
          <w:rFonts w:ascii="Cambria" w:eastAsia="Calibri" w:hAnsi="Cambria" w:cs="Times New Roman"/>
          <w:b/>
          <w:bCs/>
          <w:color w:val="4F81BD"/>
        </w:rPr>
      </w:pPr>
    </w:p>
    <w:p w14:paraId="12A65678" w14:textId="77777777" w:rsidR="009611A7" w:rsidRDefault="009611A7" w:rsidP="009611A7">
      <w:pPr>
        <w:spacing w:after="0" w:line="240" w:lineRule="auto"/>
        <w:rPr>
          <w:rFonts w:ascii="Cambria" w:eastAsia="Calibri" w:hAnsi="Cambria" w:cs="Times New Roman"/>
          <w:b/>
          <w:bCs/>
          <w:color w:val="4F81BD"/>
        </w:rPr>
      </w:pPr>
      <w:r w:rsidRPr="00FE73FF">
        <w:rPr>
          <w:rFonts w:ascii="Cambria" w:eastAsia="Calibri" w:hAnsi="Cambria" w:cs="Times New Roman"/>
          <w:b/>
          <w:bCs/>
          <w:color w:val="4F81BD"/>
        </w:rPr>
        <w:t>Test on indicators 8, 9 and 10</w:t>
      </w:r>
    </w:p>
    <w:p w14:paraId="12500234" w14:textId="77777777" w:rsidR="009611A7" w:rsidRDefault="009611A7" w:rsidP="009611A7">
      <w:pPr>
        <w:pStyle w:val="NoSpacing"/>
        <w:rPr>
          <w:rFonts w:eastAsia="Calibri"/>
        </w:rPr>
      </w:pPr>
      <w:r>
        <w:rPr>
          <w:rFonts w:eastAsia="Calibri"/>
        </w:rPr>
        <w:t xml:space="preserve">The following tests were more complicated to design because they rely on comparing text strings or they require cross-referencing with other IATI fields. Publish What You Fund welcomes feedback on these tests. </w:t>
      </w:r>
    </w:p>
    <w:p w14:paraId="227138BE" w14:textId="77777777" w:rsidR="009611A7" w:rsidRPr="00FE73FF" w:rsidRDefault="009611A7" w:rsidP="009611A7">
      <w:pPr>
        <w:spacing w:after="0" w:line="240" w:lineRule="auto"/>
        <w:rPr>
          <w:rFonts w:ascii="Cambria" w:eastAsia="Calibri" w:hAnsi="Cambria" w:cs="Times New Roman"/>
          <w:b/>
          <w:bCs/>
          <w:color w:val="4F81BD"/>
        </w:rPr>
      </w:pPr>
    </w:p>
    <w:p w14:paraId="6C9A9F2C" w14:textId="77777777" w:rsidR="009611A7" w:rsidRDefault="009611A7" w:rsidP="009611A7">
      <w:pPr>
        <w:spacing w:after="0" w:line="240" w:lineRule="auto"/>
      </w:pPr>
      <w:r w:rsidRPr="009F3432">
        <w:rPr>
          <w:b/>
        </w:rPr>
        <w:t>Country strateg</w:t>
      </w:r>
      <w:r>
        <w:rPr>
          <w:b/>
        </w:rPr>
        <w:t>ies (indicator 8)</w:t>
      </w:r>
      <w:r>
        <w:t>: For each recipient country for which there is a current budget, we look to see whether a country strategy paper is publishe</w:t>
      </w:r>
      <w:r w:rsidR="00563C3D">
        <w:t>d. Given the way that the IATI S</w:t>
      </w:r>
      <w:r>
        <w:t xml:space="preserve">tandard is currently structured in this area, the tests are somewhat complicated in order to try and capture as much information as possible. </w:t>
      </w:r>
    </w:p>
    <w:p w14:paraId="02D94623" w14:textId="77777777" w:rsidR="009611A7" w:rsidRDefault="009611A7" w:rsidP="009611A7">
      <w:pPr>
        <w:spacing w:after="0" w:line="240" w:lineRule="auto"/>
      </w:pPr>
    </w:p>
    <w:p w14:paraId="64645699" w14:textId="77777777" w:rsidR="009611A7" w:rsidRDefault="009611A7" w:rsidP="009611A7">
      <w:pPr>
        <w:spacing w:after="0" w:line="240" w:lineRule="auto"/>
      </w:pPr>
      <w:r>
        <w:t>For each country, we look in the title of each country strategy paper for:</w:t>
      </w:r>
      <w:r>
        <w:br/>
        <w:t>a) the name of the country, using the same name as provided in the recipient country budget;</w:t>
      </w:r>
    </w:p>
    <w:p w14:paraId="785B1A07" w14:textId="77777777" w:rsidR="009611A7" w:rsidRDefault="009611A7" w:rsidP="009611A7">
      <w:pPr>
        <w:spacing w:after="0" w:line="240" w:lineRule="auto"/>
      </w:pPr>
      <w:r>
        <w:t>b) the English language name of the country, if the ISO country codes list is used for reporting the country budget.</w:t>
      </w:r>
    </w:p>
    <w:p w14:paraId="5A026558" w14:textId="77777777" w:rsidR="009611A7" w:rsidRDefault="009611A7" w:rsidP="009611A7">
      <w:pPr>
        <w:spacing w:after="0" w:line="240" w:lineRule="auto"/>
      </w:pPr>
    </w:p>
    <w:p w14:paraId="28F6C2E7" w14:textId="77777777" w:rsidR="009611A7" w:rsidRDefault="009611A7" w:rsidP="009611A7">
      <w:pPr>
        <w:spacing w:after="0" w:line="240" w:lineRule="auto"/>
      </w:pPr>
      <w:r>
        <w:t>Where a country strategy paper uses in its title a name that is not used in the recipient country budget, and that is also not a standard version (e.g. Viet Nam vs Vietnam), the tests may on occasions fail to pick up those countries. The tests appear to be pickin</w:t>
      </w:r>
      <w:r w:rsidR="00426B4C">
        <w:t>g up almost all countries, and from</w:t>
      </w:r>
      <w:r>
        <w:t xml:space="preserve"> 2014</w:t>
      </w:r>
      <w:r w:rsidR="00426B4C">
        <w:t xml:space="preserve"> onwards</w:t>
      </w:r>
      <w:r>
        <w:t xml:space="preserve">, manual checks </w:t>
      </w:r>
      <w:r w:rsidR="006B3C48">
        <w:t>are</w:t>
      </w:r>
      <w:r>
        <w:t xml:space="preserve"> </w:t>
      </w:r>
      <w:r w:rsidR="00C81EEA">
        <w:t xml:space="preserve">conducted </w:t>
      </w:r>
      <w:r>
        <w:t>to ensure this is the case to the extent possible. We will be engaging with the IATI Technical Advisory Group on how to improve the Standard so that country strategy papers can be better coded in the future.</w:t>
      </w:r>
    </w:p>
    <w:p w14:paraId="1D9FDAE8" w14:textId="77777777" w:rsidR="009611A7" w:rsidRDefault="009611A7" w:rsidP="009611A7">
      <w:pPr>
        <w:spacing w:after="0" w:line="240" w:lineRule="auto"/>
      </w:pPr>
    </w:p>
    <w:p w14:paraId="189DB898" w14:textId="77777777" w:rsidR="009611A7" w:rsidRDefault="009611A7" w:rsidP="009611A7">
      <w:pPr>
        <w:spacing w:after="0" w:line="240" w:lineRule="auto"/>
      </w:pPr>
      <w:r w:rsidRPr="009F3432">
        <w:rPr>
          <w:b/>
        </w:rPr>
        <w:t>Total budget</w:t>
      </w:r>
      <w:r>
        <w:rPr>
          <w:b/>
        </w:rPr>
        <w:t xml:space="preserve"> (indicator 9)</w:t>
      </w:r>
      <w:r>
        <w:t xml:space="preserve">: We look to see whether there is a total budget one, two and three years forward. The first year must have an end date of at </w:t>
      </w:r>
      <w:r w:rsidRPr="002F0AF9">
        <w:t xml:space="preserve">least </w:t>
      </w:r>
      <w:r w:rsidR="002F0AF9" w:rsidRPr="00563C3D">
        <w:t xml:space="preserve">230 </w:t>
      </w:r>
      <w:r w:rsidRPr="00563C3D">
        <w:t>days</w:t>
      </w:r>
      <w:r w:rsidRPr="002F0AF9">
        <w:t xml:space="preserve"> forward from the last date on which the tests are run.</w:t>
      </w:r>
      <w:r w:rsidRPr="002F0AF9">
        <w:rPr>
          <w:rStyle w:val="FootnoteReference"/>
        </w:rPr>
        <w:footnoteReference w:id="17"/>
      </w:r>
      <w:r w:rsidRPr="002F0AF9">
        <w:t xml:space="preserve"> The second year must be 365 days later, and the third year a further </w:t>
      </w:r>
      <w:r w:rsidR="002E6500" w:rsidRPr="002F0AF9">
        <w:t>365</w:t>
      </w:r>
      <w:r w:rsidRPr="002F0AF9">
        <w:t xml:space="preserve"> days </w:t>
      </w:r>
      <w:r w:rsidR="002E6500" w:rsidRPr="002F0AF9">
        <w:t>later</w:t>
      </w:r>
      <w:r w:rsidRPr="002F0AF9">
        <w:t>. The points</w:t>
      </w:r>
      <w:r w:rsidRPr="002A5DEC">
        <w:t xml:space="preserve"> available are distributed equally among the three years, so one year forward gets 33.33 points; two years forward gets 66.66 points; and three years gets 100 points.</w:t>
      </w:r>
    </w:p>
    <w:p w14:paraId="75BF6F8A" w14:textId="77777777" w:rsidR="009611A7" w:rsidRDefault="009611A7" w:rsidP="009611A7">
      <w:pPr>
        <w:spacing w:after="0" w:line="240" w:lineRule="auto"/>
      </w:pPr>
    </w:p>
    <w:p w14:paraId="4C26F68C" w14:textId="77777777" w:rsidR="009611A7" w:rsidRDefault="009611A7" w:rsidP="009611A7">
      <w:pPr>
        <w:spacing w:after="0" w:line="240" w:lineRule="auto"/>
      </w:pPr>
      <w:r w:rsidRPr="009F3432">
        <w:rPr>
          <w:b/>
        </w:rPr>
        <w:t>Disaggregated budget</w:t>
      </w:r>
      <w:r>
        <w:rPr>
          <w:b/>
        </w:rPr>
        <w:t xml:space="preserve"> (indicator 10)</w:t>
      </w:r>
      <w:r>
        <w:t>: Disaggregated budgets are scored for each of the three years ahead for which they are available. This is assessed as the value of all recipient country budgets available for the relevant year as a percentage of 50% of the average of Country Programmable Aid (CPA)</w:t>
      </w:r>
      <w:r>
        <w:rPr>
          <w:rStyle w:val="FootnoteReference"/>
        </w:rPr>
        <w:footnoteReference w:id="18"/>
      </w:r>
      <w:r>
        <w:t>, multiplied by the total budget for the relevant year. If the relevant year is not available, the current year is used instead. We used the same fraction for all donors (21.36%). As above, the total points available are derived from an average of the points received in each of the three years.</w:t>
      </w:r>
    </w:p>
    <w:p w14:paraId="0DCD249E" w14:textId="77777777" w:rsidR="009611A7" w:rsidRDefault="009611A7" w:rsidP="009611A7">
      <w:pPr>
        <w:spacing w:after="0" w:line="240" w:lineRule="auto"/>
      </w:pPr>
    </w:p>
    <w:p w14:paraId="12026704" w14:textId="77777777" w:rsidR="009611A7" w:rsidRDefault="009611A7" w:rsidP="009611A7">
      <w:pPr>
        <w:spacing w:after="0" w:line="240" w:lineRule="auto"/>
      </w:pPr>
      <w:r>
        <w:t>For example, total budget: USD 1,000</w:t>
      </w:r>
    </w:p>
    <w:p w14:paraId="0136BEFA" w14:textId="77777777" w:rsidR="009611A7" w:rsidRDefault="009611A7" w:rsidP="009611A7">
      <w:pPr>
        <w:spacing w:after="0" w:line="240" w:lineRule="auto"/>
      </w:pPr>
      <w:r>
        <w:t>Total country spend per year required for getting maximum possible points for each year: USD 213.60 (i.e. 21.36% of 1</w:t>
      </w:r>
      <w:r w:rsidR="00745BF7">
        <w:t>,</w:t>
      </w:r>
      <w:r>
        <w:t>000)</w:t>
      </w:r>
    </w:p>
    <w:p w14:paraId="2C492AFA" w14:textId="77777777" w:rsidR="009611A7" w:rsidRPr="001E57D2" w:rsidRDefault="009611A7" w:rsidP="009611A7">
      <w:pPr>
        <w:spacing w:after="0" w:line="240" w:lineRule="auto"/>
        <w:rPr>
          <w:sz w:val="20"/>
          <w:szCs w:val="20"/>
        </w:rPr>
      </w:pPr>
    </w:p>
    <w:p w14:paraId="0E028E78" w14:textId="77777777" w:rsidR="009611A7" w:rsidRDefault="009611A7" w:rsidP="009611A7">
      <w:pPr>
        <w:spacing w:after="0" w:line="240" w:lineRule="auto"/>
      </w:pPr>
      <w:r>
        <w:t>Total country budgets in Year 1: USD 300 =&gt; over USD 213.60, so 100 points for year 1</w:t>
      </w:r>
    </w:p>
    <w:p w14:paraId="132041D0" w14:textId="77777777" w:rsidR="009611A7" w:rsidRDefault="009611A7" w:rsidP="009611A7">
      <w:pPr>
        <w:spacing w:after="0" w:line="240" w:lineRule="auto"/>
      </w:pPr>
      <w:r>
        <w:t>Total country budgets in Year 2: USD 150 =&gt; 70% of USD 213.60, so 70 points for year 2</w:t>
      </w:r>
    </w:p>
    <w:p w14:paraId="57898AD6" w14:textId="77777777" w:rsidR="009611A7" w:rsidRDefault="009611A7" w:rsidP="009611A7">
      <w:pPr>
        <w:spacing w:after="0" w:line="240" w:lineRule="auto"/>
      </w:pPr>
      <w:r>
        <w:t>Total country budgets in Year 3: USD 0 =&gt; 0% of USD 213.60, so 0 for year 3</w:t>
      </w:r>
    </w:p>
    <w:p w14:paraId="52A013C3" w14:textId="77777777" w:rsidR="009611A7" w:rsidRDefault="009611A7" w:rsidP="009611A7">
      <w:pPr>
        <w:spacing w:after="0" w:line="240" w:lineRule="auto"/>
      </w:pPr>
      <w:r w:rsidRPr="00D34B07">
        <w:rPr>
          <w:b/>
        </w:rPr>
        <w:t>Total data quality score</w:t>
      </w:r>
      <w:r>
        <w:t>: (100+70+0)/3 = 57</w:t>
      </w:r>
    </w:p>
    <w:p w14:paraId="62230418" w14:textId="77777777" w:rsidR="009611A7" w:rsidRDefault="009611A7" w:rsidP="009611A7">
      <w:pPr>
        <w:spacing w:after="0" w:line="240" w:lineRule="auto"/>
      </w:pPr>
    </w:p>
    <w:p w14:paraId="7460E7E7" w14:textId="77777777" w:rsidR="009611A7" w:rsidRDefault="009611A7" w:rsidP="009611A7">
      <w:pPr>
        <w:spacing w:after="0" w:line="240" w:lineRule="auto"/>
        <w:rPr>
          <w:rFonts w:ascii="Cambria" w:eastAsia="Calibri" w:hAnsi="Cambria" w:cs="Times New Roman"/>
          <w:b/>
          <w:bCs/>
          <w:color w:val="4F81BD"/>
        </w:rPr>
      </w:pPr>
      <w:r>
        <w:rPr>
          <w:rFonts w:ascii="Cambria" w:eastAsia="Calibri" w:hAnsi="Cambria" w:cs="Times New Roman"/>
          <w:b/>
          <w:bCs/>
          <w:color w:val="4F81BD"/>
        </w:rPr>
        <w:t>Current data test</w:t>
      </w:r>
    </w:p>
    <w:p w14:paraId="44AD8B4B" w14:textId="77777777" w:rsidR="009611A7" w:rsidRDefault="009611A7" w:rsidP="009611A7">
      <w:pPr>
        <w:spacing w:after="0" w:line="240" w:lineRule="auto"/>
      </w:pPr>
      <w:r>
        <w:t xml:space="preserve">The tests above are only run against current data for the purposes of the </w:t>
      </w:r>
      <w:r w:rsidR="00563C3D">
        <w:t>Index</w:t>
      </w:r>
      <w:r>
        <w:t>. Current data is defined as:</w:t>
      </w:r>
    </w:p>
    <w:p w14:paraId="50C5982F" w14:textId="77777777" w:rsidR="009611A7" w:rsidRDefault="009611A7" w:rsidP="009611A7">
      <w:pPr>
        <w:pStyle w:val="ListParagraph"/>
        <w:numPr>
          <w:ilvl w:val="0"/>
          <w:numId w:val="46"/>
        </w:numPr>
        <w:spacing w:after="0" w:line="240" w:lineRule="auto"/>
      </w:pPr>
      <w:r>
        <w:t>ongoing activities</w:t>
      </w:r>
      <w:r w:rsidR="006D799E">
        <w:t>;</w:t>
      </w:r>
      <w:r>
        <w:t xml:space="preserve"> or</w:t>
      </w:r>
    </w:p>
    <w:p w14:paraId="476C180B" w14:textId="77777777" w:rsidR="009611A7" w:rsidRDefault="009611A7" w:rsidP="009611A7">
      <w:pPr>
        <w:pStyle w:val="ListParagraph"/>
        <w:numPr>
          <w:ilvl w:val="0"/>
          <w:numId w:val="46"/>
        </w:numPr>
        <w:spacing w:after="0" w:line="240" w:lineRule="auto"/>
      </w:pPr>
      <w:r>
        <w:t>planned end dates within the previous 12 months</w:t>
      </w:r>
      <w:r w:rsidR="006D799E">
        <w:t>;</w:t>
      </w:r>
      <w:r>
        <w:t xml:space="preserve"> or</w:t>
      </w:r>
    </w:p>
    <w:p w14:paraId="18E33717" w14:textId="77777777" w:rsidR="009611A7" w:rsidRDefault="009611A7" w:rsidP="009611A7">
      <w:pPr>
        <w:pStyle w:val="ListParagraph"/>
        <w:numPr>
          <w:ilvl w:val="0"/>
          <w:numId w:val="46"/>
        </w:numPr>
        <w:spacing w:after="0" w:line="240" w:lineRule="auto"/>
      </w:pPr>
      <w:r>
        <w:t>actual end dates within the previous 12 months</w:t>
      </w:r>
      <w:r w:rsidR="006D799E">
        <w:t>;</w:t>
      </w:r>
      <w:r>
        <w:t xml:space="preserve"> or</w:t>
      </w:r>
    </w:p>
    <w:p w14:paraId="5FC51FB5" w14:textId="77777777" w:rsidR="009611A7" w:rsidRDefault="00A7066D" w:rsidP="009611A7">
      <w:pPr>
        <w:pStyle w:val="ListParagraph"/>
        <w:numPr>
          <w:ilvl w:val="0"/>
          <w:numId w:val="46"/>
        </w:numPr>
        <w:spacing w:after="0" w:line="240" w:lineRule="auto"/>
      </w:pPr>
      <w:r>
        <w:t xml:space="preserve">disbursement or expenditure </w:t>
      </w:r>
      <w:r w:rsidR="009611A7">
        <w:t>transaction dates within the previous 12 months</w:t>
      </w:r>
      <w:r w:rsidR="006D799E">
        <w:t>.</w:t>
      </w:r>
    </w:p>
    <w:p w14:paraId="285E3EFE" w14:textId="77777777" w:rsidR="009611A7" w:rsidRDefault="009611A7" w:rsidP="009611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The test expression used is:</w:t>
      </w:r>
    </w:p>
    <w:p w14:paraId="42A360C1" w14:textId="77777777" w:rsidR="009611A7" w:rsidRPr="002F0AF9" w:rsidRDefault="0042219A" w:rsidP="009611A7">
      <w:pPr>
        <w:spacing w:after="0" w:line="240" w:lineRule="auto"/>
        <w:rPr>
          <w:rFonts w:ascii="Calibri" w:eastAsia="Times New Roman" w:hAnsi="Calibri" w:cs="Times New Roman"/>
          <w:color w:val="000000"/>
          <w:lang w:eastAsia="en-GB"/>
        </w:rPr>
      </w:pPr>
      <w:r w:rsidRPr="002F0AF9">
        <w:rPr>
          <w:rFonts w:ascii="Calibri" w:eastAsia="Times New Roman" w:hAnsi="Calibri" w:cs="Times New Roman"/>
          <w:color w:val="000000"/>
          <w:lang w:eastAsia="en-GB"/>
        </w:rPr>
        <w:t>activity-date[@type='end-planned']/@iso-date|activity-date[@type='end-planned']/text()|activity-date[@type='end-actual']/@iso-date|activity-date[@type='end-actual']/text()|activity-date[@type='3']/@iso-date|activity-date[@type='3']/text()|activity-date[@type='4']/@iso-date|activity-date[@type='4']/text()|transaction-date/@iso-date (for any transaction[transaction-type/@code='D']|transaction[transaction-type/@code='E']|transaction[transaction-type/@code='3']|transaction[transaction-type/@code='4']) is less than 13 months ago?</w:t>
      </w:r>
    </w:p>
    <w:p w14:paraId="10C394B9" w14:textId="77777777" w:rsidR="0042219A" w:rsidRPr="002F0AF9" w:rsidRDefault="0042219A" w:rsidP="009611A7">
      <w:pPr>
        <w:spacing w:after="0" w:line="240" w:lineRule="auto"/>
      </w:pPr>
    </w:p>
    <w:p w14:paraId="3A2D310F" w14:textId="77777777" w:rsidR="009611A7" w:rsidRPr="002F0AF9" w:rsidRDefault="009611A7" w:rsidP="009611A7">
      <w:pPr>
        <w:spacing w:after="0" w:line="240" w:lineRule="auto"/>
        <w:rPr>
          <w:rFonts w:ascii="Cambria" w:eastAsia="Calibri" w:hAnsi="Cambria" w:cs="Times New Roman"/>
          <w:b/>
          <w:bCs/>
          <w:color w:val="4F81BD"/>
        </w:rPr>
      </w:pPr>
      <w:r w:rsidRPr="002F0AF9">
        <w:rPr>
          <w:rFonts w:ascii="Cambria" w:eastAsia="Calibri" w:hAnsi="Cambria" w:cs="Times New Roman"/>
          <w:b/>
          <w:bCs/>
          <w:color w:val="4F81BD"/>
        </w:rPr>
        <w:t>Frequency test</w:t>
      </w:r>
    </w:p>
    <w:p w14:paraId="72BFDA99" w14:textId="77777777" w:rsidR="00A34A3E" w:rsidRDefault="00A34A3E" w:rsidP="00A34A3E">
      <w:pPr>
        <w:spacing w:after="0" w:line="240" w:lineRule="auto"/>
        <w:rPr>
          <w:rFonts w:cs="Times New Roman"/>
          <w:bCs/>
          <w:kern w:val="36"/>
        </w:rPr>
      </w:pPr>
      <w:r w:rsidRPr="002F0AF9">
        <w:t xml:space="preserve">The frequency of publication is calculated based on the methodology used by the IATI Dashboard. Details of the methodology used and the frequency of publication for existing publishers can be found here: </w:t>
      </w:r>
      <w:hyperlink r:id="rId23" w:history="1">
        <w:r w:rsidRPr="002F0AF9">
          <w:rPr>
            <w:rStyle w:val="Hyperlink"/>
            <w:rFonts w:cstheme="minorBidi"/>
          </w:rPr>
          <w:t>http://dashboard.iatistandard.org/timeliness.html</w:t>
        </w:r>
      </w:hyperlink>
      <w:r>
        <w:t xml:space="preserve"> </w:t>
      </w:r>
    </w:p>
    <w:p w14:paraId="45320ABB" w14:textId="77777777" w:rsidR="00FE73FF" w:rsidRPr="00CA6284" w:rsidRDefault="00FE73FF" w:rsidP="009611A7">
      <w:pPr>
        <w:spacing w:after="0" w:line="240" w:lineRule="auto"/>
      </w:pPr>
    </w:p>
    <w:sectPr w:rsidR="00FE73FF" w:rsidRPr="00CA6284" w:rsidSect="009611A7">
      <w:headerReference w:type="default" r:id="rId24"/>
      <w:type w:val="continuous"/>
      <w:pgSz w:w="16838" w:h="11906" w:orient="landscape"/>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A5A74" w14:textId="77777777" w:rsidR="00531E73" w:rsidRDefault="00531E73" w:rsidP="000805C4">
      <w:pPr>
        <w:spacing w:after="0" w:line="240" w:lineRule="auto"/>
      </w:pPr>
      <w:r>
        <w:separator/>
      </w:r>
    </w:p>
  </w:endnote>
  <w:endnote w:type="continuationSeparator" w:id="0">
    <w:p w14:paraId="4D2D403E" w14:textId="77777777" w:rsidR="00531E73" w:rsidRDefault="00531E73" w:rsidP="0008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F0A4" w14:textId="77777777" w:rsidR="0016721C" w:rsidRDefault="00167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0690"/>
      <w:docPartObj>
        <w:docPartGallery w:val="Page Numbers (Bottom of Page)"/>
        <w:docPartUnique/>
      </w:docPartObj>
    </w:sdtPr>
    <w:sdtEndPr/>
    <w:sdtContent>
      <w:p w14:paraId="2E555059" w14:textId="77777777" w:rsidR="0016721C" w:rsidRDefault="0016721C" w:rsidP="00F01BB0">
        <w:pPr>
          <w:pStyle w:val="Footer"/>
          <w:jc w:val="right"/>
        </w:pPr>
        <w:r>
          <w:fldChar w:fldCharType="begin"/>
        </w:r>
        <w:r>
          <w:instrText xml:space="preserve"> PAGE   \* MERGEFORMAT </w:instrText>
        </w:r>
        <w:r>
          <w:fldChar w:fldCharType="separate"/>
        </w:r>
        <w:r w:rsidR="00A9409B">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430A3" w14:textId="77777777" w:rsidR="00531E73" w:rsidRDefault="00531E73" w:rsidP="000805C4">
      <w:pPr>
        <w:spacing w:after="0" w:line="240" w:lineRule="auto"/>
      </w:pPr>
      <w:r>
        <w:separator/>
      </w:r>
    </w:p>
  </w:footnote>
  <w:footnote w:type="continuationSeparator" w:id="0">
    <w:p w14:paraId="5D44542B" w14:textId="77777777" w:rsidR="00531E73" w:rsidRDefault="00531E73" w:rsidP="000805C4">
      <w:pPr>
        <w:spacing w:after="0" w:line="240" w:lineRule="auto"/>
      </w:pPr>
      <w:r>
        <w:continuationSeparator/>
      </w:r>
    </w:p>
  </w:footnote>
  <w:footnote w:id="1">
    <w:p w14:paraId="72100867" w14:textId="1C0E3036" w:rsidR="0016721C" w:rsidRDefault="0016721C" w:rsidP="00163163">
      <w:pPr>
        <w:pStyle w:val="FootnoteText"/>
        <w:spacing w:after="0" w:line="240" w:lineRule="auto"/>
      </w:pPr>
      <w:r>
        <w:rPr>
          <w:rStyle w:val="FootnoteReference"/>
        </w:rPr>
        <w:footnoteRef/>
      </w:r>
      <w:r>
        <w:t xml:space="preserve"> The data source for calculating annual spend is the OECD DAC’s Creditor Reporting System (CRS). The figures used are from the June 2015 CRS release of data for the year 2013. The asterisk (*) denotes that figures are inclusive of both ODA and OOF spending. For those organisations that do not report to the DAC, </w:t>
      </w:r>
      <w:r w:rsidRPr="006A04DC">
        <w:t>the</w:t>
      </w:r>
      <w:r>
        <w:t xml:space="preserve"> total</w:t>
      </w:r>
      <w:r w:rsidRPr="006A04DC">
        <w:t xml:space="preserve"> spend </w:t>
      </w:r>
      <w:r>
        <w:t>i</w:t>
      </w:r>
      <w:r w:rsidRPr="006A04DC">
        <w:t>s calculated based on the mos</w:t>
      </w:r>
      <w:r>
        <w:t>t recent annual financial report or other official data sources. Where official data sources are not available, the figures are obtained from news articles or other grey literature.</w:t>
      </w:r>
    </w:p>
  </w:footnote>
  <w:footnote w:id="2">
    <w:p w14:paraId="6C1F3CCB" w14:textId="77777777" w:rsidR="0016721C" w:rsidRDefault="0016721C" w:rsidP="00163163">
      <w:pPr>
        <w:pStyle w:val="FootnoteText"/>
        <w:spacing w:after="0" w:line="240" w:lineRule="auto"/>
      </w:pPr>
      <w:r>
        <w:rPr>
          <w:rStyle w:val="FootnoteReference"/>
        </w:rPr>
        <w:footnoteRef/>
      </w:r>
      <w:r>
        <w:t xml:space="preserve"> Calculated based on DAC CRS 2013 ODA spend, information provided in annual reports or the donor’s own data. Where official data sources are not available, the largest recipient is selected based on news articles and other grey literature. Where figures for 2013 are not available, the most recent figures available are used. For the EC’s DG DEVCO and DG Enlargement, the largest recipient of funds managed centrally has been selected.</w:t>
      </w:r>
    </w:p>
  </w:footnote>
  <w:footnote w:id="3">
    <w:p w14:paraId="056C2ED0" w14:textId="77777777" w:rsidR="0016721C" w:rsidRDefault="0016721C" w:rsidP="000B0169">
      <w:pPr>
        <w:pStyle w:val="FootnoteText"/>
        <w:spacing w:after="0" w:line="240" w:lineRule="auto"/>
      </w:pPr>
      <w:r>
        <w:rPr>
          <w:rStyle w:val="FootnoteReference"/>
        </w:rPr>
        <w:footnoteRef/>
      </w:r>
      <w:r>
        <w:t xml:space="preserve"> The Common Standard template is available from the OECD DAC website: </w:t>
      </w:r>
      <w:hyperlink r:id="rId1" w:history="1">
        <w:r w:rsidRPr="0074066E">
          <w:rPr>
            <w:rStyle w:val="Hyperlink"/>
          </w:rPr>
          <w:t>http://www.oecd.org/dac/aid-architecture/acommonstandard.htm</w:t>
        </w:r>
      </w:hyperlink>
    </w:p>
  </w:footnote>
  <w:footnote w:id="4">
    <w:p w14:paraId="224C86CE" w14:textId="77777777" w:rsidR="0016721C" w:rsidRDefault="0016721C" w:rsidP="00584B39">
      <w:pPr>
        <w:pStyle w:val="FootnoteText"/>
        <w:spacing w:after="0" w:line="240" w:lineRule="auto"/>
      </w:pPr>
      <w:r>
        <w:rPr>
          <w:rStyle w:val="FootnoteReference"/>
          <w:rFonts w:eastAsiaTheme="majorEastAsia"/>
        </w:rPr>
        <w:footnoteRef/>
      </w:r>
      <w:r>
        <w:t xml:space="preserve"> Apart from for organisation-level documents covered by indicators 5, 6, 7 and 11, where only a single document is expected.</w:t>
      </w:r>
    </w:p>
  </w:footnote>
  <w:footnote w:id="5">
    <w:p w14:paraId="6CDC4AE0" w14:textId="35532063" w:rsidR="0016721C" w:rsidRDefault="0016721C" w:rsidP="00163163">
      <w:pPr>
        <w:pStyle w:val="FootnoteText"/>
        <w:spacing w:after="0" w:line="240" w:lineRule="auto"/>
      </w:pPr>
      <w:r>
        <w:rPr>
          <w:rStyle w:val="FootnoteReference"/>
        </w:rPr>
        <w:footnoteRef/>
      </w:r>
      <w:r>
        <w:t xml:space="preserve"> Note that indicator 8 (country strategy) follows a slightly different scoring approach. The details of this are provided </w:t>
      </w:r>
      <w:r w:rsidRPr="004514D7">
        <w:t>on page 2</w:t>
      </w:r>
      <w:r>
        <w:t>6</w:t>
      </w:r>
      <w:r w:rsidRPr="004514D7">
        <w:t>.</w:t>
      </w:r>
    </w:p>
  </w:footnote>
  <w:footnote w:id="6">
    <w:p w14:paraId="5A315C80" w14:textId="77777777" w:rsidR="0016721C" w:rsidRPr="001A66FE" w:rsidRDefault="0016721C" w:rsidP="008C0FEE">
      <w:pPr>
        <w:spacing w:after="0" w:line="240" w:lineRule="auto"/>
        <w:contextualSpacing/>
        <w:jc w:val="both"/>
        <w:rPr>
          <w:sz w:val="20"/>
          <w:szCs w:val="20"/>
        </w:rPr>
      </w:pPr>
      <w:r w:rsidRPr="001A66FE">
        <w:rPr>
          <w:rStyle w:val="FootnoteReference"/>
          <w:sz w:val="20"/>
          <w:szCs w:val="20"/>
        </w:rPr>
        <w:footnoteRef/>
      </w:r>
      <w:r w:rsidRPr="001A66FE">
        <w:rPr>
          <w:sz w:val="20"/>
          <w:szCs w:val="20"/>
        </w:rPr>
        <w:t xml:space="preserve"> Activities that </w:t>
      </w:r>
      <w:r>
        <w:rPr>
          <w:sz w:val="20"/>
          <w:szCs w:val="20"/>
        </w:rPr>
        <w:t xml:space="preserve">finish </w:t>
      </w:r>
      <w:r w:rsidRPr="001A66FE">
        <w:rPr>
          <w:sz w:val="20"/>
          <w:szCs w:val="20"/>
        </w:rPr>
        <w:t xml:space="preserve">more than 12 months </w:t>
      </w:r>
      <w:r>
        <w:rPr>
          <w:sz w:val="20"/>
          <w:szCs w:val="20"/>
        </w:rPr>
        <w:t xml:space="preserve">prior to data collection </w:t>
      </w:r>
      <w:r w:rsidRPr="001A66FE">
        <w:rPr>
          <w:sz w:val="20"/>
          <w:szCs w:val="20"/>
        </w:rPr>
        <w:t xml:space="preserve">but are still receiving loan or interest repayments </w:t>
      </w:r>
      <w:r>
        <w:rPr>
          <w:sz w:val="20"/>
          <w:szCs w:val="20"/>
        </w:rPr>
        <w:t>are therefore excluded from the tests.</w:t>
      </w:r>
    </w:p>
  </w:footnote>
  <w:footnote w:id="7">
    <w:p w14:paraId="32B66E59" w14:textId="299C62A0" w:rsidR="0016721C" w:rsidRDefault="0016721C" w:rsidP="008C0FEE">
      <w:pPr>
        <w:pStyle w:val="FootnoteText"/>
        <w:spacing w:after="0" w:line="240" w:lineRule="auto"/>
        <w:jc w:val="both"/>
      </w:pPr>
      <w:r>
        <w:rPr>
          <w:rStyle w:val="FootnoteReference"/>
          <w:rFonts w:eastAsiaTheme="majorEastAsia"/>
        </w:rPr>
        <w:footnoteRef/>
      </w:r>
      <w:r>
        <w:t xml:space="preserve"> Publish What You Fund ran a public consultation on the tests used in January 2014 for the 2014 Index. </w:t>
      </w:r>
      <w:r w:rsidR="008C0FEE">
        <w:t xml:space="preserve">We will continue to revisit the tests, particularly those used for measuring country strategy papers and disaggregated budgets and always welcome feedback and comments on further improvements. </w:t>
      </w:r>
      <w:r>
        <w:t>More information is available at:</w:t>
      </w:r>
      <w:r w:rsidRPr="00BB55A3">
        <w:t xml:space="preserve"> </w:t>
      </w:r>
      <w:hyperlink r:id="rId2" w:history="1">
        <w:r w:rsidRPr="00150566">
          <w:rPr>
            <w:rStyle w:val="Hyperlink"/>
          </w:rPr>
          <w:t>https://github.com/pwyf/index-data-quality-tests/</w:t>
        </w:r>
      </w:hyperlink>
      <w:r w:rsidRPr="006A1357">
        <w:t>. Please note that users need</w:t>
      </w:r>
      <w:r>
        <w:t>ed</w:t>
      </w:r>
      <w:r w:rsidRPr="006A1357">
        <w:t xml:space="preserve"> to register on GitHub </w:t>
      </w:r>
      <w:r>
        <w:t xml:space="preserve">in order to comment on the tests; </w:t>
      </w:r>
      <w:r w:rsidRPr="006A1357">
        <w:t>registration is free of c</w:t>
      </w:r>
      <w:r>
        <w:t>harge</w:t>
      </w:r>
      <w:r w:rsidR="008C0FEE" w:rsidRPr="008C0FEE">
        <w:t>.</w:t>
      </w:r>
      <w:r w:rsidR="008C0FEE">
        <w:t xml:space="preserve"> </w:t>
      </w:r>
    </w:p>
  </w:footnote>
  <w:footnote w:id="8">
    <w:p w14:paraId="1BB409A0" w14:textId="12892E9F" w:rsidR="0016721C" w:rsidRPr="00C504EB" w:rsidRDefault="0016721C" w:rsidP="005D1BE7">
      <w:pPr>
        <w:pStyle w:val="FootnoteText"/>
        <w:spacing w:after="0" w:line="240" w:lineRule="auto"/>
      </w:pPr>
      <w:r>
        <w:rPr>
          <w:rStyle w:val="FootnoteReference"/>
          <w:rFonts w:eastAsiaTheme="majorEastAsia"/>
        </w:rPr>
        <w:footnoteRef/>
      </w:r>
      <w:r>
        <w:t xml:space="preserve"> </w:t>
      </w:r>
      <w:r w:rsidRPr="00423FCC">
        <w:t xml:space="preserve">The complete approach to assessing and scoring FOIA and disclosure policy quality </w:t>
      </w:r>
      <w:r>
        <w:t>is</w:t>
      </w:r>
      <w:r w:rsidRPr="00423FCC">
        <w:t xml:space="preserve"> </w:t>
      </w:r>
      <w:r w:rsidRPr="004514D7">
        <w:t>detailed in box 2 on p.1</w:t>
      </w:r>
      <w:r>
        <w:t>8</w:t>
      </w:r>
      <w:r w:rsidRPr="004514D7">
        <w:t>.</w:t>
      </w:r>
    </w:p>
  </w:footnote>
  <w:footnote w:id="9">
    <w:p w14:paraId="64E208ED" w14:textId="77777777" w:rsidR="0016721C" w:rsidRPr="00C9490D" w:rsidRDefault="0016721C" w:rsidP="00C9490D">
      <w:pPr>
        <w:pStyle w:val="FootnoteText"/>
        <w:spacing w:after="0" w:line="240" w:lineRule="auto"/>
      </w:pPr>
      <w:r w:rsidRPr="00C9490D">
        <w:rPr>
          <w:rStyle w:val="FootnoteReference"/>
        </w:rPr>
        <w:footnoteRef/>
      </w:r>
      <w:r w:rsidRPr="00C9490D">
        <w:t xml:space="preserve"> See</w:t>
      </w:r>
      <w:r>
        <w:t>:</w:t>
      </w:r>
      <w:r w:rsidRPr="00C9490D">
        <w:t xml:space="preserve"> </w:t>
      </w:r>
      <w:hyperlink r:id="rId3" w:history="1">
        <w:r w:rsidRPr="00C9490D">
          <w:rPr>
            <w:rStyle w:val="Hyperlink"/>
            <w:rFonts w:eastAsiaTheme="majorEastAsia"/>
          </w:rPr>
          <w:t>http://tracker.publishwhatyoufund.org/</w:t>
        </w:r>
      </w:hyperlink>
    </w:p>
  </w:footnote>
  <w:footnote w:id="10">
    <w:p w14:paraId="4E7D6914" w14:textId="77777777" w:rsidR="0016721C" w:rsidRPr="00655993" w:rsidRDefault="0016721C" w:rsidP="00655993">
      <w:pPr>
        <w:pStyle w:val="FootnoteText"/>
        <w:spacing w:after="0" w:line="240" w:lineRule="auto"/>
      </w:pPr>
      <w:r w:rsidRPr="00655993">
        <w:rPr>
          <w:rStyle w:val="FootnoteReference"/>
        </w:rPr>
        <w:footnoteRef/>
      </w:r>
      <w:r w:rsidRPr="00655993">
        <w:t xml:space="preserve"> </w:t>
      </w:r>
      <w:r>
        <w:t xml:space="preserve">The Global RTI Rating is produced by the </w:t>
      </w:r>
      <w:r w:rsidRPr="00B36026">
        <w:t>Centre for Law and Democracy and Access Info Europe</w:t>
      </w:r>
      <w:r>
        <w:t xml:space="preserve">. </w:t>
      </w:r>
      <w:r w:rsidRPr="00655993">
        <w:t xml:space="preserve">For the methodology and dataset, visit: </w:t>
      </w:r>
      <w:hyperlink r:id="rId4" w:history="1">
        <w:r w:rsidRPr="00655993">
          <w:rPr>
            <w:rStyle w:val="Hyperlink"/>
          </w:rPr>
          <w:t>http://www.rti-rating.org/index.html</w:t>
        </w:r>
      </w:hyperlink>
    </w:p>
  </w:footnote>
  <w:footnote w:id="11">
    <w:p w14:paraId="3C34FD35" w14:textId="77777777" w:rsidR="0016721C" w:rsidRDefault="0016721C" w:rsidP="00BB68EC">
      <w:pPr>
        <w:pStyle w:val="FootnoteText"/>
        <w:spacing w:after="0" w:line="240" w:lineRule="auto"/>
      </w:pPr>
      <w:r>
        <w:rPr>
          <w:rStyle w:val="FootnoteReference"/>
        </w:rPr>
        <w:footnoteRef/>
      </w:r>
      <w:r>
        <w:t xml:space="preserve"> For more information on the data quality tests, visit the data quality tool page on the Aid Transparency Tracker: </w:t>
      </w:r>
      <w:hyperlink r:id="rId5" w:history="1">
        <w:r w:rsidRPr="00F17771">
          <w:rPr>
            <w:rStyle w:val="Hyperlink"/>
            <w:rFonts w:eastAsiaTheme="majorEastAsia"/>
          </w:rPr>
          <w:t>http://tracker.publishwhatyoufund.org/publish/about/</w:t>
        </w:r>
      </w:hyperlink>
    </w:p>
  </w:footnote>
  <w:footnote w:id="12">
    <w:p w14:paraId="57E2A508" w14:textId="77777777" w:rsidR="0016721C" w:rsidRDefault="0016721C" w:rsidP="00863863">
      <w:pPr>
        <w:pStyle w:val="FootnoteText"/>
        <w:spacing w:after="0" w:line="240" w:lineRule="auto"/>
      </w:pPr>
      <w:r>
        <w:rPr>
          <w:rStyle w:val="FootnoteReference"/>
        </w:rPr>
        <w:footnoteRef/>
      </w:r>
      <w:r>
        <w:t xml:space="preserve"> For IATI data to be taken into account, it needs to be current and pass a minimum threshold of</w:t>
      </w:r>
      <w:r w:rsidRPr="006A23AA">
        <w:t xml:space="preserve"> 20% or more of the organisation’s country programmable aid budget.</w:t>
      </w:r>
    </w:p>
  </w:footnote>
  <w:footnote w:id="13">
    <w:p w14:paraId="2CE20863" w14:textId="77777777" w:rsidR="0016721C" w:rsidRDefault="0016721C" w:rsidP="00D22CB8">
      <w:pPr>
        <w:pStyle w:val="FootnoteText"/>
        <w:spacing w:after="0" w:line="240" w:lineRule="auto"/>
      </w:pPr>
      <w:r>
        <w:rPr>
          <w:rStyle w:val="FootnoteReference"/>
        </w:rPr>
        <w:footnoteRef/>
      </w:r>
      <w:r>
        <w:t xml:space="preserve"> The agreed template is available from the OECD website: </w:t>
      </w:r>
      <w:hyperlink r:id="rId6" w:history="1">
        <w:r>
          <w:rPr>
            <w:rStyle w:val="Hyperlink"/>
          </w:rPr>
          <w:t>http://www.oecd.org/dac/aid-architecture/acommonstandard.htm</w:t>
        </w:r>
      </w:hyperlink>
    </w:p>
  </w:footnote>
  <w:footnote w:id="14">
    <w:p w14:paraId="766887B1" w14:textId="77777777" w:rsidR="0016721C" w:rsidRPr="00611778" w:rsidRDefault="0016721C" w:rsidP="00611778">
      <w:pPr>
        <w:pStyle w:val="FootnoteText"/>
        <w:spacing w:after="0" w:line="240" w:lineRule="auto"/>
      </w:pPr>
      <w:r w:rsidRPr="00796694">
        <w:rPr>
          <w:rStyle w:val="FootnoteReference"/>
        </w:rPr>
        <w:footnoteRef/>
      </w:r>
      <w:r w:rsidRPr="00796694">
        <w:t xml:space="preserve"> </w:t>
      </w:r>
      <w:r w:rsidRPr="0087630A">
        <w:t>Calculated as 21.36% based on OECD DAC 2011 data.</w:t>
      </w:r>
      <w:r w:rsidRPr="00611778">
        <w:t xml:space="preserve"> </w:t>
      </w:r>
    </w:p>
  </w:footnote>
  <w:footnote w:id="15">
    <w:p w14:paraId="232A8751" w14:textId="347A72C5" w:rsidR="0016721C" w:rsidRDefault="0016721C" w:rsidP="00611778">
      <w:pPr>
        <w:pStyle w:val="FootnoteText"/>
        <w:spacing w:after="0" w:line="240" w:lineRule="auto"/>
      </w:pPr>
      <w:r w:rsidRPr="00611778">
        <w:rPr>
          <w:rStyle w:val="FootnoteReference"/>
        </w:rPr>
        <w:footnoteRef/>
      </w:r>
      <w:r w:rsidRPr="00611778">
        <w:t xml:space="preserve"> In order to score the maximum points on the forward budget indicators, budgets need to run up to a minimum of December 201</w:t>
      </w:r>
      <w:r>
        <w:t>8</w:t>
      </w:r>
      <w:r w:rsidRPr="00611778">
        <w:t>. The number of days used in the tests help ensure that budgets that are mid-cycle are still captured but that they run up to the required end date of 31</w:t>
      </w:r>
      <w:r w:rsidRPr="00611778">
        <w:rPr>
          <w:vertAlign w:val="superscript"/>
        </w:rPr>
        <w:t xml:space="preserve"> </w:t>
      </w:r>
      <w:r w:rsidRPr="00611778">
        <w:t>December 201</w:t>
      </w:r>
      <w:r>
        <w:t>6</w:t>
      </w:r>
      <w:r w:rsidRPr="00611778">
        <w:t>, 201</w:t>
      </w:r>
      <w:r>
        <w:t>7</w:t>
      </w:r>
      <w:r w:rsidRPr="00611778">
        <w:t xml:space="preserve"> and 201</w:t>
      </w:r>
      <w:r>
        <w:t>8</w:t>
      </w:r>
      <w:r w:rsidRPr="00611778">
        <w:t xml:space="preserve"> to score the points for each year.</w:t>
      </w:r>
      <w:r>
        <w:t xml:space="preserve"> </w:t>
      </w:r>
    </w:p>
  </w:footnote>
  <w:footnote w:id="16">
    <w:p w14:paraId="3195E533" w14:textId="77777777" w:rsidR="0016721C" w:rsidRDefault="0016721C" w:rsidP="002A5DEC">
      <w:pPr>
        <w:pStyle w:val="FootnoteText"/>
        <w:spacing w:after="0" w:line="240" w:lineRule="auto"/>
      </w:pPr>
      <w:r>
        <w:rPr>
          <w:rStyle w:val="FootnoteReference"/>
        </w:rPr>
        <w:footnoteRef/>
      </w:r>
      <w:r>
        <w:t xml:space="preserve"> Where more than one test is used for a single indicator, the total available data quality points are divided equally amongst the tests. For example: For indicator 14 (title), half the quality points are available for providing the tile for every activity and the remaining half are available if the titles have more than 10 characters. </w:t>
      </w:r>
    </w:p>
  </w:footnote>
  <w:footnote w:id="17">
    <w:p w14:paraId="5E86A6E6" w14:textId="77777777" w:rsidR="0016721C" w:rsidRDefault="0016721C" w:rsidP="009611A7">
      <w:pPr>
        <w:pStyle w:val="FootnoteText"/>
        <w:spacing w:after="0" w:line="240" w:lineRule="auto"/>
      </w:pPr>
      <w:r>
        <w:rPr>
          <w:rStyle w:val="FootnoteReference"/>
        </w:rPr>
        <w:footnoteRef/>
      </w:r>
      <w:r>
        <w:t xml:space="preserve"> In order to score the maximum points on the forward budget indicators, budgets need to run up to a minimum of December 2017. The number of days used in the tests help ensure that budgets that are mid-cycle are still captured but that they run up to the required end date of 31</w:t>
      </w:r>
      <w:r>
        <w:rPr>
          <w:vertAlign w:val="superscript"/>
        </w:rPr>
        <w:t xml:space="preserve"> </w:t>
      </w:r>
      <w:r>
        <w:t xml:space="preserve">December 2015, 2016 and 2017 to score the points for each year. </w:t>
      </w:r>
    </w:p>
  </w:footnote>
  <w:footnote w:id="18">
    <w:p w14:paraId="6EBDA96E" w14:textId="77777777" w:rsidR="0016721C" w:rsidRDefault="0016721C" w:rsidP="009611A7">
      <w:pPr>
        <w:pStyle w:val="FootnoteText"/>
        <w:spacing w:after="0" w:line="240" w:lineRule="auto"/>
      </w:pPr>
      <w:r>
        <w:rPr>
          <w:rStyle w:val="FootnoteReference"/>
        </w:rPr>
        <w:footnoteRef/>
      </w:r>
      <w:r>
        <w:t xml:space="preserve"> Calculated as 21.36% based on OECD DAC 2011 data.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E29D" w14:textId="77777777" w:rsidR="0016721C" w:rsidRDefault="00167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7EAC2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1F4AB3"/>
    <w:multiLevelType w:val="hybridMultilevel"/>
    <w:tmpl w:val="F910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3724D"/>
    <w:multiLevelType w:val="hybridMultilevel"/>
    <w:tmpl w:val="AD9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0540E"/>
    <w:multiLevelType w:val="hybridMultilevel"/>
    <w:tmpl w:val="D0748AC6"/>
    <w:lvl w:ilvl="0" w:tplc="FDD0D71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94971"/>
    <w:multiLevelType w:val="hybridMultilevel"/>
    <w:tmpl w:val="0DF6E7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9B5CFF"/>
    <w:multiLevelType w:val="hybridMultilevel"/>
    <w:tmpl w:val="31A62D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D1907"/>
    <w:multiLevelType w:val="hybridMultilevel"/>
    <w:tmpl w:val="3C088BE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475233"/>
    <w:multiLevelType w:val="hybridMultilevel"/>
    <w:tmpl w:val="2182D3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FD31E80"/>
    <w:multiLevelType w:val="hybridMultilevel"/>
    <w:tmpl w:val="91EA3AD6"/>
    <w:lvl w:ilvl="0" w:tplc="08090001">
      <w:start w:val="1"/>
      <w:numFmt w:val="bullet"/>
      <w:lvlText w:val=""/>
      <w:lvlJc w:val="left"/>
      <w:pPr>
        <w:ind w:left="144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3E0501"/>
    <w:multiLevelType w:val="hybridMultilevel"/>
    <w:tmpl w:val="9E441EC6"/>
    <w:lvl w:ilvl="0" w:tplc="0809000F">
      <w:start w:val="1"/>
      <w:numFmt w:val="decimal"/>
      <w:lvlText w:val="%1."/>
      <w:lvlJc w:val="left"/>
      <w:pPr>
        <w:ind w:left="360" w:hanging="360"/>
      </w:pPr>
    </w:lvl>
    <w:lvl w:ilvl="1" w:tplc="08090019">
      <w:start w:val="1"/>
      <w:numFmt w:val="decimal"/>
      <w:lvlText w:val="%2."/>
      <w:lvlJc w:val="left"/>
      <w:pPr>
        <w:tabs>
          <w:tab w:val="num" w:pos="1080"/>
        </w:tabs>
        <w:ind w:left="1080" w:hanging="360"/>
      </w:pPr>
    </w:lvl>
    <w:lvl w:ilvl="2" w:tplc="0809001B">
      <w:start w:val="1"/>
      <w:numFmt w:val="decimal"/>
      <w:lvlText w:val="%3."/>
      <w:lvlJc w:val="left"/>
      <w:pPr>
        <w:tabs>
          <w:tab w:val="num" w:pos="1800"/>
        </w:tabs>
        <w:ind w:left="1800" w:hanging="360"/>
      </w:pPr>
    </w:lvl>
    <w:lvl w:ilvl="3" w:tplc="0809000F">
      <w:start w:val="1"/>
      <w:numFmt w:val="decimal"/>
      <w:lvlText w:val="%4."/>
      <w:lvlJc w:val="left"/>
      <w:pPr>
        <w:tabs>
          <w:tab w:val="num" w:pos="2520"/>
        </w:tabs>
        <w:ind w:left="2520" w:hanging="360"/>
      </w:pPr>
    </w:lvl>
    <w:lvl w:ilvl="4" w:tplc="08090019">
      <w:start w:val="1"/>
      <w:numFmt w:val="decimal"/>
      <w:lvlText w:val="%5."/>
      <w:lvlJc w:val="left"/>
      <w:pPr>
        <w:tabs>
          <w:tab w:val="num" w:pos="3240"/>
        </w:tabs>
        <w:ind w:left="3240" w:hanging="360"/>
      </w:pPr>
    </w:lvl>
    <w:lvl w:ilvl="5" w:tplc="0809001B">
      <w:start w:val="1"/>
      <w:numFmt w:val="decimal"/>
      <w:lvlText w:val="%6."/>
      <w:lvlJc w:val="left"/>
      <w:pPr>
        <w:tabs>
          <w:tab w:val="num" w:pos="3960"/>
        </w:tabs>
        <w:ind w:left="3960" w:hanging="360"/>
      </w:pPr>
    </w:lvl>
    <w:lvl w:ilvl="6" w:tplc="0809000F">
      <w:start w:val="1"/>
      <w:numFmt w:val="decimal"/>
      <w:lvlText w:val="%7."/>
      <w:lvlJc w:val="left"/>
      <w:pPr>
        <w:tabs>
          <w:tab w:val="num" w:pos="4680"/>
        </w:tabs>
        <w:ind w:left="4680" w:hanging="360"/>
      </w:pPr>
    </w:lvl>
    <w:lvl w:ilvl="7" w:tplc="08090019">
      <w:start w:val="1"/>
      <w:numFmt w:val="decimal"/>
      <w:lvlText w:val="%8."/>
      <w:lvlJc w:val="left"/>
      <w:pPr>
        <w:tabs>
          <w:tab w:val="num" w:pos="5400"/>
        </w:tabs>
        <w:ind w:left="5400" w:hanging="360"/>
      </w:pPr>
    </w:lvl>
    <w:lvl w:ilvl="8" w:tplc="0809001B">
      <w:start w:val="1"/>
      <w:numFmt w:val="decimal"/>
      <w:lvlText w:val="%9."/>
      <w:lvlJc w:val="left"/>
      <w:pPr>
        <w:tabs>
          <w:tab w:val="num" w:pos="6120"/>
        </w:tabs>
        <w:ind w:left="6120" w:hanging="360"/>
      </w:pPr>
    </w:lvl>
  </w:abstractNum>
  <w:abstractNum w:abstractNumId="10" w15:restartNumberingAfterBreak="0">
    <w:nsid w:val="294B4CBA"/>
    <w:multiLevelType w:val="hybridMultilevel"/>
    <w:tmpl w:val="9E441EC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35320C70"/>
    <w:multiLevelType w:val="hybridMultilevel"/>
    <w:tmpl w:val="9AE25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2A68A3"/>
    <w:multiLevelType w:val="hybridMultilevel"/>
    <w:tmpl w:val="9AE25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001C93"/>
    <w:multiLevelType w:val="multilevel"/>
    <w:tmpl w:val="B68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07A5D"/>
    <w:multiLevelType w:val="hybridMultilevel"/>
    <w:tmpl w:val="51963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3961316"/>
    <w:multiLevelType w:val="hybridMultilevel"/>
    <w:tmpl w:val="AD7CE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576DB8"/>
    <w:multiLevelType w:val="multilevel"/>
    <w:tmpl w:val="1BFE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B5E36"/>
    <w:multiLevelType w:val="hybridMultilevel"/>
    <w:tmpl w:val="F6E2EC6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CA079F"/>
    <w:multiLevelType w:val="hybridMultilevel"/>
    <w:tmpl w:val="8D0E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011974"/>
    <w:multiLevelType w:val="multilevel"/>
    <w:tmpl w:val="6D0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77C82"/>
    <w:multiLevelType w:val="hybridMultilevel"/>
    <w:tmpl w:val="AE52F77A"/>
    <w:lvl w:ilvl="0" w:tplc="265CF070">
      <w:start w:val="2012"/>
      <w:numFmt w:val="bullet"/>
      <w:lvlText w:val="•"/>
      <w:lvlJc w:val="left"/>
      <w:pPr>
        <w:ind w:left="1212" w:hanging="360"/>
      </w:pPr>
      <w:rPr>
        <w:rFonts w:ascii="Calibri" w:eastAsia="Calibri" w:hAnsi="Calibri"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59B00D9B"/>
    <w:multiLevelType w:val="hybridMultilevel"/>
    <w:tmpl w:val="22E8A1E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15:restartNumberingAfterBreak="0">
    <w:nsid w:val="5BCA2743"/>
    <w:multiLevelType w:val="hybridMultilevel"/>
    <w:tmpl w:val="2DC438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1837D7"/>
    <w:multiLevelType w:val="hybridMultilevel"/>
    <w:tmpl w:val="22E8A1E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15:restartNumberingAfterBreak="0">
    <w:nsid w:val="5DEF6E60"/>
    <w:multiLevelType w:val="hybridMultilevel"/>
    <w:tmpl w:val="61CC5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A238BB"/>
    <w:multiLevelType w:val="hybridMultilevel"/>
    <w:tmpl w:val="1BFCE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E0020A"/>
    <w:multiLevelType w:val="hybridMultilevel"/>
    <w:tmpl w:val="31A62D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FD3E8C"/>
    <w:multiLevelType w:val="hybridMultilevel"/>
    <w:tmpl w:val="73CE362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6B5434"/>
    <w:multiLevelType w:val="hybridMultilevel"/>
    <w:tmpl w:val="1CD21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0364C7"/>
    <w:multiLevelType w:val="hybridMultilevel"/>
    <w:tmpl w:val="029C5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085843"/>
    <w:multiLevelType w:val="hybridMultilevel"/>
    <w:tmpl w:val="8216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733E4A"/>
    <w:multiLevelType w:val="hybridMultilevel"/>
    <w:tmpl w:val="A35695DA"/>
    <w:lvl w:ilvl="0" w:tplc="3B78B3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BD60B0"/>
    <w:multiLevelType w:val="multilevel"/>
    <w:tmpl w:val="1F3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31D9"/>
    <w:multiLevelType w:val="multilevel"/>
    <w:tmpl w:val="36D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563A1"/>
    <w:multiLevelType w:val="hybridMultilevel"/>
    <w:tmpl w:val="CFFA6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6D652C"/>
    <w:multiLevelType w:val="hybridMultilevel"/>
    <w:tmpl w:val="22DEE3C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1377CE"/>
    <w:multiLevelType w:val="hybridMultilevel"/>
    <w:tmpl w:val="BF5804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1B162F"/>
    <w:multiLevelType w:val="hybridMultilevel"/>
    <w:tmpl w:val="6E2AD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5"/>
  </w:num>
  <w:num w:numId="5">
    <w:abstractNumId w:val="28"/>
  </w:num>
  <w:num w:numId="6">
    <w:abstractNumId w:val="25"/>
  </w:num>
  <w:num w:numId="7">
    <w:abstractNumId w:val="0"/>
  </w:num>
  <w:num w:numId="8">
    <w:abstractNumId w:val="20"/>
  </w:num>
  <w:num w:numId="9">
    <w:abstractNumId w:val="7"/>
  </w:num>
  <w:num w:numId="10">
    <w:abstractNumId w:val="26"/>
  </w:num>
  <w:num w:numId="11">
    <w:abstractNumId w:val="3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1"/>
  </w:num>
  <w:num w:numId="15">
    <w:abstractNumId w:val="22"/>
  </w:num>
  <w:num w:numId="16">
    <w:abstractNumId w:val="1"/>
  </w:num>
  <w:num w:numId="17">
    <w:abstractNumId w:val="30"/>
  </w:num>
  <w:num w:numId="18">
    <w:abstractNumId w:val="18"/>
  </w:num>
  <w:num w:numId="19">
    <w:abstractNumId w:val="14"/>
  </w:num>
  <w:num w:numId="20">
    <w:abstractNumId w:val="16"/>
  </w:num>
  <w:num w:numId="21">
    <w:abstractNumId w:val="17"/>
  </w:num>
  <w:num w:numId="22">
    <w:abstractNumId w:val="12"/>
  </w:num>
  <w:num w:numId="23">
    <w:abstractNumId w:val="24"/>
  </w:num>
  <w:num w:numId="24">
    <w:abstractNumId w:val="31"/>
  </w:num>
  <w:num w:numId="25">
    <w:abstractNumId w:val="36"/>
  </w:num>
  <w:num w:numId="26">
    <w:abstractNumId w:val="0"/>
  </w:num>
  <w:num w:numId="27">
    <w:abstractNumId w:val="0"/>
  </w:num>
  <w:num w:numId="28">
    <w:abstractNumId w:val="0"/>
  </w:num>
  <w:num w:numId="29">
    <w:abstractNumId w:val="35"/>
  </w:num>
  <w:num w:numId="30">
    <w:abstractNumId w:val="5"/>
  </w:num>
  <w:num w:numId="31">
    <w:abstractNumId w:val="6"/>
  </w:num>
  <w:num w:numId="32">
    <w:abstractNumId w:val="3"/>
  </w:num>
  <w:num w:numId="33">
    <w:abstractNumId w:val="13"/>
  </w:num>
  <w:num w:numId="34">
    <w:abstractNumId w:val="19"/>
  </w:num>
  <w:num w:numId="35">
    <w:abstractNumId w:val="0"/>
  </w:num>
  <w:num w:numId="36">
    <w:abstractNumId w:val="0"/>
  </w:num>
  <w:num w:numId="37">
    <w:abstractNumId w:val="0"/>
  </w:num>
  <w:num w:numId="38">
    <w:abstractNumId w:val="0"/>
  </w:num>
  <w:num w:numId="39">
    <w:abstractNumId w:val="0"/>
  </w:num>
  <w:num w:numId="40">
    <w:abstractNumId w:val="0"/>
  </w:num>
  <w:num w:numId="41">
    <w:abstractNumId w:val="34"/>
  </w:num>
  <w:num w:numId="42">
    <w:abstractNumId w:val="9"/>
  </w:num>
  <w:num w:numId="43">
    <w:abstractNumId w:val="10"/>
  </w:num>
  <w:num w:numId="44">
    <w:abstractNumId w:val="8"/>
  </w:num>
  <w:num w:numId="45">
    <w:abstractNumId w:val="27"/>
  </w:num>
  <w:num w:numId="46">
    <w:abstractNumId w:val="29"/>
  </w:num>
  <w:num w:numId="47">
    <w:abstractNumId w:val="37"/>
  </w:num>
  <w:num w:numId="48">
    <w:abstractNumId w:val="23"/>
  </w:num>
  <w:num w:numId="49">
    <w:abstractNumId w:val="3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C4"/>
    <w:rsid w:val="00000519"/>
    <w:rsid w:val="00002582"/>
    <w:rsid w:val="000044E8"/>
    <w:rsid w:val="000052F3"/>
    <w:rsid w:val="0000531A"/>
    <w:rsid w:val="00005CC5"/>
    <w:rsid w:val="000062EF"/>
    <w:rsid w:val="00006723"/>
    <w:rsid w:val="000069DF"/>
    <w:rsid w:val="0000739C"/>
    <w:rsid w:val="0000782D"/>
    <w:rsid w:val="00012F50"/>
    <w:rsid w:val="00017EB5"/>
    <w:rsid w:val="00020EA7"/>
    <w:rsid w:val="00020EE5"/>
    <w:rsid w:val="00021C0C"/>
    <w:rsid w:val="000233E0"/>
    <w:rsid w:val="000242E9"/>
    <w:rsid w:val="0002636F"/>
    <w:rsid w:val="00027A5D"/>
    <w:rsid w:val="000308B1"/>
    <w:rsid w:val="00035A7B"/>
    <w:rsid w:val="00036641"/>
    <w:rsid w:val="00036B72"/>
    <w:rsid w:val="00040928"/>
    <w:rsid w:val="00040D72"/>
    <w:rsid w:val="00041520"/>
    <w:rsid w:val="0004424A"/>
    <w:rsid w:val="00044366"/>
    <w:rsid w:val="000445AB"/>
    <w:rsid w:val="00045D18"/>
    <w:rsid w:val="00046E27"/>
    <w:rsid w:val="00054957"/>
    <w:rsid w:val="00054A1F"/>
    <w:rsid w:val="00055794"/>
    <w:rsid w:val="000571B8"/>
    <w:rsid w:val="0005756A"/>
    <w:rsid w:val="00057935"/>
    <w:rsid w:val="0006122C"/>
    <w:rsid w:val="00061A20"/>
    <w:rsid w:val="00064106"/>
    <w:rsid w:val="000645DB"/>
    <w:rsid w:val="00064D07"/>
    <w:rsid w:val="00071245"/>
    <w:rsid w:val="000733ED"/>
    <w:rsid w:val="00075085"/>
    <w:rsid w:val="0007684A"/>
    <w:rsid w:val="00076D41"/>
    <w:rsid w:val="000772F0"/>
    <w:rsid w:val="00077913"/>
    <w:rsid w:val="000800DA"/>
    <w:rsid w:val="000805C4"/>
    <w:rsid w:val="000812DF"/>
    <w:rsid w:val="00083EEC"/>
    <w:rsid w:val="00085F86"/>
    <w:rsid w:val="0009210A"/>
    <w:rsid w:val="00093458"/>
    <w:rsid w:val="00094244"/>
    <w:rsid w:val="00095BEF"/>
    <w:rsid w:val="00095E99"/>
    <w:rsid w:val="000A01B0"/>
    <w:rsid w:val="000A07E5"/>
    <w:rsid w:val="000A2462"/>
    <w:rsid w:val="000A5880"/>
    <w:rsid w:val="000A6414"/>
    <w:rsid w:val="000A7382"/>
    <w:rsid w:val="000B005C"/>
    <w:rsid w:val="000B0169"/>
    <w:rsid w:val="000B10D8"/>
    <w:rsid w:val="000B1E53"/>
    <w:rsid w:val="000B21F7"/>
    <w:rsid w:val="000B4B69"/>
    <w:rsid w:val="000B5115"/>
    <w:rsid w:val="000B617D"/>
    <w:rsid w:val="000B647D"/>
    <w:rsid w:val="000B6BE4"/>
    <w:rsid w:val="000B6C6A"/>
    <w:rsid w:val="000B72CC"/>
    <w:rsid w:val="000C2575"/>
    <w:rsid w:val="000C342C"/>
    <w:rsid w:val="000C5CB2"/>
    <w:rsid w:val="000C6A42"/>
    <w:rsid w:val="000D0651"/>
    <w:rsid w:val="000D072A"/>
    <w:rsid w:val="000D1DF8"/>
    <w:rsid w:val="000D28D9"/>
    <w:rsid w:val="000D2BD5"/>
    <w:rsid w:val="000D31F2"/>
    <w:rsid w:val="000D474E"/>
    <w:rsid w:val="000D5DBB"/>
    <w:rsid w:val="000D5F0D"/>
    <w:rsid w:val="000D6821"/>
    <w:rsid w:val="000D73D4"/>
    <w:rsid w:val="000E379B"/>
    <w:rsid w:val="000E4548"/>
    <w:rsid w:val="000E61D3"/>
    <w:rsid w:val="000E6AC2"/>
    <w:rsid w:val="000E700A"/>
    <w:rsid w:val="000E7F88"/>
    <w:rsid w:val="000F6F43"/>
    <w:rsid w:val="0010150D"/>
    <w:rsid w:val="001016CC"/>
    <w:rsid w:val="001036CF"/>
    <w:rsid w:val="001047B7"/>
    <w:rsid w:val="00107AC5"/>
    <w:rsid w:val="0011136F"/>
    <w:rsid w:val="00111CE8"/>
    <w:rsid w:val="0011252E"/>
    <w:rsid w:val="00113611"/>
    <w:rsid w:val="0011454A"/>
    <w:rsid w:val="00114711"/>
    <w:rsid w:val="00114B75"/>
    <w:rsid w:val="00115768"/>
    <w:rsid w:val="001161D0"/>
    <w:rsid w:val="00116748"/>
    <w:rsid w:val="00117EE2"/>
    <w:rsid w:val="00120550"/>
    <w:rsid w:val="0012188B"/>
    <w:rsid w:val="0012377F"/>
    <w:rsid w:val="00123884"/>
    <w:rsid w:val="00123B65"/>
    <w:rsid w:val="00123C3C"/>
    <w:rsid w:val="00124A97"/>
    <w:rsid w:val="00126286"/>
    <w:rsid w:val="0013021C"/>
    <w:rsid w:val="0013063C"/>
    <w:rsid w:val="00132CF8"/>
    <w:rsid w:val="00134A3A"/>
    <w:rsid w:val="001363B1"/>
    <w:rsid w:val="00141785"/>
    <w:rsid w:val="00143AE3"/>
    <w:rsid w:val="00144355"/>
    <w:rsid w:val="00145318"/>
    <w:rsid w:val="0014699C"/>
    <w:rsid w:val="0015054C"/>
    <w:rsid w:val="001512BB"/>
    <w:rsid w:val="00152A8D"/>
    <w:rsid w:val="001539FC"/>
    <w:rsid w:val="00154052"/>
    <w:rsid w:val="00155032"/>
    <w:rsid w:val="001550DD"/>
    <w:rsid w:val="00156EED"/>
    <w:rsid w:val="001579DB"/>
    <w:rsid w:val="00160A57"/>
    <w:rsid w:val="00160BB5"/>
    <w:rsid w:val="001615AB"/>
    <w:rsid w:val="00161B17"/>
    <w:rsid w:val="00162D39"/>
    <w:rsid w:val="00163163"/>
    <w:rsid w:val="001631ED"/>
    <w:rsid w:val="001640C2"/>
    <w:rsid w:val="001661A1"/>
    <w:rsid w:val="001662B0"/>
    <w:rsid w:val="0016646F"/>
    <w:rsid w:val="001670E1"/>
    <w:rsid w:val="0016721C"/>
    <w:rsid w:val="001705FA"/>
    <w:rsid w:val="00171B63"/>
    <w:rsid w:val="00171C1B"/>
    <w:rsid w:val="0017234E"/>
    <w:rsid w:val="0017266A"/>
    <w:rsid w:val="0017485D"/>
    <w:rsid w:val="00175651"/>
    <w:rsid w:val="00181D9B"/>
    <w:rsid w:val="00182B34"/>
    <w:rsid w:val="0018505A"/>
    <w:rsid w:val="001859B7"/>
    <w:rsid w:val="0018609C"/>
    <w:rsid w:val="001879C4"/>
    <w:rsid w:val="00190432"/>
    <w:rsid w:val="00190F7A"/>
    <w:rsid w:val="00192086"/>
    <w:rsid w:val="001939B3"/>
    <w:rsid w:val="001A13F3"/>
    <w:rsid w:val="001A1511"/>
    <w:rsid w:val="001A23F5"/>
    <w:rsid w:val="001A4B13"/>
    <w:rsid w:val="001A5230"/>
    <w:rsid w:val="001B1C05"/>
    <w:rsid w:val="001B296A"/>
    <w:rsid w:val="001B33D8"/>
    <w:rsid w:val="001B588E"/>
    <w:rsid w:val="001B660F"/>
    <w:rsid w:val="001B705E"/>
    <w:rsid w:val="001C2D80"/>
    <w:rsid w:val="001C3B53"/>
    <w:rsid w:val="001C3D14"/>
    <w:rsid w:val="001C6A64"/>
    <w:rsid w:val="001C6FF2"/>
    <w:rsid w:val="001D00CC"/>
    <w:rsid w:val="001D0C19"/>
    <w:rsid w:val="001D10E7"/>
    <w:rsid w:val="001D4D23"/>
    <w:rsid w:val="001D59CC"/>
    <w:rsid w:val="001D6A10"/>
    <w:rsid w:val="001E19B5"/>
    <w:rsid w:val="001E2E2D"/>
    <w:rsid w:val="001E57D2"/>
    <w:rsid w:val="001E667E"/>
    <w:rsid w:val="001E7F36"/>
    <w:rsid w:val="001F132F"/>
    <w:rsid w:val="001F5748"/>
    <w:rsid w:val="00201566"/>
    <w:rsid w:val="00202447"/>
    <w:rsid w:val="00202462"/>
    <w:rsid w:val="00202E1A"/>
    <w:rsid w:val="00203783"/>
    <w:rsid w:val="00205489"/>
    <w:rsid w:val="00210228"/>
    <w:rsid w:val="002118DF"/>
    <w:rsid w:val="00212CF8"/>
    <w:rsid w:val="00213723"/>
    <w:rsid w:val="00214020"/>
    <w:rsid w:val="00215A8B"/>
    <w:rsid w:val="00216D75"/>
    <w:rsid w:val="0022120A"/>
    <w:rsid w:val="00221A8B"/>
    <w:rsid w:val="002233BB"/>
    <w:rsid w:val="00226206"/>
    <w:rsid w:val="00226D8B"/>
    <w:rsid w:val="00227012"/>
    <w:rsid w:val="00227680"/>
    <w:rsid w:val="00235CB8"/>
    <w:rsid w:val="00235EC4"/>
    <w:rsid w:val="0023753E"/>
    <w:rsid w:val="00240FD6"/>
    <w:rsid w:val="00242CA6"/>
    <w:rsid w:val="002431DF"/>
    <w:rsid w:val="002473D8"/>
    <w:rsid w:val="0025084E"/>
    <w:rsid w:val="00251C40"/>
    <w:rsid w:val="00251C85"/>
    <w:rsid w:val="00251E10"/>
    <w:rsid w:val="00252C35"/>
    <w:rsid w:val="00252C55"/>
    <w:rsid w:val="00255CF7"/>
    <w:rsid w:val="00256483"/>
    <w:rsid w:val="002573E4"/>
    <w:rsid w:val="00257E5C"/>
    <w:rsid w:val="00260813"/>
    <w:rsid w:val="00263B3C"/>
    <w:rsid w:val="00266A03"/>
    <w:rsid w:val="00267F36"/>
    <w:rsid w:val="0027047F"/>
    <w:rsid w:val="00270A2B"/>
    <w:rsid w:val="0027446A"/>
    <w:rsid w:val="002749CC"/>
    <w:rsid w:val="00274C59"/>
    <w:rsid w:val="002765DC"/>
    <w:rsid w:val="002768CA"/>
    <w:rsid w:val="00277752"/>
    <w:rsid w:val="0028005C"/>
    <w:rsid w:val="002808A6"/>
    <w:rsid w:val="00282748"/>
    <w:rsid w:val="002833B1"/>
    <w:rsid w:val="0028456A"/>
    <w:rsid w:val="00284A8F"/>
    <w:rsid w:val="00285593"/>
    <w:rsid w:val="00286D35"/>
    <w:rsid w:val="00287CDE"/>
    <w:rsid w:val="00291C5A"/>
    <w:rsid w:val="00291FEB"/>
    <w:rsid w:val="002935CB"/>
    <w:rsid w:val="00293F31"/>
    <w:rsid w:val="0029693B"/>
    <w:rsid w:val="002969EB"/>
    <w:rsid w:val="00296B3C"/>
    <w:rsid w:val="00296E56"/>
    <w:rsid w:val="00296EFB"/>
    <w:rsid w:val="002A05D8"/>
    <w:rsid w:val="002A19D5"/>
    <w:rsid w:val="002A1B98"/>
    <w:rsid w:val="002A211B"/>
    <w:rsid w:val="002A213E"/>
    <w:rsid w:val="002A2CD8"/>
    <w:rsid w:val="002A3FC8"/>
    <w:rsid w:val="002A52E5"/>
    <w:rsid w:val="002A5DEC"/>
    <w:rsid w:val="002B0E48"/>
    <w:rsid w:val="002B29A7"/>
    <w:rsid w:val="002B2AC5"/>
    <w:rsid w:val="002B346C"/>
    <w:rsid w:val="002B50C5"/>
    <w:rsid w:val="002B5A42"/>
    <w:rsid w:val="002B748F"/>
    <w:rsid w:val="002B782A"/>
    <w:rsid w:val="002C06F6"/>
    <w:rsid w:val="002C2B21"/>
    <w:rsid w:val="002C4192"/>
    <w:rsid w:val="002C4A0B"/>
    <w:rsid w:val="002C4BD7"/>
    <w:rsid w:val="002C5449"/>
    <w:rsid w:val="002C5759"/>
    <w:rsid w:val="002C5DC8"/>
    <w:rsid w:val="002C73B4"/>
    <w:rsid w:val="002C7C55"/>
    <w:rsid w:val="002D03E3"/>
    <w:rsid w:val="002D1460"/>
    <w:rsid w:val="002D3868"/>
    <w:rsid w:val="002D3F2C"/>
    <w:rsid w:val="002D4147"/>
    <w:rsid w:val="002D5ECC"/>
    <w:rsid w:val="002D6BB5"/>
    <w:rsid w:val="002D7EB4"/>
    <w:rsid w:val="002E1C45"/>
    <w:rsid w:val="002E390B"/>
    <w:rsid w:val="002E3D22"/>
    <w:rsid w:val="002E5FCE"/>
    <w:rsid w:val="002E6500"/>
    <w:rsid w:val="002E6B2E"/>
    <w:rsid w:val="002E7256"/>
    <w:rsid w:val="002E7352"/>
    <w:rsid w:val="002E7F5E"/>
    <w:rsid w:val="002F0AF9"/>
    <w:rsid w:val="002F25DE"/>
    <w:rsid w:val="002F3553"/>
    <w:rsid w:val="002F3B0F"/>
    <w:rsid w:val="002F51D3"/>
    <w:rsid w:val="002F6E31"/>
    <w:rsid w:val="002F7921"/>
    <w:rsid w:val="002F7947"/>
    <w:rsid w:val="00300AB8"/>
    <w:rsid w:val="0030192F"/>
    <w:rsid w:val="00303E56"/>
    <w:rsid w:val="0030471D"/>
    <w:rsid w:val="0030568D"/>
    <w:rsid w:val="00305E4C"/>
    <w:rsid w:val="00307EBD"/>
    <w:rsid w:val="00310129"/>
    <w:rsid w:val="0031024C"/>
    <w:rsid w:val="00310845"/>
    <w:rsid w:val="00310893"/>
    <w:rsid w:val="00310F4D"/>
    <w:rsid w:val="00311520"/>
    <w:rsid w:val="00312F5C"/>
    <w:rsid w:val="00313126"/>
    <w:rsid w:val="0031560C"/>
    <w:rsid w:val="00320EAB"/>
    <w:rsid w:val="0032151D"/>
    <w:rsid w:val="00323A13"/>
    <w:rsid w:val="003251AB"/>
    <w:rsid w:val="00326624"/>
    <w:rsid w:val="0032676E"/>
    <w:rsid w:val="00326D8F"/>
    <w:rsid w:val="003275DD"/>
    <w:rsid w:val="00331B59"/>
    <w:rsid w:val="003330B9"/>
    <w:rsid w:val="003338C3"/>
    <w:rsid w:val="00340D26"/>
    <w:rsid w:val="003413E1"/>
    <w:rsid w:val="003433E8"/>
    <w:rsid w:val="00345410"/>
    <w:rsid w:val="00345D2A"/>
    <w:rsid w:val="00345D43"/>
    <w:rsid w:val="003462A9"/>
    <w:rsid w:val="00346F66"/>
    <w:rsid w:val="00351187"/>
    <w:rsid w:val="00353311"/>
    <w:rsid w:val="0035649B"/>
    <w:rsid w:val="00356678"/>
    <w:rsid w:val="003613F3"/>
    <w:rsid w:val="00362275"/>
    <w:rsid w:val="00362446"/>
    <w:rsid w:val="003641BF"/>
    <w:rsid w:val="00365EC8"/>
    <w:rsid w:val="00366432"/>
    <w:rsid w:val="0036745F"/>
    <w:rsid w:val="003708DA"/>
    <w:rsid w:val="00370968"/>
    <w:rsid w:val="00372D03"/>
    <w:rsid w:val="00373CD4"/>
    <w:rsid w:val="00373E2E"/>
    <w:rsid w:val="00374B2A"/>
    <w:rsid w:val="003769E3"/>
    <w:rsid w:val="00376F53"/>
    <w:rsid w:val="003803DA"/>
    <w:rsid w:val="00385255"/>
    <w:rsid w:val="0039359D"/>
    <w:rsid w:val="00394D03"/>
    <w:rsid w:val="003954DE"/>
    <w:rsid w:val="003956E0"/>
    <w:rsid w:val="00395FD5"/>
    <w:rsid w:val="0039626C"/>
    <w:rsid w:val="00396434"/>
    <w:rsid w:val="003A0579"/>
    <w:rsid w:val="003A05C5"/>
    <w:rsid w:val="003A0A6E"/>
    <w:rsid w:val="003A0B7A"/>
    <w:rsid w:val="003A1912"/>
    <w:rsid w:val="003A3371"/>
    <w:rsid w:val="003A4C30"/>
    <w:rsid w:val="003A5206"/>
    <w:rsid w:val="003A549A"/>
    <w:rsid w:val="003B0198"/>
    <w:rsid w:val="003B0C82"/>
    <w:rsid w:val="003B0E3D"/>
    <w:rsid w:val="003B2141"/>
    <w:rsid w:val="003B21EF"/>
    <w:rsid w:val="003B2F56"/>
    <w:rsid w:val="003B324B"/>
    <w:rsid w:val="003B3341"/>
    <w:rsid w:val="003B3906"/>
    <w:rsid w:val="003B3C55"/>
    <w:rsid w:val="003B3E8F"/>
    <w:rsid w:val="003B57B7"/>
    <w:rsid w:val="003B57E4"/>
    <w:rsid w:val="003C0071"/>
    <w:rsid w:val="003C0DB2"/>
    <w:rsid w:val="003C2FA6"/>
    <w:rsid w:val="003C3FEF"/>
    <w:rsid w:val="003C5058"/>
    <w:rsid w:val="003C5AD8"/>
    <w:rsid w:val="003C7051"/>
    <w:rsid w:val="003C7512"/>
    <w:rsid w:val="003C7C49"/>
    <w:rsid w:val="003D0372"/>
    <w:rsid w:val="003D1640"/>
    <w:rsid w:val="003D5543"/>
    <w:rsid w:val="003D65E5"/>
    <w:rsid w:val="003D6E4F"/>
    <w:rsid w:val="003D73F4"/>
    <w:rsid w:val="003E1993"/>
    <w:rsid w:val="003E2301"/>
    <w:rsid w:val="003E26D4"/>
    <w:rsid w:val="003E3608"/>
    <w:rsid w:val="003E37C5"/>
    <w:rsid w:val="003E4EDF"/>
    <w:rsid w:val="003E5A38"/>
    <w:rsid w:val="003E61FC"/>
    <w:rsid w:val="003E7440"/>
    <w:rsid w:val="003E7B87"/>
    <w:rsid w:val="003E7EFC"/>
    <w:rsid w:val="003F06F3"/>
    <w:rsid w:val="003F10E1"/>
    <w:rsid w:val="003F2688"/>
    <w:rsid w:val="003F2F7D"/>
    <w:rsid w:val="003F4846"/>
    <w:rsid w:val="003F4B5D"/>
    <w:rsid w:val="003F6012"/>
    <w:rsid w:val="003F7B0A"/>
    <w:rsid w:val="004068CE"/>
    <w:rsid w:val="00407107"/>
    <w:rsid w:val="004074D4"/>
    <w:rsid w:val="004145B2"/>
    <w:rsid w:val="004165E9"/>
    <w:rsid w:val="0042219A"/>
    <w:rsid w:val="00422AB4"/>
    <w:rsid w:val="00423FCC"/>
    <w:rsid w:val="00424238"/>
    <w:rsid w:val="004249AE"/>
    <w:rsid w:val="00426B4C"/>
    <w:rsid w:val="00427596"/>
    <w:rsid w:val="00435C01"/>
    <w:rsid w:val="00442A39"/>
    <w:rsid w:val="00443EFF"/>
    <w:rsid w:val="00445ED8"/>
    <w:rsid w:val="0044610E"/>
    <w:rsid w:val="004462F5"/>
    <w:rsid w:val="004478B8"/>
    <w:rsid w:val="004514D7"/>
    <w:rsid w:val="00457FA9"/>
    <w:rsid w:val="00460AF2"/>
    <w:rsid w:val="00461C1D"/>
    <w:rsid w:val="00463E79"/>
    <w:rsid w:val="00464C5A"/>
    <w:rsid w:val="0046769A"/>
    <w:rsid w:val="004714C9"/>
    <w:rsid w:val="00471A24"/>
    <w:rsid w:val="00473846"/>
    <w:rsid w:val="00475FF9"/>
    <w:rsid w:val="00476562"/>
    <w:rsid w:val="0047656A"/>
    <w:rsid w:val="00477411"/>
    <w:rsid w:val="00480F6A"/>
    <w:rsid w:val="00482192"/>
    <w:rsid w:val="0048489C"/>
    <w:rsid w:val="00484FE1"/>
    <w:rsid w:val="0048626C"/>
    <w:rsid w:val="00486AC5"/>
    <w:rsid w:val="00487D13"/>
    <w:rsid w:val="00490213"/>
    <w:rsid w:val="0049082B"/>
    <w:rsid w:val="0049131E"/>
    <w:rsid w:val="00491ED6"/>
    <w:rsid w:val="004951F7"/>
    <w:rsid w:val="004952B7"/>
    <w:rsid w:val="004960F3"/>
    <w:rsid w:val="00496ABB"/>
    <w:rsid w:val="004976BD"/>
    <w:rsid w:val="00497C0A"/>
    <w:rsid w:val="004A0341"/>
    <w:rsid w:val="004A20A5"/>
    <w:rsid w:val="004A3C4E"/>
    <w:rsid w:val="004A47B3"/>
    <w:rsid w:val="004A63A0"/>
    <w:rsid w:val="004A64FC"/>
    <w:rsid w:val="004A6EC2"/>
    <w:rsid w:val="004B26A7"/>
    <w:rsid w:val="004B307A"/>
    <w:rsid w:val="004B3DFB"/>
    <w:rsid w:val="004B5447"/>
    <w:rsid w:val="004B5EAE"/>
    <w:rsid w:val="004B6C8E"/>
    <w:rsid w:val="004C1D4A"/>
    <w:rsid w:val="004C2E76"/>
    <w:rsid w:val="004C4B98"/>
    <w:rsid w:val="004D0BA0"/>
    <w:rsid w:val="004D0F41"/>
    <w:rsid w:val="004D17FC"/>
    <w:rsid w:val="004D19B4"/>
    <w:rsid w:val="004D1CC1"/>
    <w:rsid w:val="004D2037"/>
    <w:rsid w:val="004D26D1"/>
    <w:rsid w:val="004D26DF"/>
    <w:rsid w:val="004D26E4"/>
    <w:rsid w:val="004D2A4C"/>
    <w:rsid w:val="004D4D52"/>
    <w:rsid w:val="004D5000"/>
    <w:rsid w:val="004D5308"/>
    <w:rsid w:val="004D5648"/>
    <w:rsid w:val="004D7858"/>
    <w:rsid w:val="004D7A27"/>
    <w:rsid w:val="004D7ACF"/>
    <w:rsid w:val="004E04F7"/>
    <w:rsid w:val="004E2E26"/>
    <w:rsid w:val="004E30B6"/>
    <w:rsid w:val="004E360C"/>
    <w:rsid w:val="004E6F78"/>
    <w:rsid w:val="004F2275"/>
    <w:rsid w:val="004F3527"/>
    <w:rsid w:val="004F397C"/>
    <w:rsid w:val="004F4053"/>
    <w:rsid w:val="004F5C34"/>
    <w:rsid w:val="004F5EE2"/>
    <w:rsid w:val="004F6262"/>
    <w:rsid w:val="004F6860"/>
    <w:rsid w:val="00500B7D"/>
    <w:rsid w:val="00501386"/>
    <w:rsid w:val="005015B7"/>
    <w:rsid w:val="00505CEF"/>
    <w:rsid w:val="00507147"/>
    <w:rsid w:val="0051045A"/>
    <w:rsid w:val="00511CAA"/>
    <w:rsid w:val="005123AD"/>
    <w:rsid w:val="0051375D"/>
    <w:rsid w:val="0051497C"/>
    <w:rsid w:val="00516EFF"/>
    <w:rsid w:val="005170E7"/>
    <w:rsid w:val="00521DD0"/>
    <w:rsid w:val="005221A5"/>
    <w:rsid w:val="005230A8"/>
    <w:rsid w:val="005232AF"/>
    <w:rsid w:val="00525833"/>
    <w:rsid w:val="00525999"/>
    <w:rsid w:val="00526202"/>
    <w:rsid w:val="005262EB"/>
    <w:rsid w:val="00526A6D"/>
    <w:rsid w:val="00526B6E"/>
    <w:rsid w:val="00526EDF"/>
    <w:rsid w:val="00530988"/>
    <w:rsid w:val="00530D37"/>
    <w:rsid w:val="00531018"/>
    <w:rsid w:val="0053183B"/>
    <w:rsid w:val="00531E73"/>
    <w:rsid w:val="00531F73"/>
    <w:rsid w:val="00532D4F"/>
    <w:rsid w:val="00534071"/>
    <w:rsid w:val="00535ED5"/>
    <w:rsid w:val="00537CF7"/>
    <w:rsid w:val="00541515"/>
    <w:rsid w:val="00541675"/>
    <w:rsid w:val="00541D38"/>
    <w:rsid w:val="00543202"/>
    <w:rsid w:val="005455EF"/>
    <w:rsid w:val="00546CCB"/>
    <w:rsid w:val="00550551"/>
    <w:rsid w:val="005518A8"/>
    <w:rsid w:val="00551A9E"/>
    <w:rsid w:val="00551D7B"/>
    <w:rsid w:val="00551DDF"/>
    <w:rsid w:val="0055216C"/>
    <w:rsid w:val="0055248B"/>
    <w:rsid w:val="00552A14"/>
    <w:rsid w:val="00553543"/>
    <w:rsid w:val="00553C6C"/>
    <w:rsid w:val="00553E3D"/>
    <w:rsid w:val="0055426C"/>
    <w:rsid w:val="00554859"/>
    <w:rsid w:val="00554980"/>
    <w:rsid w:val="005553DA"/>
    <w:rsid w:val="0055600C"/>
    <w:rsid w:val="00556826"/>
    <w:rsid w:val="00560436"/>
    <w:rsid w:val="00563C3D"/>
    <w:rsid w:val="00563C6A"/>
    <w:rsid w:val="0056461D"/>
    <w:rsid w:val="00564BD8"/>
    <w:rsid w:val="00566A7B"/>
    <w:rsid w:val="00566E4B"/>
    <w:rsid w:val="00574199"/>
    <w:rsid w:val="00574C35"/>
    <w:rsid w:val="00574D6F"/>
    <w:rsid w:val="00574E22"/>
    <w:rsid w:val="005805F8"/>
    <w:rsid w:val="005817C1"/>
    <w:rsid w:val="00581D10"/>
    <w:rsid w:val="00583835"/>
    <w:rsid w:val="00584B39"/>
    <w:rsid w:val="00584F62"/>
    <w:rsid w:val="00586B2C"/>
    <w:rsid w:val="00587195"/>
    <w:rsid w:val="0058742E"/>
    <w:rsid w:val="005900A4"/>
    <w:rsid w:val="005902E0"/>
    <w:rsid w:val="00592A7C"/>
    <w:rsid w:val="00593CCB"/>
    <w:rsid w:val="00594F30"/>
    <w:rsid w:val="0059535F"/>
    <w:rsid w:val="00597106"/>
    <w:rsid w:val="00597B90"/>
    <w:rsid w:val="00597BC2"/>
    <w:rsid w:val="005A1889"/>
    <w:rsid w:val="005A24CA"/>
    <w:rsid w:val="005A27C4"/>
    <w:rsid w:val="005A28B6"/>
    <w:rsid w:val="005A3696"/>
    <w:rsid w:val="005A442F"/>
    <w:rsid w:val="005A51CF"/>
    <w:rsid w:val="005A6235"/>
    <w:rsid w:val="005B0CD8"/>
    <w:rsid w:val="005B2364"/>
    <w:rsid w:val="005B39C3"/>
    <w:rsid w:val="005B453C"/>
    <w:rsid w:val="005B5D00"/>
    <w:rsid w:val="005C0C43"/>
    <w:rsid w:val="005C2DC6"/>
    <w:rsid w:val="005C40E3"/>
    <w:rsid w:val="005C4B56"/>
    <w:rsid w:val="005C4E94"/>
    <w:rsid w:val="005C6DE1"/>
    <w:rsid w:val="005D0C16"/>
    <w:rsid w:val="005D143E"/>
    <w:rsid w:val="005D1BE7"/>
    <w:rsid w:val="005D6EB2"/>
    <w:rsid w:val="005D6F86"/>
    <w:rsid w:val="005D7209"/>
    <w:rsid w:val="005D7A60"/>
    <w:rsid w:val="005E054C"/>
    <w:rsid w:val="005E6582"/>
    <w:rsid w:val="005E683D"/>
    <w:rsid w:val="005E6C19"/>
    <w:rsid w:val="005F019B"/>
    <w:rsid w:val="005F3735"/>
    <w:rsid w:val="005F4AE1"/>
    <w:rsid w:val="005F603F"/>
    <w:rsid w:val="005F74BF"/>
    <w:rsid w:val="00601B3A"/>
    <w:rsid w:val="00602967"/>
    <w:rsid w:val="006029D6"/>
    <w:rsid w:val="00602A1F"/>
    <w:rsid w:val="0060437E"/>
    <w:rsid w:val="00606113"/>
    <w:rsid w:val="00606148"/>
    <w:rsid w:val="00606984"/>
    <w:rsid w:val="00610A1D"/>
    <w:rsid w:val="00611778"/>
    <w:rsid w:val="00611AA8"/>
    <w:rsid w:val="00613C45"/>
    <w:rsid w:val="00614906"/>
    <w:rsid w:val="006172EF"/>
    <w:rsid w:val="0061747D"/>
    <w:rsid w:val="006209C7"/>
    <w:rsid w:val="00621583"/>
    <w:rsid w:val="00621B0F"/>
    <w:rsid w:val="006230BC"/>
    <w:rsid w:val="0062378D"/>
    <w:rsid w:val="0062485A"/>
    <w:rsid w:val="00625529"/>
    <w:rsid w:val="006259D3"/>
    <w:rsid w:val="006275FA"/>
    <w:rsid w:val="00632B8B"/>
    <w:rsid w:val="00633BE9"/>
    <w:rsid w:val="00633EF1"/>
    <w:rsid w:val="00636102"/>
    <w:rsid w:val="00637F3A"/>
    <w:rsid w:val="006400C5"/>
    <w:rsid w:val="00640364"/>
    <w:rsid w:val="00641694"/>
    <w:rsid w:val="006416BC"/>
    <w:rsid w:val="00641BF3"/>
    <w:rsid w:val="00643E95"/>
    <w:rsid w:val="00645049"/>
    <w:rsid w:val="0064698C"/>
    <w:rsid w:val="006512F2"/>
    <w:rsid w:val="006514E5"/>
    <w:rsid w:val="006519ED"/>
    <w:rsid w:val="006523EE"/>
    <w:rsid w:val="00652983"/>
    <w:rsid w:val="00655993"/>
    <w:rsid w:val="00656570"/>
    <w:rsid w:val="00657109"/>
    <w:rsid w:val="0065757F"/>
    <w:rsid w:val="00657723"/>
    <w:rsid w:val="00661A3F"/>
    <w:rsid w:val="00663547"/>
    <w:rsid w:val="00663732"/>
    <w:rsid w:val="00663C01"/>
    <w:rsid w:val="00665F9B"/>
    <w:rsid w:val="00666C16"/>
    <w:rsid w:val="00671B93"/>
    <w:rsid w:val="00672E98"/>
    <w:rsid w:val="006735B1"/>
    <w:rsid w:val="006769FC"/>
    <w:rsid w:val="00676A8E"/>
    <w:rsid w:val="00677A04"/>
    <w:rsid w:val="00677FCE"/>
    <w:rsid w:val="00683ACE"/>
    <w:rsid w:val="00684C6A"/>
    <w:rsid w:val="00686D91"/>
    <w:rsid w:val="00687111"/>
    <w:rsid w:val="00690D63"/>
    <w:rsid w:val="00691CE4"/>
    <w:rsid w:val="00692889"/>
    <w:rsid w:val="00694116"/>
    <w:rsid w:val="00695AB2"/>
    <w:rsid w:val="006960B8"/>
    <w:rsid w:val="0069726D"/>
    <w:rsid w:val="006977BA"/>
    <w:rsid w:val="006A08C0"/>
    <w:rsid w:val="006A0D15"/>
    <w:rsid w:val="006A1357"/>
    <w:rsid w:val="006A3E82"/>
    <w:rsid w:val="006A4138"/>
    <w:rsid w:val="006A4184"/>
    <w:rsid w:val="006A56C4"/>
    <w:rsid w:val="006A6399"/>
    <w:rsid w:val="006A6EC9"/>
    <w:rsid w:val="006A799F"/>
    <w:rsid w:val="006A7BF1"/>
    <w:rsid w:val="006B18F1"/>
    <w:rsid w:val="006B19DB"/>
    <w:rsid w:val="006B3033"/>
    <w:rsid w:val="006B3C48"/>
    <w:rsid w:val="006B4B38"/>
    <w:rsid w:val="006B648E"/>
    <w:rsid w:val="006C0B4D"/>
    <w:rsid w:val="006C26CA"/>
    <w:rsid w:val="006C4B0A"/>
    <w:rsid w:val="006C664F"/>
    <w:rsid w:val="006C6B64"/>
    <w:rsid w:val="006D207B"/>
    <w:rsid w:val="006D24B1"/>
    <w:rsid w:val="006D2717"/>
    <w:rsid w:val="006D2A64"/>
    <w:rsid w:val="006D3CE3"/>
    <w:rsid w:val="006D6C9E"/>
    <w:rsid w:val="006D7971"/>
    <w:rsid w:val="006D799E"/>
    <w:rsid w:val="006E2265"/>
    <w:rsid w:val="006E320C"/>
    <w:rsid w:val="006E4F87"/>
    <w:rsid w:val="006E74B6"/>
    <w:rsid w:val="006E7D7E"/>
    <w:rsid w:val="006F02A6"/>
    <w:rsid w:val="006F07C4"/>
    <w:rsid w:val="006F22D4"/>
    <w:rsid w:val="006F2947"/>
    <w:rsid w:val="006F4060"/>
    <w:rsid w:val="006F499F"/>
    <w:rsid w:val="006F579D"/>
    <w:rsid w:val="006F6E27"/>
    <w:rsid w:val="006F7992"/>
    <w:rsid w:val="00700C10"/>
    <w:rsid w:val="007017E7"/>
    <w:rsid w:val="00704A30"/>
    <w:rsid w:val="00707458"/>
    <w:rsid w:val="00710FB5"/>
    <w:rsid w:val="0071224A"/>
    <w:rsid w:val="007128B5"/>
    <w:rsid w:val="007137D4"/>
    <w:rsid w:val="00714E27"/>
    <w:rsid w:val="00715200"/>
    <w:rsid w:val="0071675A"/>
    <w:rsid w:val="00717A88"/>
    <w:rsid w:val="00720B97"/>
    <w:rsid w:val="00721D02"/>
    <w:rsid w:val="00721FDE"/>
    <w:rsid w:val="00723034"/>
    <w:rsid w:val="00723A51"/>
    <w:rsid w:val="0072445E"/>
    <w:rsid w:val="00724AA0"/>
    <w:rsid w:val="00725563"/>
    <w:rsid w:val="007257DB"/>
    <w:rsid w:val="00732A8E"/>
    <w:rsid w:val="00733DF9"/>
    <w:rsid w:val="00736C3C"/>
    <w:rsid w:val="007374D5"/>
    <w:rsid w:val="007419CA"/>
    <w:rsid w:val="0074311C"/>
    <w:rsid w:val="00744257"/>
    <w:rsid w:val="00744441"/>
    <w:rsid w:val="00745BF7"/>
    <w:rsid w:val="00745C83"/>
    <w:rsid w:val="00747EEE"/>
    <w:rsid w:val="007513B6"/>
    <w:rsid w:val="00753425"/>
    <w:rsid w:val="00753497"/>
    <w:rsid w:val="007537D8"/>
    <w:rsid w:val="007550AA"/>
    <w:rsid w:val="00755C3A"/>
    <w:rsid w:val="00756373"/>
    <w:rsid w:val="00756416"/>
    <w:rsid w:val="00761EE5"/>
    <w:rsid w:val="00762507"/>
    <w:rsid w:val="00764D73"/>
    <w:rsid w:val="00764EDF"/>
    <w:rsid w:val="00767C6B"/>
    <w:rsid w:val="00770F61"/>
    <w:rsid w:val="0077375B"/>
    <w:rsid w:val="00774D5A"/>
    <w:rsid w:val="007751B4"/>
    <w:rsid w:val="00775746"/>
    <w:rsid w:val="00775814"/>
    <w:rsid w:val="007758F0"/>
    <w:rsid w:val="00776428"/>
    <w:rsid w:val="00776FE1"/>
    <w:rsid w:val="007860B6"/>
    <w:rsid w:val="00786FF6"/>
    <w:rsid w:val="0078730F"/>
    <w:rsid w:val="00787B2E"/>
    <w:rsid w:val="00792603"/>
    <w:rsid w:val="00793887"/>
    <w:rsid w:val="00793F5E"/>
    <w:rsid w:val="0079433A"/>
    <w:rsid w:val="00795AD6"/>
    <w:rsid w:val="00796694"/>
    <w:rsid w:val="007A132F"/>
    <w:rsid w:val="007A3C2C"/>
    <w:rsid w:val="007A6954"/>
    <w:rsid w:val="007B0109"/>
    <w:rsid w:val="007B1271"/>
    <w:rsid w:val="007B1F09"/>
    <w:rsid w:val="007B228C"/>
    <w:rsid w:val="007B446C"/>
    <w:rsid w:val="007B47C8"/>
    <w:rsid w:val="007B59F5"/>
    <w:rsid w:val="007B7FEE"/>
    <w:rsid w:val="007C0A7C"/>
    <w:rsid w:val="007C0C03"/>
    <w:rsid w:val="007C2472"/>
    <w:rsid w:val="007C39FF"/>
    <w:rsid w:val="007C48C1"/>
    <w:rsid w:val="007C4DE7"/>
    <w:rsid w:val="007C5FFD"/>
    <w:rsid w:val="007C665E"/>
    <w:rsid w:val="007D3871"/>
    <w:rsid w:val="007D4DA0"/>
    <w:rsid w:val="007D57C4"/>
    <w:rsid w:val="007D6310"/>
    <w:rsid w:val="007D68FE"/>
    <w:rsid w:val="007E0807"/>
    <w:rsid w:val="007E094A"/>
    <w:rsid w:val="007E1B2E"/>
    <w:rsid w:val="007E3DDA"/>
    <w:rsid w:val="007E486E"/>
    <w:rsid w:val="007E4FAE"/>
    <w:rsid w:val="007E666E"/>
    <w:rsid w:val="007E735F"/>
    <w:rsid w:val="007F1418"/>
    <w:rsid w:val="007F15ED"/>
    <w:rsid w:val="007F1788"/>
    <w:rsid w:val="007F299F"/>
    <w:rsid w:val="007F2B51"/>
    <w:rsid w:val="007F3B88"/>
    <w:rsid w:val="007F4C73"/>
    <w:rsid w:val="007F511E"/>
    <w:rsid w:val="007F7AA4"/>
    <w:rsid w:val="00802FE3"/>
    <w:rsid w:val="008032A6"/>
    <w:rsid w:val="0081034F"/>
    <w:rsid w:val="00811F6C"/>
    <w:rsid w:val="00813064"/>
    <w:rsid w:val="00813F39"/>
    <w:rsid w:val="00814729"/>
    <w:rsid w:val="008163E7"/>
    <w:rsid w:val="00816D99"/>
    <w:rsid w:val="00816DE1"/>
    <w:rsid w:val="00817173"/>
    <w:rsid w:val="00820CDC"/>
    <w:rsid w:val="0082422B"/>
    <w:rsid w:val="00824B10"/>
    <w:rsid w:val="00825C98"/>
    <w:rsid w:val="00827708"/>
    <w:rsid w:val="00827980"/>
    <w:rsid w:val="00827F1C"/>
    <w:rsid w:val="00830398"/>
    <w:rsid w:val="0083446E"/>
    <w:rsid w:val="00834646"/>
    <w:rsid w:val="008358E1"/>
    <w:rsid w:val="00835E99"/>
    <w:rsid w:val="008373BE"/>
    <w:rsid w:val="008433A0"/>
    <w:rsid w:val="008450DF"/>
    <w:rsid w:val="00846062"/>
    <w:rsid w:val="008469DB"/>
    <w:rsid w:val="008512B0"/>
    <w:rsid w:val="0085148D"/>
    <w:rsid w:val="00853192"/>
    <w:rsid w:val="00856EF5"/>
    <w:rsid w:val="0085761E"/>
    <w:rsid w:val="0086097A"/>
    <w:rsid w:val="0086122A"/>
    <w:rsid w:val="00862DF3"/>
    <w:rsid w:val="00863863"/>
    <w:rsid w:val="00865DE7"/>
    <w:rsid w:val="008664FA"/>
    <w:rsid w:val="00871F3E"/>
    <w:rsid w:val="008726DD"/>
    <w:rsid w:val="00874013"/>
    <w:rsid w:val="0087407C"/>
    <w:rsid w:val="0087570D"/>
    <w:rsid w:val="0087630A"/>
    <w:rsid w:val="00876316"/>
    <w:rsid w:val="00880483"/>
    <w:rsid w:val="0088075B"/>
    <w:rsid w:val="00880ABE"/>
    <w:rsid w:val="00881EEE"/>
    <w:rsid w:val="008822C0"/>
    <w:rsid w:val="00883647"/>
    <w:rsid w:val="00883680"/>
    <w:rsid w:val="008838D9"/>
    <w:rsid w:val="008862EC"/>
    <w:rsid w:val="008876D5"/>
    <w:rsid w:val="00887E3F"/>
    <w:rsid w:val="008927AE"/>
    <w:rsid w:val="00892DE6"/>
    <w:rsid w:val="00893194"/>
    <w:rsid w:val="0089595D"/>
    <w:rsid w:val="00896AD1"/>
    <w:rsid w:val="00897FE0"/>
    <w:rsid w:val="008A0EE8"/>
    <w:rsid w:val="008A0FA3"/>
    <w:rsid w:val="008A11B6"/>
    <w:rsid w:val="008A1CB1"/>
    <w:rsid w:val="008A4217"/>
    <w:rsid w:val="008A45B6"/>
    <w:rsid w:val="008A5C1D"/>
    <w:rsid w:val="008A5E05"/>
    <w:rsid w:val="008A6BDE"/>
    <w:rsid w:val="008A6E3A"/>
    <w:rsid w:val="008A7EC8"/>
    <w:rsid w:val="008B0520"/>
    <w:rsid w:val="008B115C"/>
    <w:rsid w:val="008B25DD"/>
    <w:rsid w:val="008B26F2"/>
    <w:rsid w:val="008B3DD0"/>
    <w:rsid w:val="008B4463"/>
    <w:rsid w:val="008B48A3"/>
    <w:rsid w:val="008B5E33"/>
    <w:rsid w:val="008B6200"/>
    <w:rsid w:val="008C0B5E"/>
    <w:rsid w:val="008C0FEE"/>
    <w:rsid w:val="008C2431"/>
    <w:rsid w:val="008C55F6"/>
    <w:rsid w:val="008C5629"/>
    <w:rsid w:val="008C6BEF"/>
    <w:rsid w:val="008C72B6"/>
    <w:rsid w:val="008C7AF5"/>
    <w:rsid w:val="008D0A57"/>
    <w:rsid w:val="008D1C5E"/>
    <w:rsid w:val="008D4218"/>
    <w:rsid w:val="008D5541"/>
    <w:rsid w:val="008D617C"/>
    <w:rsid w:val="008D76A4"/>
    <w:rsid w:val="008D7782"/>
    <w:rsid w:val="008E0729"/>
    <w:rsid w:val="008E0CB1"/>
    <w:rsid w:val="008E1793"/>
    <w:rsid w:val="008E358D"/>
    <w:rsid w:val="008E4101"/>
    <w:rsid w:val="008E6AF5"/>
    <w:rsid w:val="008F13E6"/>
    <w:rsid w:val="008F2A2E"/>
    <w:rsid w:val="008F36F4"/>
    <w:rsid w:val="008F6F0C"/>
    <w:rsid w:val="008F7BF9"/>
    <w:rsid w:val="00903682"/>
    <w:rsid w:val="00903FB0"/>
    <w:rsid w:val="009043A6"/>
    <w:rsid w:val="00904A8C"/>
    <w:rsid w:val="00904A8D"/>
    <w:rsid w:val="009055CC"/>
    <w:rsid w:val="00905AB7"/>
    <w:rsid w:val="00907D28"/>
    <w:rsid w:val="00911729"/>
    <w:rsid w:val="009133A7"/>
    <w:rsid w:val="00913D9F"/>
    <w:rsid w:val="00913ED9"/>
    <w:rsid w:val="0091524B"/>
    <w:rsid w:val="00915901"/>
    <w:rsid w:val="00915EB2"/>
    <w:rsid w:val="00916010"/>
    <w:rsid w:val="00917087"/>
    <w:rsid w:val="00917B5D"/>
    <w:rsid w:val="00920989"/>
    <w:rsid w:val="009217A9"/>
    <w:rsid w:val="00922022"/>
    <w:rsid w:val="009222E3"/>
    <w:rsid w:val="00923775"/>
    <w:rsid w:val="00926738"/>
    <w:rsid w:val="00927A06"/>
    <w:rsid w:val="009311CD"/>
    <w:rsid w:val="00935A49"/>
    <w:rsid w:val="00937B39"/>
    <w:rsid w:val="00940999"/>
    <w:rsid w:val="00941D4C"/>
    <w:rsid w:val="00942130"/>
    <w:rsid w:val="00942265"/>
    <w:rsid w:val="0094587C"/>
    <w:rsid w:val="009460E8"/>
    <w:rsid w:val="00946694"/>
    <w:rsid w:val="009466CB"/>
    <w:rsid w:val="00946CB8"/>
    <w:rsid w:val="00947B2B"/>
    <w:rsid w:val="00950C3D"/>
    <w:rsid w:val="00951202"/>
    <w:rsid w:val="00955476"/>
    <w:rsid w:val="0095565A"/>
    <w:rsid w:val="00956673"/>
    <w:rsid w:val="00956C66"/>
    <w:rsid w:val="00957606"/>
    <w:rsid w:val="009611A7"/>
    <w:rsid w:val="0096144F"/>
    <w:rsid w:val="00962AAD"/>
    <w:rsid w:val="00962BE2"/>
    <w:rsid w:val="00963F52"/>
    <w:rsid w:val="009649A5"/>
    <w:rsid w:val="00971050"/>
    <w:rsid w:val="009715C0"/>
    <w:rsid w:val="00973066"/>
    <w:rsid w:val="00975077"/>
    <w:rsid w:val="00981BC0"/>
    <w:rsid w:val="0098390B"/>
    <w:rsid w:val="00984248"/>
    <w:rsid w:val="0098502E"/>
    <w:rsid w:val="009905EB"/>
    <w:rsid w:val="0099228B"/>
    <w:rsid w:val="009937B8"/>
    <w:rsid w:val="009959C0"/>
    <w:rsid w:val="00995BE8"/>
    <w:rsid w:val="00995C8E"/>
    <w:rsid w:val="009968CA"/>
    <w:rsid w:val="009A142E"/>
    <w:rsid w:val="009A1856"/>
    <w:rsid w:val="009A1B54"/>
    <w:rsid w:val="009A28D1"/>
    <w:rsid w:val="009A34D8"/>
    <w:rsid w:val="009A424B"/>
    <w:rsid w:val="009A4DE5"/>
    <w:rsid w:val="009A578B"/>
    <w:rsid w:val="009A6550"/>
    <w:rsid w:val="009B0CF3"/>
    <w:rsid w:val="009B134A"/>
    <w:rsid w:val="009B19E4"/>
    <w:rsid w:val="009B25FE"/>
    <w:rsid w:val="009B2B80"/>
    <w:rsid w:val="009C1DAA"/>
    <w:rsid w:val="009C4686"/>
    <w:rsid w:val="009C669A"/>
    <w:rsid w:val="009C7C84"/>
    <w:rsid w:val="009C7D14"/>
    <w:rsid w:val="009D07D1"/>
    <w:rsid w:val="009D1555"/>
    <w:rsid w:val="009D2896"/>
    <w:rsid w:val="009D3E69"/>
    <w:rsid w:val="009D4137"/>
    <w:rsid w:val="009D5308"/>
    <w:rsid w:val="009D5D28"/>
    <w:rsid w:val="009D76F8"/>
    <w:rsid w:val="009D7AC5"/>
    <w:rsid w:val="009E09CC"/>
    <w:rsid w:val="009E0C1E"/>
    <w:rsid w:val="009E0C58"/>
    <w:rsid w:val="009E2903"/>
    <w:rsid w:val="009F1356"/>
    <w:rsid w:val="009F2D0F"/>
    <w:rsid w:val="009F3688"/>
    <w:rsid w:val="009F391C"/>
    <w:rsid w:val="009F49BC"/>
    <w:rsid w:val="009F4A64"/>
    <w:rsid w:val="009F5F4E"/>
    <w:rsid w:val="009F6792"/>
    <w:rsid w:val="009F6DA1"/>
    <w:rsid w:val="009F7C5C"/>
    <w:rsid w:val="00A00189"/>
    <w:rsid w:val="00A030AF"/>
    <w:rsid w:val="00A0347C"/>
    <w:rsid w:val="00A0404D"/>
    <w:rsid w:val="00A05821"/>
    <w:rsid w:val="00A06A5C"/>
    <w:rsid w:val="00A106D7"/>
    <w:rsid w:val="00A13697"/>
    <w:rsid w:val="00A20386"/>
    <w:rsid w:val="00A221D5"/>
    <w:rsid w:val="00A2271C"/>
    <w:rsid w:val="00A230EE"/>
    <w:rsid w:val="00A23DD4"/>
    <w:rsid w:val="00A25935"/>
    <w:rsid w:val="00A2617B"/>
    <w:rsid w:val="00A271BB"/>
    <w:rsid w:val="00A27604"/>
    <w:rsid w:val="00A30A4A"/>
    <w:rsid w:val="00A30B32"/>
    <w:rsid w:val="00A30CB5"/>
    <w:rsid w:val="00A30ECE"/>
    <w:rsid w:val="00A31040"/>
    <w:rsid w:val="00A3166E"/>
    <w:rsid w:val="00A31FF0"/>
    <w:rsid w:val="00A326C5"/>
    <w:rsid w:val="00A34A3E"/>
    <w:rsid w:val="00A35CA0"/>
    <w:rsid w:val="00A35E16"/>
    <w:rsid w:val="00A36899"/>
    <w:rsid w:val="00A37090"/>
    <w:rsid w:val="00A41B17"/>
    <w:rsid w:val="00A43382"/>
    <w:rsid w:val="00A4356F"/>
    <w:rsid w:val="00A4618A"/>
    <w:rsid w:val="00A46676"/>
    <w:rsid w:val="00A50516"/>
    <w:rsid w:val="00A5068A"/>
    <w:rsid w:val="00A510D8"/>
    <w:rsid w:val="00A513E6"/>
    <w:rsid w:val="00A51CF0"/>
    <w:rsid w:val="00A5238B"/>
    <w:rsid w:val="00A525CC"/>
    <w:rsid w:val="00A5269F"/>
    <w:rsid w:val="00A5515C"/>
    <w:rsid w:val="00A5597A"/>
    <w:rsid w:val="00A55A43"/>
    <w:rsid w:val="00A55B85"/>
    <w:rsid w:val="00A57A59"/>
    <w:rsid w:val="00A64100"/>
    <w:rsid w:val="00A64CA6"/>
    <w:rsid w:val="00A660F4"/>
    <w:rsid w:val="00A67C05"/>
    <w:rsid w:val="00A67FE2"/>
    <w:rsid w:val="00A7066D"/>
    <w:rsid w:val="00A73F7F"/>
    <w:rsid w:val="00A75829"/>
    <w:rsid w:val="00A7629E"/>
    <w:rsid w:val="00A80698"/>
    <w:rsid w:val="00A83FB6"/>
    <w:rsid w:val="00A85C4C"/>
    <w:rsid w:val="00A8759B"/>
    <w:rsid w:val="00A9039C"/>
    <w:rsid w:val="00A91A84"/>
    <w:rsid w:val="00A92F3E"/>
    <w:rsid w:val="00A93213"/>
    <w:rsid w:val="00A93334"/>
    <w:rsid w:val="00A9409B"/>
    <w:rsid w:val="00A954EE"/>
    <w:rsid w:val="00A956B1"/>
    <w:rsid w:val="00A964E7"/>
    <w:rsid w:val="00A96C72"/>
    <w:rsid w:val="00AA18ED"/>
    <w:rsid w:val="00AA1F1F"/>
    <w:rsid w:val="00AA26A0"/>
    <w:rsid w:val="00AA27AE"/>
    <w:rsid w:val="00AA4E79"/>
    <w:rsid w:val="00AA4EF8"/>
    <w:rsid w:val="00AB1C76"/>
    <w:rsid w:val="00AB41C1"/>
    <w:rsid w:val="00AB7CAE"/>
    <w:rsid w:val="00AC0F1B"/>
    <w:rsid w:val="00AC29E5"/>
    <w:rsid w:val="00AC401E"/>
    <w:rsid w:val="00AC45A6"/>
    <w:rsid w:val="00AC6E71"/>
    <w:rsid w:val="00AD2B90"/>
    <w:rsid w:val="00AD42DC"/>
    <w:rsid w:val="00AD466B"/>
    <w:rsid w:val="00AD4CFD"/>
    <w:rsid w:val="00AD6FCA"/>
    <w:rsid w:val="00AE1A27"/>
    <w:rsid w:val="00AE20FC"/>
    <w:rsid w:val="00AE341F"/>
    <w:rsid w:val="00AE3CA6"/>
    <w:rsid w:val="00AE42C4"/>
    <w:rsid w:val="00AE4BA0"/>
    <w:rsid w:val="00AE6A52"/>
    <w:rsid w:val="00AE7F70"/>
    <w:rsid w:val="00AF1E84"/>
    <w:rsid w:val="00AF4276"/>
    <w:rsid w:val="00AF5EAA"/>
    <w:rsid w:val="00AF7505"/>
    <w:rsid w:val="00AF7769"/>
    <w:rsid w:val="00B0029F"/>
    <w:rsid w:val="00B0062F"/>
    <w:rsid w:val="00B014E9"/>
    <w:rsid w:val="00B03254"/>
    <w:rsid w:val="00B03FD5"/>
    <w:rsid w:val="00B07C89"/>
    <w:rsid w:val="00B13A84"/>
    <w:rsid w:val="00B15B2F"/>
    <w:rsid w:val="00B15C68"/>
    <w:rsid w:val="00B16932"/>
    <w:rsid w:val="00B16986"/>
    <w:rsid w:val="00B16C65"/>
    <w:rsid w:val="00B179AA"/>
    <w:rsid w:val="00B206F6"/>
    <w:rsid w:val="00B21ED8"/>
    <w:rsid w:val="00B23142"/>
    <w:rsid w:val="00B2622D"/>
    <w:rsid w:val="00B26EEB"/>
    <w:rsid w:val="00B27E86"/>
    <w:rsid w:val="00B326A7"/>
    <w:rsid w:val="00B34267"/>
    <w:rsid w:val="00B36836"/>
    <w:rsid w:val="00B369A8"/>
    <w:rsid w:val="00B37A93"/>
    <w:rsid w:val="00B37DD6"/>
    <w:rsid w:val="00B41BB5"/>
    <w:rsid w:val="00B4239F"/>
    <w:rsid w:val="00B43D5D"/>
    <w:rsid w:val="00B44053"/>
    <w:rsid w:val="00B46C3F"/>
    <w:rsid w:val="00B4756E"/>
    <w:rsid w:val="00B47FAC"/>
    <w:rsid w:val="00B507EF"/>
    <w:rsid w:val="00B50E30"/>
    <w:rsid w:val="00B516CB"/>
    <w:rsid w:val="00B51CDF"/>
    <w:rsid w:val="00B53787"/>
    <w:rsid w:val="00B537E6"/>
    <w:rsid w:val="00B57FBF"/>
    <w:rsid w:val="00B616B5"/>
    <w:rsid w:val="00B6513F"/>
    <w:rsid w:val="00B66222"/>
    <w:rsid w:val="00B6657C"/>
    <w:rsid w:val="00B675D0"/>
    <w:rsid w:val="00B714BC"/>
    <w:rsid w:val="00B71E4E"/>
    <w:rsid w:val="00B806C1"/>
    <w:rsid w:val="00B8368E"/>
    <w:rsid w:val="00B83807"/>
    <w:rsid w:val="00B83D55"/>
    <w:rsid w:val="00B86A3E"/>
    <w:rsid w:val="00B87378"/>
    <w:rsid w:val="00B915D6"/>
    <w:rsid w:val="00B9252B"/>
    <w:rsid w:val="00B9298C"/>
    <w:rsid w:val="00B935BE"/>
    <w:rsid w:val="00B93C3C"/>
    <w:rsid w:val="00B93FCF"/>
    <w:rsid w:val="00B942FD"/>
    <w:rsid w:val="00B944BF"/>
    <w:rsid w:val="00B94B03"/>
    <w:rsid w:val="00BA3D26"/>
    <w:rsid w:val="00BA3F5D"/>
    <w:rsid w:val="00BA4D43"/>
    <w:rsid w:val="00BA4F12"/>
    <w:rsid w:val="00BA5941"/>
    <w:rsid w:val="00BA6A94"/>
    <w:rsid w:val="00BA6D8F"/>
    <w:rsid w:val="00BB0D0C"/>
    <w:rsid w:val="00BB16F4"/>
    <w:rsid w:val="00BB25A2"/>
    <w:rsid w:val="00BB4B17"/>
    <w:rsid w:val="00BB5402"/>
    <w:rsid w:val="00BB68C2"/>
    <w:rsid w:val="00BB68EC"/>
    <w:rsid w:val="00BB6AEA"/>
    <w:rsid w:val="00BC0D40"/>
    <w:rsid w:val="00BC12AB"/>
    <w:rsid w:val="00BC1F4A"/>
    <w:rsid w:val="00BC3642"/>
    <w:rsid w:val="00BC509F"/>
    <w:rsid w:val="00BD0891"/>
    <w:rsid w:val="00BD17FE"/>
    <w:rsid w:val="00BD58AA"/>
    <w:rsid w:val="00BD5A7B"/>
    <w:rsid w:val="00BD5F61"/>
    <w:rsid w:val="00BD6D58"/>
    <w:rsid w:val="00BD7802"/>
    <w:rsid w:val="00BE1096"/>
    <w:rsid w:val="00BE13D6"/>
    <w:rsid w:val="00BF0364"/>
    <w:rsid w:val="00BF18B3"/>
    <w:rsid w:val="00BF26FF"/>
    <w:rsid w:val="00BF2B38"/>
    <w:rsid w:val="00BF42B0"/>
    <w:rsid w:val="00BF5C76"/>
    <w:rsid w:val="00C01082"/>
    <w:rsid w:val="00C0110D"/>
    <w:rsid w:val="00C01622"/>
    <w:rsid w:val="00C02A77"/>
    <w:rsid w:val="00C04A5B"/>
    <w:rsid w:val="00C06498"/>
    <w:rsid w:val="00C06E6E"/>
    <w:rsid w:val="00C12050"/>
    <w:rsid w:val="00C12DB2"/>
    <w:rsid w:val="00C13688"/>
    <w:rsid w:val="00C13765"/>
    <w:rsid w:val="00C15FE3"/>
    <w:rsid w:val="00C172E4"/>
    <w:rsid w:val="00C201A3"/>
    <w:rsid w:val="00C2039E"/>
    <w:rsid w:val="00C2118E"/>
    <w:rsid w:val="00C21246"/>
    <w:rsid w:val="00C22593"/>
    <w:rsid w:val="00C22685"/>
    <w:rsid w:val="00C2647F"/>
    <w:rsid w:val="00C26D40"/>
    <w:rsid w:val="00C31AC6"/>
    <w:rsid w:val="00C32170"/>
    <w:rsid w:val="00C341B3"/>
    <w:rsid w:val="00C346C5"/>
    <w:rsid w:val="00C34B56"/>
    <w:rsid w:val="00C402C3"/>
    <w:rsid w:val="00C40C5F"/>
    <w:rsid w:val="00C427F0"/>
    <w:rsid w:val="00C428DA"/>
    <w:rsid w:val="00C43118"/>
    <w:rsid w:val="00C432C7"/>
    <w:rsid w:val="00C4346D"/>
    <w:rsid w:val="00C44AC2"/>
    <w:rsid w:val="00C44D8E"/>
    <w:rsid w:val="00C47DB6"/>
    <w:rsid w:val="00C501D6"/>
    <w:rsid w:val="00C50927"/>
    <w:rsid w:val="00C51E04"/>
    <w:rsid w:val="00C532EB"/>
    <w:rsid w:val="00C53B5E"/>
    <w:rsid w:val="00C57487"/>
    <w:rsid w:val="00C5770E"/>
    <w:rsid w:val="00C60354"/>
    <w:rsid w:val="00C615DF"/>
    <w:rsid w:val="00C62E57"/>
    <w:rsid w:val="00C62F64"/>
    <w:rsid w:val="00C6493C"/>
    <w:rsid w:val="00C65C0B"/>
    <w:rsid w:val="00C679EF"/>
    <w:rsid w:val="00C71981"/>
    <w:rsid w:val="00C7313A"/>
    <w:rsid w:val="00C75AE3"/>
    <w:rsid w:val="00C81EEA"/>
    <w:rsid w:val="00C84D76"/>
    <w:rsid w:val="00C870F2"/>
    <w:rsid w:val="00C876B7"/>
    <w:rsid w:val="00C93DA5"/>
    <w:rsid w:val="00C940C6"/>
    <w:rsid w:val="00C946F3"/>
    <w:rsid w:val="00C9490D"/>
    <w:rsid w:val="00C94B8F"/>
    <w:rsid w:val="00C94F34"/>
    <w:rsid w:val="00C9502F"/>
    <w:rsid w:val="00C9518C"/>
    <w:rsid w:val="00C95759"/>
    <w:rsid w:val="00C95BF2"/>
    <w:rsid w:val="00C9639C"/>
    <w:rsid w:val="00C96F2A"/>
    <w:rsid w:val="00C97DA4"/>
    <w:rsid w:val="00CA6284"/>
    <w:rsid w:val="00CA74EA"/>
    <w:rsid w:val="00CB07D7"/>
    <w:rsid w:val="00CB0867"/>
    <w:rsid w:val="00CB10BC"/>
    <w:rsid w:val="00CB18A5"/>
    <w:rsid w:val="00CB2C53"/>
    <w:rsid w:val="00CB489E"/>
    <w:rsid w:val="00CB72D0"/>
    <w:rsid w:val="00CB72E1"/>
    <w:rsid w:val="00CB7370"/>
    <w:rsid w:val="00CB7FF3"/>
    <w:rsid w:val="00CC0EE2"/>
    <w:rsid w:val="00CC10EC"/>
    <w:rsid w:val="00CC24F4"/>
    <w:rsid w:val="00CC38F1"/>
    <w:rsid w:val="00CC3BE0"/>
    <w:rsid w:val="00CC56AC"/>
    <w:rsid w:val="00CC5E97"/>
    <w:rsid w:val="00CC6B45"/>
    <w:rsid w:val="00CD0F8D"/>
    <w:rsid w:val="00CD3239"/>
    <w:rsid w:val="00CD42FF"/>
    <w:rsid w:val="00CD521D"/>
    <w:rsid w:val="00CD6445"/>
    <w:rsid w:val="00CE1779"/>
    <w:rsid w:val="00CE1BA3"/>
    <w:rsid w:val="00CE2C8C"/>
    <w:rsid w:val="00CE3F75"/>
    <w:rsid w:val="00CF04C8"/>
    <w:rsid w:val="00CF072D"/>
    <w:rsid w:val="00CF079D"/>
    <w:rsid w:val="00CF1045"/>
    <w:rsid w:val="00CF1AEE"/>
    <w:rsid w:val="00CF3525"/>
    <w:rsid w:val="00CF35C8"/>
    <w:rsid w:val="00CF5F78"/>
    <w:rsid w:val="00CF6D29"/>
    <w:rsid w:val="00D002FD"/>
    <w:rsid w:val="00D01B19"/>
    <w:rsid w:val="00D026ED"/>
    <w:rsid w:val="00D030D5"/>
    <w:rsid w:val="00D03194"/>
    <w:rsid w:val="00D0542A"/>
    <w:rsid w:val="00D0642A"/>
    <w:rsid w:val="00D073A9"/>
    <w:rsid w:val="00D07BBC"/>
    <w:rsid w:val="00D1088A"/>
    <w:rsid w:val="00D113CF"/>
    <w:rsid w:val="00D12471"/>
    <w:rsid w:val="00D12824"/>
    <w:rsid w:val="00D129EC"/>
    <w:rsid w:val="00D1468E"/>
    <w:rsid w:val="00D16B9C"/>
    <w:rsid w:val="00D16D3C"/>
    <w:rsid w:val="00D2032C"/>
    <w:rsid w:val="00D22CB8"/>
    <w:rsid w:val="00D233EF"/>
    <w:rsid w:val="00D2403E"/>
    <w:rsid w:val="00D2481C"/>
    <w:rsid w:val="00D26307"/>
    <w:rsid w:val="00D26D43"/>
    <w:rsid w:val="00D27B08"/>
    <w:rsid w:val="00D3068F"/>
    <w:rsid w:val="00D31A35"/>
    <w:rsid w:val="00D339E7"/>
    <w:rsid w:val="00D346C8"/>
    <w:rsid w:val="00D34B07"/>
    <w:rsid w:val="00D3576F"/>
    <w:rsid w:val="00D35924"/>
    <w:rsid w:val="00D36074"/>
    <w:rsid w:val="00D36146"/>
    <w:rsid w:val="00D37D0B"/>
    <w:rsid w:val="00D401C5"/>
    <w:rsid w:val="00D42148"/>
    <w:rsid w:val="00D42335"/>
    <w:rsid w:val="00D42698"/>
    <w:rsid w:val="00D43320"/>
    <w:rsid w:val="00D435E3"/>
    <w:rsid w:val="00D4396F"/>
    <w:rsid w:val="00D44B21"/>
    <w:rsid w:val="00D4559A"/>
    <w:rsid w:val="00D45AFC"/>
    <w:rsid w:val="00D45D23"/>
    <w:rsid w:val="00D46BFC"/>
    <w:rsid w:val="00D47BA4"/>
    <w:rsid w:val="00D50CC7"/>
    <w:rsid w:val="00D50EC5"/>
    <w:rsid w:val="00D51563"/>
    <w:rsid w:val="00D515F1"/>
    <w:rsid w:val="00D53219"/>
    <w:rsid w:val="00D53618"/>
    <w:rsid w:val="00D542D9"/>
    <w:rsid w:val="00D561BB"/>
    <w:rsid w:val="00D56725"/>
    <w:rsid w:val="00D56DC8"/>
    <w:rsid w:val="00D57AA7"/>
    <w:rsid w:val="00D6013E"/>
    <w:rsid w:val="00D61432"/>
    <w:rsid w:val="00D617F1"/>
    <w:rsid w:val="00D64AC3"/>
    <w:rsid w:val="00D709C0"/>
    <w:rsid w:val="00D71114"/>
    <w:rsid w:val="00D7254E"/>
    <w:rsid w:val="00D72C45"/>
    <w:rsid w:val="00D72E1F"/>
    <w:rsid w:val="00D73B85"/>
    <w:rsid w:val="00D74CF2"/>
    <w:rsid w:val="00D74ECF"/>
    <w:rsid w:val="00D76A2E"/>
    <w:rsid w:val="00D77E22"/>
    <w:rsid w:val="00D80DE8"/>
    <w:rsid w:val="00D81462"/>
    <w:rsid w:val="00D86F57"/>
    <w:rsid w:val="00D900B4"/>
    <w:rsid w:val="00D90C15"/>
    <w:rsid w:val="00D9120A"/>
    <w:rsid w:val="00D94DFA"/>
    <w:rsid w:val="00D95B62"/>
    <w:rsid w:val="00D961CD"/>
    <w:rsid w:val="00DA1266"/>
    <w:rsid w:val="00DA285C"/>
    <w:rsid w:val="00DA30F4"/>
    <w:rsid w:val="00DA48C0"/>
    <w:rsid w:val="00DA49C6"/>
    <w:rsid w:val="00DA5629"/>
    <w:rsid w:val="00DA592E"/>
    <w:rsid w:val="00DA6FF5"/>
    <w:rsid w:val="00DA7813"/>
    <w:rsid w:val="00DA7A1C"/>
    <w:rsid w:val="00DB2E62"/>
    <w:rsid w:val="00DB2FE9"/>
    <w:rsid w:val="00DB443E"/>
    <w:rsid w:val="00DB6ECE"/>
    <w:rsid w:val="00DC11E5"/>
    <w:rsid w:val="00DC154F"/>
    <w:rsid w:val="00DC1A09"/>
    <w:rsid w:val="00DC290B"/>
    <w:rsid w:val="00DC2ED3"/>
    <w:rsid w:val="00DC312D"/>
    <w:rsid w:val="00DC5925"/>
    <w:rsid w:val="00DC7E6B"/>
    <w:rsid w:val="00DD0B41"/>
    <w:rsid w:val="00DD1AED"/>
    <w:rsid w:val="00DD3C4D"/>
    <w:rsid w:val="00DD5999"/>
    <w:rsid w:val="00DD729A"/>
    <w:rsid w:val="00DD741D"/>
    <w:rsid w:val="00DE0E84"/>
    <w:rsid w:val="00DE1CC3"/>
    <w:rsid w:val="00DE41E4"/>
    <w:rsid w:val="00DE4C89"/>
    <w:rsid w:val="00DE5901"/>
    <w:rsid w:val="00DE7CB8"/>
    <w:rsid w:val="00DF480F"/>
    <w:rsid w:val="00DF643E"/>
    <w:rsid w:val="00DF6B51"/>
    <w:rsid w:val="00DF77BE"/>
    <w:rsid w:val="00E0455D"/>
    <w:rsid w:val="00E069CF"/>
    <w:rsid w:val="00E07A6E"/>
    <w:rsid w:val="00E10349"/>
    <w:rsid w:val="00E12B11"/>
    <w:rsid w:val="00E135D8"/>
    <w:rsid w:val="00E14697"/>
    <w:rsid w:val="00E16B9A"/>
    <w:rsid w:val="00E17893"/>
    <w:rsid w:val="00E17FFC"/>
    <w:rsid w:val="00E200CA"/>
    <w:rsid w:val="00E20FC3"/>
    <w:rsid w:val="00E210D3"/>
    <w:rsid w:val="00E2354D"/>
    <w:rsid w:val="00E2384A"/>
    <w:rsid w:val="00E23A4B"/>
    <w:rsid w:val="00E26629"/>
    <w:rsid w:val="00E26CCF"/>
    <w:rsid w:val="00E3119C"/>
    <w:rsid w:val="00E335BC"/>
    <w:rsid w:val="00E35BD6"/>
    <w:rsid w:val="00E3620C"/>
    <w:rsid w:val="00E37A01"/>
    <w:rsid w:val="00E41109"/>
    <w:rsid w:val="00E4143F"/>
    <w:rsid w:val="00E416A4"/>
    <w:rsid w:val="00E50E6A"/>
    <w:rsid w:val="00E5138E"/>
    <w:rsid w:val="00E51745"/>
    <w:rsid w:val="00E51E41"/>
    <w:rsid w:val="00E52455"/>
    <w:rsid w:val="00E528F3"/>
    <w:rsid w:val="00E53371"/>
    <w:rsid w:val="00E537C8"/>
    <w:rsid w:val="00E53DE6"/>
    <w:rsid w:val="00E54685"/>
    <w:rsid w:val="00E5501D"/>
    <w:rsid w:val="00E565BF"/>
    <w:rsid w:val="00E604B0"/>
    <w:rsid w:val="00E614F2"/>
    <w:rsid w:val="00E6199F"/>
    <w:rsid w:val="00E62668"/>
    <w:rsid w:val="00E6729B"/>
    <w:rsid w:val="00E67F5E"/>
    <w:rsid w:val="00E71A87"/>
    <w:rsid w:val="00E72E9D"/>
    <w:rsid w:val="00E761F2"/>
    <w:rsid w:val="00E770DA"/>
    <w:rsid w:val="00E775F4"/>
    <w:rsid w:val="00E80D60"/>
    <w:rsid w:val="00E81125"/>
    <w:rsid w:val="00E8142E"/>
    <w:rsid w:val="00E82A6C"/>
    <w:rsid w:val="00E82F20"/>
    <w:rsid w:val="00E839FA"/>
    <w:rsid w:val="00E83B34"/>
    <w:rsid w:val="00E83B86"/>
    <w:rsid w:val="00E860C8"/>
    <w:rsid w:val="00E86606"/>
    <w:rsid w:val="00E8780D"/>
    <w:rsid w:val="00E87963"/>
    <w:rsid w:val="00E9077A"/>
    <w:rsid w:val="00E90EAC"/>
    <w:rsid w:val="00E92820"/>
    <w:rsid w:val="00E9372C"/>
    <w:rsid w:val="00E94C7E"/>
    <w:rsid w:val="00E96EA7"/>
    <w:rsid w:val="00E9747B"/>
    <w:rsid w:val="00EA2297"/>
    <w:rsid w:val="00EA2616"/>
    <w:rsid w:val="00EA2E16"/>
    <w:rsid w:val="00EA2F66"/>
    <w:rsid w:val="00EA3C7D"/>
    <w:rsid w:val="00EA3D1E"/>
    <w:rsid w:val="00EA6D2F"/>
    <w:rsid w:val="00EA71D8"/>
    <w:rsid w:val="00EB2722"/>
    <w:rsid w:val="00EB274F"/>
    <w:rsid w:val="00EB2780"/>
    <w:rsid w:val="00EB3A71"/>
    <w:rsid w:val="00EB4003"/>
    <w:rsid w:val="00EB5BBF"/>
    <w:rsid w:val="00EB6175"/>
    <w:rsid w:val="00EB6E74"/>
    <w:rsid w:val="00EC0228"/>
    <w:rsid w:val="00EC2DB8"/>
    <w:rsid w:val="00EC361A"/>
    <w:rsid w:val="00EC4962"/>
    <w:rsid w:val="00EC53C0"/>
    <w:rsid w:val="00EC5CF1"/>
    <w:rsid w:val="00EC7FBE"/>
    <w:rsid w:val="00EC7FEF"/>
    <w:rsid w:val="00ED1A81"/>
    <w:rsid w:val="00ED1AFC"/>
    <w:rsid w:val="00ED22C5"/>
    <w:rsid w:val="00ED310E"/>
    <w:rsid w:val="00EE0E03"/>
    <w:rsid w:val="00EE25A0"/>
    <w:rsid w:val="00EE296C"/>
    <w:rsid w:val="00EE5EEE"/>
    <w:rsid w:val="00EE6196"/>
    <w:rsid w:val="00EF3BF3"/>
    <w:rsid w:val="00EF4185"/>
    <w:rsid w:val="00EF4F98"/>
    <w:rsid w:val="00EF5702"/>
    <w:rsid w:val="00EF6501"/>
    <w:rsid w:val="00EF7C3C"/>
    <w:rsid w:val="00F00745"/>
    <w:rsid w:val="00F01BB0"/>
    <w:rsid w:val="00F01EE2"/>
    <w:rsid w:val="00F03850"/>
    <w:rsid w:val="00F04569"/>
    <w:rsid w:val="00F04CEC"/>
    <w:rsid w:val="00F0509F"/>
    <w:rsid w:val="00F1455C"/>
    <w:rsid w:val="00F14CAE"/>
    <w:rsid w:val="00F230AD"/>
    <w:rsid w:val="00F234DF"/>
    <w:rsid w:val="00F25697"/>
    <w:rsid w:val="00F25AEC"/>
    <w:rsid w:val="00F25F28"/>
    <w:rsid w:val="00F263BE"/>
    <w:rsid w:val="00F30CEB"/>
    <w:rsid w:val="00F30FC7"/>
    <w:rsid w:val="00F34CB3"/>
    <w:rsid w:val="00F352E3"/>
    <w:rsid w:val="00F35F56"/>
    <w:rsid w:val="00F37262"/>
    <w:rsid w:val="00F40368"/>
    <w:rsid w:val="00F4334A"/>
    <w:rsid w:val="00F47A9D"/>
    <w:rsid w:val="00F47F02"/>
    <w:rsid w:val="00F51C1C"/>
    <w:rsid w:val="00F51C58"/>
    <w:rsid w:val="00F523F4"/>
    <w:rsid w:val="00F537A5"/>
    <w:rsid w:val="00F53AEA"/>
    <w:rsid w:val="00F53EE6"/>
    <w:rsid w:val="00F560C9"/>
    <w:rsid w:val="00F574B7"/>
    <w:rsid w:val="00F610AE"/>
    <w:rsid w:val="00F61E6C"/>
    <w:rsid w:val="00F628B5"/>
    <w:rsid w:val="00F62A61"/>
    <w:rsid w:val="00F63547"/>
    <w:rsid w:val="00F647F9"/>
    <w:rsid w:val="00F65021"/>
    <w:rsid w:val="00F66242"/>
    <w:rsid w:val="00F6694A"/>
    <w:rsid w:val="00F71857"/>
    <w:rsid w:val="00F71ED3"/>
    <w:rsid w:val="00F751CC"/>
    <w:rsid w:val="00F756A1"/>
    <w:rsid w:val="00F75A9F"/>
    <w:rsid w:val="00F769FF"/>
    <w:rsid w:val="00F807F6"/>
    <w:rsid w:val="00F82199"/>
    <w:rsid w:val="00F82F6B"/>
    <w:rsid w:val="00F84047"/>
    <w:rsid w:val="00F845C5"/>
    <w:rsid w:val="00F85F17"/>
    <w:rsid w:val="00F902BC"/>
    <w:rsid w:val="00F91BE1"/>
    <w:rsid w:val="00F91C79"/>
    <w:rsid w:val="00F928A9"/>
    <w:rsid w:val="00F935B3"/>
    <w:rsid w:val="00F93AD6"/>
    <w:rsid w:val="00F95552"/>
    <w:rsid w:val="00F97906"/>
    <w:rsid w:val="00FA0614"/>
    <w:rsid w:val="00FA15E6"/>
    <w:rsid w:val="00FA1A2F"/>
    <w:rsid w:val="00FA1A44"/>
    <w:rsid w:val="00FA226B"/>
    <w:rsid w:val="00FA4123"/>
    <w:rsid w:val="00FA486E"/>
    <w:rsid w:val="00FA5222"/>
    <w:rsid w:val="00FA681E"/>
    <w:rsid w:val="00FA794E"/>
    <w:rsid w:val="00FB0257"/>
    <w:rsid w:val="00FB1CC6"/>
    <w:rsid w:val="00FB5F5D"/>
    <w:rsid w:val="00FB6702"/>
    <w:rsid w:val="00FB68DA"/>
    <w:rsid w:val="00FB78B6"/>
    <w:rsid w:val="00FC0BC5"/>
    <w:rsid w:val="00FC2787"/>
    <w:rsid w:val="00FC421A"/>
    <w:rsid w:val="00FC7457"/>
    <w:rsid w:val="00FD04E1"/>
    <w:rsid w:val="00FD2C62"/>
    <w:rsid w:val="00FD3150"/>
    <w:rsid w:val="00FD46F6"/>
    <w:rsid w:val="00FD588F"/>
    <w:rsid w:val="00FD6556"/>
    <w:rsid w:val="00FD68DA"/>
    <w:rsid w:val="00FD6EE8"/>
    <w:rsid w:val="00FD703A"/>
    <w:rsid w:val="00FE044F"/>
    <w:rsid w:val="00FE28E2"/>
    <w:rsid w:val="00FE2E28"/>
    <w:rsid w:val="00FE41EE"/>
    <w:rsid w:val="00FE42F5"/>
    <w:rsid w:val="00FE73FF"/>
    <w:rsid w:val="00FE7924"/>
    <w:rsid w:val="00FF07EE"/>
    <w:rsid w:val="00FF22CC"/>
    <w:rsid w:val="00FF2FDF"/>
    <w:rsid w:val="00FF3AD0"/>
    <w:rsid w:val="00FF61B9"/>
    <w:rsid w:val="00FF6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7F1AB"/>
  <w15:docId w15:val="{A35B4E5F-9B68-4978-A59F-3279FCB2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15C"/>
    <w:rPr>
      <w:rFonts w:eastAsiaTheme="minorEastAsia"/>
      <w:lang w:val="en-GB" w:bidi="en-US"/>
    </w:rPr>
  </w:style>
  <w:style w:type="paragraph" w:styleId="Heading1">
    <w:name w:val="heading 1"/>
    <w:basedOn w:val="Normal"/>
    <w:next w:val="Normal"/>
    <w:link w:val="Heading1Char"/>
    <w:uiPriority w:val="9"/>
    <w:qFormat/>
    <w:rsid w:val="00FD2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C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7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37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1A2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C4"/>
    <w:pPr>
      <w:ind w:left="720"/>
      <w:contextualSpacing/>
    </w:pPr>
  </w:style>
  <w:style w:type="paragraph" w:styleId="FootnoteText">
    <w:name w:val="footnote text"/>
    <w:basedOn w:val="Normal"/>
    <w:link w:val="FootnoteTextChar"/>
    <w:uiPriority w:val="99"/>
    <w:rsid w:val="000805C4"/>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0805C4"/>
    <w:rPr>
      <w:rFonts w:ascii="Calibri" w:eastAsia="Times New Roman" w:hAnsi="Calibri" w:cs="Times New Roman"/>
      <w:sz w:val="20"/>
      <w:szCs w:val="20"/>
      <w:lang w:val="en-GB" w:bidi="en-US"/>
    </w:rPr>
  </w:style>
  <w:style w:type="character" w:styleId="FootnoteReference">
    <w:name w:val="footnote reference"/>
    <w:uiPriority w:val="99"/>
    <w:rsid w:val="000805C4"/>
    <w:rPr>
      <w:rFonts w:cs="Times New Roman"/>
      <w:vertAlign w:val="superscript"/>
    </w:rPr>
  </w:style>
  <w:style w:type="character" w:styleId="Hyperlink">
    <w:name w:val="Hyperlink"/>
    <w:uiPriority w:val="99"/>
    <w:rsid w:val="00FD2C62"/>
    <w:rPr>
      <w:rFonts w:cs="Times New Roman"/>
      <w:color w:val="0000FF"/>
      <w:u w:val="single"/>
    </w:rPr>
  </w:style>
  <w:style w:type="paragraph" w:styleId="ListBullet">
    <w:name w:val="List Bullet"/>
    <w:basedOn w:val="Normal"/>
    <w:unhideWhenUsed/>
    <w:rsid w:val="00FD2C62"/>
    <w:pPr>
      <w:numPr>
        <w:numId w:val="2"/>
      </w:numPr>
      <w:contextualSpacing/>
    </w:pPr>
    <w:rPr>
      <w:lang w:val="en-SG" w:eastAsia="en-SG" w:bidi="ar-SA"/>
    </w:rPr>
  </w:style>
  <w:style w:type="character" w:customStyle="1" w:styleId="Heading2Char">
    <w:name w:val="Heading 2 Char"/>
    <w:basedOn w:val="DefaultParagraphFont"/>
    <w:link w:val="Heading2"/>
    <w:uiPriority w:val="9"/>
    <w:rsid w:val="00FD2C62"/>
    <w:rPr>
      <w:rFonts w:asciiTheme="majorHAnsi" w:eastAsiaTheme="majorEastAsia" w:hAnsiTheme="majorHAnsi" w:cstheme="majorBidi"/>
      <w:b/>
      <w:bCs/>
      <w:color w:val="4F81BD" w:themeColor="accent1"/>
      <w:sz w:val="26"/>
      <w:szCs w:val="26"/>
      <w:lang w:val="en-GB" w:bidi="en-US"/>
    </w:rPr>
  </w:style>
  <w:style w:type="character" w:customStyle="1" w:styleId="Heading1Char">
    <w:name w:val="Heading 1 Char"/>
    <w:basedOn w:val="DefaultParagraphFont"/>
    <w:link w:val="Heading1"/>
    <w:uiPriority w:val="9"/>
    <w:rsid w:val="00FD2C62"/>
    <w:rPr>
      <w:rFonts w:asciiTheme="majorHAnsi" w:eastAsiaTheme="majorEastAsia" w:hAnsiTheme="majorHAnsi" w:cstheme="majorBidi"/>
      <w:b/>
      <w:bCs/>
      <w:color w:val="365F91" w:themeColor="accent1" w:themeShade="BF"/>
      <w:sz w:val="28"/>
      <w:szCs w:val="28"/>
      <w:lang w:val="en-GB" w:bidi="en-US"/>
    </w:rPr>
  </w:style>
  <w:style w:type="character" w:customStyle="1" w:styleId="Heading3Char">
    <w:name w:val="Heading 3 Char"/>
    <w:basedOn w:val="DefaultParagraphFont"/>
    <w:link w:val="Heading3"/>
    <w:uiPriority w:val="9"/>
    <w:rsid w:val="0062378D"/>
    <w:rPr>
      <w:rFonts w:asciiTheme="majorHAnsi" w:eastAsiaTheme="majorEastAsia" w:hAnsiTheme="majorHAnsi" w:cstheme="majorBidi"/>
      <w:b/>
      <w:bCs/>
      <w:color w:val="4F81BD" w:themeColor="accent1"/>
      <w:lang w:val="en-GB" w:bidi="en-US"/>
    </w:rPr>
  </w:style>
  <w:style w:type="character" w:customStyle="1" w:styleId="Heading4Char">
    <w:name w:val="Heading 4 Char"/>
    <w:basedOn w:val="DefaultParagraphFont"/>
    <w:link w:val="Heading4"/>
    <w:uiPriority w:val="9"/>
    <w:rsid w:val="0062378D"/>
    <w:rPr>
      <w:rFonts w:asciiTheme="majorHAnsi" w:eastAsiaTheme="majorEastAsia" w:hAnsiTheme="majorHAnsi" w:cstheme="majorBidi"/>
      <w:b/>
      <w:bCs/>
      <w:i/>
      <w:iCs/>
      <w:color w:val="4F81BD" w:themeColor="accent1"/>
      <w:lang w:val="en-GB" w:bidi="en-US"/>
    </w:rPr>
  </w:style>
  <w:style w:type="table" w:styleId="TableGrid">
    <w:name w:val="Table Grid"/>
    <w:basedOn w:val="TableNormal"/>
    <w:rsid w:val="0090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A2593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D07D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A4217"/>
    <w:rPr>
      <w:sz w:val="16"/>
      <w:szCs w:val="16"/>
    </w:rPr>
  </w:style>
  <w:style w:type="paragraph" w:styleId="CommentText">
    <w:name w:val="annotation text"/>
    <w:basedOn w:val="Normal"/>
    <w:link w:val="CommentTextChar"/>
    <w:uiPriority w:val="99"/>
    <w:semiHidden/>
    <w:unhideWhenUsed/>
    <w:rsid w:val="008A4217"/>
    <w:pPr>
      <w:spacing w:line="240" w:lineRule="auto"/>
    </w:pPr>
    <w:rPr>
      <w:sz w:val="20"/>
      <w:szCs w:val="20"/>
    </w:rPr>
  </w:style>
  <w:style w:type="character" w:customStyle="1" w:styleId="CommentTextChar">
    <w:name w:val="Comment Text Char"/>
    <w:basedOn w:val="DefaultParagraphFont"/>
    <w:link w:val="CommentText"/>
    <w:uiPriority w:val="99"/>
    <w:semiHidden/>
    <w:rsid w:val="008A4217"/>
    <w:rPr>
      <w:rFonts w:eastAsiaTheme="minorEastAsia"/>
      <w:sz w:val="20"/>
      <w:szCs w:val="20"/>
      <w:lang w:val="en-GB" w:bidi="en-US"/>
    </w:rPr>
  </w:style>
  <w:style w:type="paragraph" w:styleId="CommentSubject">
    <w:name w:val="annotation subject"/>
    <w:basedOn w:val="CommentText"/>
    <w:next w:val="CommentText"/>
    <w:link w:val="CommentSubjectChar"/>
    <w:uiPriority w:val="99"/>
    <w:semiHidden/>
    <w:unhideWhenUsed/>
    <w:rsid w:val="008A4217"/>
    <w:rPr>
      <w:b/>
      <w:bCs/>
    </w:rPr>
  </w:style>
  <w:style w:type="character" w:customStyle="1" w:styleId="CommentSubjectChar">
    <w:name w:val="Comment Subject Char"/>
    <w:basedOn w:val="CommentTextChar"/>
    <w:link w:val="CommentSubject"/>
    <w:uiPriority w:val="99"/>
    <w:semiHidden/>
    <w:rsid w:val="008A4217"/>
    <w:rPr>
      <w:rFonts w:eastAsiaTheme="minorEastAsia"/>
      <w:b/>
      <w:bCs/>
      <w:sz w:val="20"/>
      <w:szCs w:val="20"/>
      <w:lang w:val="en-GB" w:bidi="en-US"/>
    </w:rPr>
  </w:style>
  <w:style w:type="paragraph" w:styleId="BalloonText">
    <w:name w:val="Balloon Text"/>
    <w:basedOn w:val="Normal"/>
    <w:link w:val="BalloonTextChar"/>
    <w:uiPriority w:val="99"/>
    <w:semiHidden/>
    <w:unhideWhenUsed/>
    <w:rsid w:val="008A4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217"/>
    <w:rPr>
      <w:rFonts w:ascii="Segoe UI" w:eastAsiaTheme="minorEastAsia" w:hAnsi="Segoe UI" w:cs="Segoe UI"/>
      <w:sz w:val="18"/>
      <w:szCs w:val="18"/>
      <w:lang w:val="en-GB" w:bidi="en-US"/>
    </w:rPr>
  </w:style>
  <w:style w:type="character" w:customStyle="1" w:styleId="Heading5Char">
    <w:name w:val="Heading 5 Char"/>
    <w:basedOn w:val="DefaultParagraphFont"/>
    <w:link w:val="Heading5"/>
    <w:uiPriority w:val="9"/>
    <w:rsid w:val="00061A20"/>
    <w:rPr>
      <w:rFonts w:asciiTheme="majorHAnsi" w:eastAsiaTheme="majorEastAsia" w:hAnsiTheme="majorHAnsi" w:cstheme="majorBidi"/>
      <w:color w:val="365F91" w:themeColor="accent1" w:themeShade="BF"/>
      <w:lang w:val="en-GB" w:bidi="en-US"/>
    </w:rPr>
  </w:style>
  <w:style w:type="character" w:styleId="IntenseEmphasis">
    <w:name w:val="Intense Emphasis"/>
    <w:basedOn w:val="DefaultParagraphFont"/>
    <w:uiPriority w:val="21"/>
    <w:qFormat/>
    <w:rsid w:val="00061A20"/>
    <w:rPr>
      <w:i/>
      <w:iCs/>
      <w:color w:val="4F81BD" w:themeColor="accent1"/>
    </w:rPr>
  </w:style>
  <w:style w:type="paragraph" w:styleId="Revision">
    <w:name w:val="Revision"/>
    <w:hidden/>
    <w:uiPriority w:val="99"/>
    <w:semiHidden/>
    <w:rsid w:val="000D28D9"/>
    <w:pPr>
      <w:spacing w:after="0" w:line="240" w:lineRule="auto"/>
    </w:pPr>
    <w:rPr>
      <w:rFonts w:eastAsiaTheme="minorEastAsia"/>
      <w:lang w:val="en-GB" w:bidi="en-US"/>
    </w:rPr>
  </w:style>
  <w:style w:type="paragraph" w:styleId="NoSpacing">
    <w:name w:val="No Spacing"/>
    <w:uiPriority w:val="1"/>
    <w:qFormat/>
    <w:rsid w:val="009F2D0F"/>
    <w:pPr>
      <w:spacing w:after="0" w:line="240" w:lineRule="auto"/>
    </w:pPr>
    <w:rPr>
      <w:rFonts w:eastAsiaTheme="minorEastAsia"/>
      <w:lang w:eastAsia="en-SG"/>
    </w:rPr>
  </w:style>
  <w:style w:type="paragraph" w:styleId="Subtitle">
    <w:name w:val="Subtitle"/>
    <w:basedOn w:val="Normal"/>
    <w:next w:val="Normal"/>
    <w:link w:val="SubtitleChar"/>
    <w:uiPriority w:val="11"/>
    <w:qFormat/>
    <w:rsid w:val="009F2D0F"/>
    <w:pPr>
      <w:numPr>
        <w:ilvl w:val="1"/>
      </w:numPr>
    </w:pPr>
    <w:rPr>
      <w:rFonts w:asciiTheme="majorHAnsi" w:eastAsiaTheme="majorEastAsia" w:hAnsiTheme="majorHAnsi" w:cstheme="majorBidi"/>
      <w:i/>
      <w:iCs/>
      <w:color w:val="4F81BD" w:themeColor="accent1"/>
      <w:spacing w:val="15"/>
      <w:sz w:val="24"/>
      <w:szCs w:val="24"/>
      <w:lang w:val="en-SG" w:eastAsia="en-SG" w:bidi="ar-SA"/>
    </w:rPr>
  </w:style>
  <w:style w:type="character" w:customStyle="1" w:styleId="SubtitleChar">
    <w:name w:val="Subtitle Char"/>
    <w:basedOn w:val="DefaultParagraphFont"/>
    <w:link w:val="Subtitle"/>
    <w:uiPriority w:val="11"/>
    <w:rsid w:val="009F2D0F"/>
    <w:rPr>
      <w:rFonts w:asciiTheme="majorHAnsi" w:eastAsiaTheme="majorEastAsia" w:hAnsiTheme="majorHAnsi" w:cstheme="majorBidi"/>
      <w:i/>
      <w:iCs/>
      <w:color w:val="4F81BD" w:themeColor="accent1"/>
      <w:spacing w:val="15"/>
      <w:sz w:val="24"/>
      <w:szCs w:val="24"/>
      <w:lang w:eastAsia="en-SG"/>
    </w:rPr>
  </w:style>
  <w:style w:type="paragraph" w:styleId="Header">
    <w:name w:val="header"/>
    <w:basedOn w:val="Normal"/>
    <w:link w:val="HeaderChar"/>
    <w:uiPriority w:val="99"/>
    <w:unhideWhenUsed/>
    <w:rsid w:val="00340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D26"/>
    <w:rPr>
      <w:rFonts w:eastAsiaTheme="minorEastAsia"/>
      <w:lang w:val="en-GB" w:bidi="en-US"/>
    </w:rPr>
  </w:style>
  <w:style w:type="paragraph" w:styleId="Footer">
    <w:name w:val="footer"/>
    <w:basedOn w:val="Normal"/>
    <w:link w:val="FooterChar"/>
    <w:uiPriority w:val="99"/>
    <w:unhideWhenUsed/>
    <w:rsid w:val="00340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D26"/>
    <w:rPr>
      <w:rFonts w:eastAsiaTheme="minorEastAsia"/>
      <w:lang w:val="en-GB" w:bidi="en-US"/>
    </w:rPr>
  </w:style>
  <w:style w:type="paragraph" w:customStyle="1" w:styleId="ColorfulList-Accent11">
    <w:name w:val="Colorful List - Accent 11"/>
    <w:basedOn w:val="Normal"/>
    <w:rsid w:val="00CC0EE2"/>
    <w:pPr>
      <w:spacing w:line="240" w:lineRule="auto"/>
      <w:ind w:left="720"/>
      <w:contextualSpacing/>
    </w:pPr>
    <w:rPr>
      <w:rFonts w:ascii="Cambria" w:eastAsia="Cambria" w:hAnsi="Cambria" w:cs="Times New Roman"/>
      <w:sz w:val="24"/>
      <w:szCs w:val="24"/>
      <w:lang w:bidi="ar-SA"/>
    </w:rPr>
  </w:style>
  <w:style w:type="paragraph" w:customStyle="1" w:styleId="Heading30">
    <w:name w:val="Heading3"/>
    <w:basedOn w:val="Normal"/>
    <w:link w:val="Heading3Char0"/>
    <w:qFormat/>
    <w:rsid w:val="00723034"/>
    <w:pPr>
      <w:keepNext/>
      <w:keepLines/>
      <w:spacing w:before="200" w:after="0" w:line="240" w:lineRule="auto"/>
      <w:outlineLvl w:val="2"/>
    </w:pPr>
    <w:rPr>
      <w:rFonts w:ascii="Cambria" w:eastAsia="Calibri" w:hAnsi="Cambria" w:cs="Times New Roman"/>
      <w:b/>
      <w:bCs/>
      <w:color w:val="4F81BD"/>
      <w:sz w:val="24"/>
    </w:rPr>
  </w:style>
  <w:style w:type="character" w:customStyle="1" w:styleId="Heading3Char0">
    <w:name w:val="Heading3 Char"/>
    <w:basedOn w:val="DefaultParagraphFont"/>
    <w:link w:val="Heading30"/>
    <w:rsid w:val="00723034"/>
    <w:rPr>
      <w:rFonts w:ascii="Cambria" w:eastAsia="Calibri" w:hAnsi="Cambria" w:cs="Times New Roman"/>
      <w:b/>
      <w:bCs/>
      <w:color w:val="4F81BD"/>
      <w:sz w:val="24"/>
      <w:lang w:val="en-GB" w:bidi="en-US"/>
    </w:rPr>
  </w:style>
  <w:style w:type="character" w:styleId="Emphasis">
    <w:name w:val="Emphasis"/>
    <w:basedOn w:val="DefaultParagraphFont"/>
    <w:uiPriority w:val="20"/>
    <w:qFormat/>
    <w:rsid w:val="0027047F"/>
    <w:rPr>
      <w:i/>
      <w:iCs/>
    </w:rPr>
  </w:style>
  <w:style w:type="character" w:customStyle="1" w:styleId="gi">
    <w:name w:val="gi"/>
    <w:basedOn w:val="DefaultParagraphFont"/>
    <w:rsid w:val="0027047F"/>
  </w:style>
  <w:style w:type="character" w:styleId="FollowedHyperlink">
    <w:name w:val="FollowedHyperlink"/>
    <w:basedOn w:val="DefaultParagraphFont"/>
    <w:uiPriority w:val="99"/>
    <w:semiHidden/>
    <w:unhideWhenUsed/>
    <w:rsid w:val="00764D73"/>
    <w:rPr>
      <w:color w:val="800080" w:themeColor="followedHyperlink"/>
      <w:u w:val="single"/>
    </w:rPr>
  </w:style>
  <w:style w:type="table" w:customStyle="1" w:styleId="GridTable4-Accent51">
    <w:name w:val="Grid Table 4 - Accent 51"/>
    <w:basedOn w:val="TableNormal"/>
    <w:uiPriority w:val="49"/>
    <w:rsid w:val="00A67C05"/>
    <w:pPr>
      <w:spacing w:after="0" w:line="240" w:lineRule="auto"/>
    </w:pPr>
    <w:rPr>
      <w:lang w:val="en-GB"/>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4960F3"/>
    <w:pPr>
      <w:spacing w:before="240" w:line="259" w:lineRule="auto"/>
      <w:outlineLvl w:val="9"/>
    </w:pPr>
    <w:rPr>
      <w:b w:val="0"/>
      <w:bCs w:val="0"/>
      <w:sz w:val="32"/>
      <w:szCs w:val="32"/>
      <w:lang w:val="en-US" w:bidi="ar-SA"/>
    </w:rPr>
  </w:style>
  <w:style w:type="paragraph" w:styleId="TOC3">
    <w:name w:val="toc 3"/>
    <w:basedOn w:val="Normal"/>
    <w:next w:val="Normal"/>
    <w:autoRedefine/>
    <w:uiPriority w:val="39"/>
    <w:unhideWhenUsed/>
    <w:rsid w:val="004960F3"/>
    <w:pPr>
      <w:spacing w:after="100"/>
      <w:ind w:left="440"/>
    </w:pPr>
  </w:style>
  <w:style w:type="paragraph" w:styleId="TOC1">
    <w:name w:val="toc 1"/>
    <w:basedOn w:val="Normal"/>
    <w:next w:val="Normal"/>
    <w:autoRedefine/>
    <w:uiPriority w:val="39"/>
    <w:unhideWhenUsed/>
    <w:rsid w:val="00242CA6"/>
    <w:pPr>
      <w:tabs>
        <w:tab w:val="left" w:pos="440"/>
        <w:tab w:val="right" w:leader="dot" w:pos="14786"/>
      </w:tabs>
      <w:spacing w:after="100"/>
    </w:pPr>
    <w:rPr>
      <w:rFonts w:ascii="Cambria" w:eastAsia="Times New Roman" w:hAnsi="Cambria"/>
      <w:bCs/>
      <w:noProof/>
    </w:rPr>
  </w:style>
  <w:style w:type="paragraph" w:styleId="TOC2">
    <w:name w:val="toc 2"/>
    <w:basedOn w:val="Normal"/>
    <w:next w:val="Normal"/>
    <w:autoRedefine/>
    <w:uiPriority w:val="39"/>
    <w:unhideWhenUsed/>
    <w:rsid w:val="004960F3"/>
    <w:pPr>
      <w:spacing w:after="100"/>
      <w:ind w:left="220"/>
    </w:pPr>
  </w:style>
  <w:style w:type="table" w:customStyle="1" w:styleId="GridTable1Light-Accent12">
    <w:name w:val="Grid Table 1 Light - Accent 12"/>
    <w:basedOn w:val="TableNormal"/>
    <w:uiPriority w:val="46"/>
    <w:rsid w:val="000C34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5C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446">
      <w:bodyDiv w:val="1"/>
      <w:marLeft w:val="0"/>
      <w:marRight w:val="0"/>
      <w:marTop w:val="0"/>
      <w:marBottom w:val="0"/>
      <w:divBdr>
        <w:top w:val="none" w:sz="0" w:space="0" w:color="auto"/>
        <w:left w:val="none" w:sz="0" w:space="0" w:color="auto"/>
        <w:bottom w:val="none" w:sz="0" w:space="0" w:color="auto"/>
        <w:right w:val="none" w:sz="0" w:space="0" w:color="auto"/>
      </w:divBdr>
    </w:div>
    <w:div w:id="45489639">
      <w:bodyDiv w:val="1"/>
      <w:marLeft w:val="0"/>
      <w:marRight w:val="0"/>
      <w:marTop w:val="0"/>
      <w:marBottom w:val="0"/>
      <w:divBdr>
        <w:top w:val="none" w:sz="0" w:space="0" w:color="auto"/>
        <w:left w:val="none" w:sz="0" w:space="0" w:color="auto"/>
        <w:bottom w:val="none" w:sz="0" w:space="0" w:color="auto"/>
        <w:right w:val="none" w:sz="0" w:space="0" w:color="auto"/>
      </w:divBdr>
    </w:div>
    <w:div w:id="811680721">
      <w:bodyDiv w:val="1"/>
      <w:marLeft w:val="0"/>
      <w:marRight w:val="0"/>
      <w:marTop w:val="0"/>
      <w:marBottom w:val="0"/>
      <w:divBdr>
        <w:top w:val="none" w:sz="0" w:space="0" w:color="auto"/>
        <w:left w:val="none" w:sz="0" w:space="0" w:color="auto"/>
        <w:bottom w:val="none" w:sz="0" w:space="0" w:color="auto"/>
        <w:right w:val="none" w:sz="0" w:space="0" w:color="auto"/>
      </w:divBdr>
    </w:div>
    <w:div w:id="938759556">
      <w:bodyDiv w:val="1"/>
      <w:marLeft w:val="0"/>
      <w:marRight w:val="0"/>
      <w:marTop w:val="0"/>
      <w:marBottom w:val="0"/>
      <w:divBdr>
        <w:top w:val="none" w:sz="0" w:space="0" w:color="auto"/>
        <w:left w:val="none" w:sz="0" w:space="0" w:color="auto"/>
        <w:bottom w:val="none" w:sz="0" w:space="0" w:color="auto"/>
        <w:right w:val="none" w:sz="0" w:space="0" w:color="auto"/>
      </w:divBdr>
    </w:div>
    <w:div w:id="1003777455">
      <w:bodyDiv w:val="1"/>
      <w:marLeft w:val="0"/>
      <w:marRight w:val="0"/>
      <w:marTop w:val="0"/>
      <w:marBottom w:val="0"/>
      <w:divBdr>
        <w:top w:val="none" w:sz="0" w:space="0" w:color="auto"/>
        <w:left w:val="none" w:sz="0" w:space="0" w:color="auto"/>
        <w:bottom w:val="none" w:sz="0" w:space="0" w:color="auto"/>
        <w:right w:val="none" w:sz="0" w:space="0" w:color="auto"/>
      </w:divBdr>
    </w:div>
    <w:div w:id="17406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tracker.publishwhatyoufund.org/plan/abou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racker.publishwhatyoufund.org/plan/organisations/"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tracker.publishwhatyoufu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racker.publishwhatyoufund.org/" TargetMode="External"/><Relationship Id="rId20" Type="http://schemas.openxmlformats.org/officeDocument/2006/relationships/hyperlink" Target="mailto:tracker@publishwhatyoufu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ad.gov.ae/En/ForeignAidTrack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ashboard.iatistandard.org/timeliness.html" TargetMode="External"/><Relationship Id="rId23" Type="http://schemas.openxmlformats.org/officeDocument/2006/relationships/hyperlink" Target="http://dashboard.iatistandard.org/timeliness.html" TargetMode="External"/><Relationship Id="rId10" Type="http://schemas.openxmlformats.org/officeDocument/2006/relationships/hyperlink" Target="http://www.tracker.publishwhatyoufund.org" TargetMode="External"/><Relationship Id="rId19" Type="http://schemas.openxmlformats.org/officeDocument/2006/relationships/hyperlink" Target="https://github.com/pwyf/index-data-quality-tes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tracker@publishwhatyoufund.org" TargetMode="External"/><Relationship Id="rId22" Type="http://schemas.openxmlformats.org/officeDocument/2006/relationships/hyperlink" Target="http://tracker.publishwhatyoufun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tracker.publishwhatyoufund.org/" TargetMode="External"/><Relationship Id="rId2" Type="http://schemas.openxmlformats.org/officeDocument/2006/relationships/hyperlink" Target="https://github.com/pwyf/index-data-quality-tests/" TargetMode="External"/><Relationship Id="rId1" Type="http://schemas.openxmlformats.org/officeDocument/2006/relationships/hyperlink" Target="http://www.oecd.org/dac/aid-architecture/acommonstandard.htm" TargetMode="External"/><Relationship Id="rId6" Type="http://schemas.openxmlformats.org/officeDocument/2006/relationships/hyperlink" Target="http://www.oecd.org/dac/aid-architecture/acommonstandard.htm" TargetMode="External"/><Relationship Id="rId5" Type="http://schemas.openxmlformats.org/officeDocument/2006/relationships/hyperlink" Target="http://tracker.publishwhatyoufund.org/publish/about/" TargetMode="External"/><Relationship Id="rId4" Type="http://schemas.openxmlformats.org/officeDocument/2006/relationships/hyperlink" Target="http://www.rti-rating.org/index.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28889065634551"/>
          <c:y val="9.9200613621927239E-2"/>
          <c:w val="0.28752547345723334"/>
          <c:h val="0.77986361293879791"/>
        </c:manualLayout>
      </c:layout>
      <c:pieChart>
        <c:varyColors val="1"/>
        <c:ser>
          <c:idx val="0"/>
          <c:order val="0"/>
          <c:tx>
            <c:strRef>
              <c:f>Sheet1!$B$1</c:f>
              <c:strCache>
                <c:ptCount val="1"/>
                <c:pt idx="0">
                  <c:v>Grouping of 2013 indicators</c:v>
                </c:pt>
              </c:strCache>
            </c:strRef>
          </c:tx>
          <c:spPr>
            <a:ln>
              <a:solidFill>
                <a:schemeClr val="tx1">
                  <a:lumMod val="75000"/>
                  <a:lumOff val="25000"/>
                </a:schemeClr>
              </a:solidFill>
            </a:ln>
          </c:spPr>
          <c:dPt>
            <c:idx val="1"/>
            <c:bubble3D val="0"/>
            <c:spPr>
              <a:solidFill>
                <a:srgbClr val="4F81BD">
                  <a:alpha val="60000"/>
                </a:srgbClr>
              </a:solidFill>
              <a:ln>
                <a:solidFill>
                  <a:schemeClr val="tx1">
                    <a:lumMod val="75000"/>
                    <a:lumOff val="25000"/>
                  </a:schemeClr>
                </a:solidFill>
              </a:ln>
            </c:spPr>
          </c:dPt>
          <c:dPt>
            <c:idx val="2"/>
            <c:bubble3D val="0"/>
            <c:spPr>
              <a:solidFill>
                <a:srgbClr val="4F81BD">
                  <a:alpha val="35000"/>
                </a:srgbClr>
              </a:solidFill>
              <a:ln>
                <a:solidFill>
                  <a:schemeClr val="tx1">
                    <a:lumMod val="75000"/>
                    <a:lumOff val="25000"/>
                  </a:schemeClr>
                </a:solidFill>
              </a:ln>
            </c:spPr>
          </c:dPt>
          <c:dLbls>
            <c:dLbl>
              <c:idx val="0"/>
              <c:layout>
                <c:manualLayout>
                  <c:x val="-4.0214038901702984E-2"/>
                  <c:y val="0.15261304665684011"/>
                </c:manualLayout>
              </c:layout>
              <c:showLegendKey val="0"/>
              <c:showVal val="0"/>
              <c:showCatName val="0"/>
              <c:showSerName val="0"/>
              <c:showPercent val="1"/>
              <c:showBubbleSize val="0"/>
              <c:extLst>
                <c:ext xmlns:c15="http://schemas.microsoft.com/office/drawing/2012/chart" uri="{CE6537A1-D6FC-4f65-9D91-7224C49458BB}"/>
              </c:extLst>
            </c:dLbl>
            <c:dLbl>
              <c:idx val="1"/>
              <c:layout>
                <c:manualLayout>
                  <c:x val="-7.7401309684774253E-2"/>
                  <c:y val="2.904972494876501E-2"/>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9.213376105764548E-2"/>
                  <c:y val="-0.13675859010774341"/>
                </c:manualLayout>
              </c:layout>
              <c:showLegendKey val="0"/>
              <c:showVal val="0"/>
              <c:showCatName val="0"/>
              <c:showSerName val="0"/>
              <c:showPercent val="1"/>
              <c:showBubbleSize val="0"/>
              <c:extLst>
                <c:ext xmlns:c15="http://schemas.microsoft.com/office/drawing/2012/chart" uri="{CE6537A1-D6FC-4f65-9D91-7224C49458BB}"/>
              </c:extLst>
            </c:dLbl>
            <c:numFmt formatCode="0%" sourceLinked="0"/>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Commitment (3)</c:v>
                </c:pt>
                <c:pt idx="1">
                  <c:v>Publication: organisation level (8)</c:v>
                </c:pt>
                <c:pt idx="2">
                  <c:v>Publication: activity level (28)</c:v>
                </c:pt>
              </c:strCache>
            </c:strRef>
          </c:cat>
          <c:val>
            <c:numRef>
              <c:f>Sheet1!$B$2:$B$4</c:f>
              <c:numCache>
                <c:formatCode>General</c:formatCode>
                <c:ptCount val="3"/>
                <c:pt idx="0">
                  <c:v>10</c:v>
                </c:pt>
                <c:pt idx="1">
                  <c:v>25</c:v>
                </c:pt>
                <c:pt idx="2">
                  <c:v>65</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594465325980791"/>
          <c:y val="0.17648920031785045"/>
          <c:w val="0.4126809148856399"/>
          <c:h val="0.6625591755159046"/>
        </c:manualLayout>
      </c:layout>
      <c:overlay val="0"/>
    </c:legend>
    <c:plotVisOnly val="1"/>
    <c:dispBlanksAs val="zero"/>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71930969768675"/>
          <c:y val="7.5213675213675529E-2"/>
          <c:w val="0.56954455822555861"/>
          <c:h val="0.60850124503667813"/>
        </c:manualLayout>
      </c:layout>
      <c:barChart>
        <c:barDir val="bar"/>
        <c:grouping val="clustered"/>
        <c:varyColors val="0"/>
        <c:ser>
          <c:idx val="0"/>
          <c:order val="0"/>
          <c:tx>
            <c:strRef>
              <c:f>Sheet1!$B$1</c:f>
              <c:strCache>
                <c:ptCount val="1"/>
                <c:pt idx="0">
                  <c:v>% score for format of data</c:v>
                </c:pt>
              </c:strCache>
            </c:strRef>
          </c:tx>
          <c:invertIfNegative val="0"/>
          <c:dLbls>
            <c:dLbl>
              <c:idx val="3"/>
              <c:layout>
                <c:manualLayout>
                  <c:x val="0"/>
                  <c:y val="0"/>
                </c:manualLayout>
              </c:layout>
              <c:tx>
                <c:rich>
                  <a:bodyPr/>
                  <a:lstStyle/>
                  <a:p>
                    <a:r>
                      <a:rPr lang="en-US"/>
                      <a:t>Up to 100.00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PDF</c:v>
                </c:pt>
                <c:pt idx="1">
                  <c:v>Website</c:v>
                </c:pt>
                <c:pt idx="2">
                  <c:v>Excel/CSV file</c:v>
                </c:pt>
                <c:pt idx="3">
                  <c:v>IATI-XML</c:v>
                </c:pt>
              </c:strCache>
            </c:strRef>
          </c:cat>
          <c:val>
            <c:numRef>
              <c:f>Sheet1!$B$2:$B$5</c:f>
              <c:numCache>
                <c:formatCode>0.00</c:formatCode>
                <c:ptCount val="4"/>
                <c:pt idx="0">
                  <c:v>16.670000000000005</c:v>
                </c:pt>
                <c:pt idx="1">
                  <c:v>33.33</c:v>
                </c:pt>
                <c:pt idx="2">
                  <c:v>50</c:v>
                </c:pt>
                <c:pt idx="3">
                  <c:v>100</c:v>
                </c:pt>
              </c:numCache>
            </c:numRef>
          </c:val>
        </c:ser>
        <c:dLbls>
          <c:showLegendKey val="0"/>
          <c:showVal val="0"/>
          <c:showCatName val="0"/>
          <c:showSerName val="0"/>
          <c:showPercent val="0"/>
          <c:showBubbleSize val="0"/>
        </c:dLbls>
        <c:gapWidth val="150"/>
        <c:axId val="412029536"/>
        <c:axId val="412026400"/>
      </c:barChart>
      <c:catAx>
        <c:axId val="412029536"/>
        <c:scaling>
          <c:orientation val="minMax"/>
        </c:scaling>
        <c:delete val="0"/>
        <c:axPos val="l"/>
        <c:title>
          <c:tx>
            <c:rich>
              <a:bodyPr rot="-5400000" vert="horz"/>
              <a:lstStyle/>
              <a:p>
                <a:pPr>
                  <a:defRPr/>
                </a:pPr>
                <a:r>
                  <a:rPr lang="en-GB"/>
                  <a:t>Publication</a:t>
                </a:r>
                <a:r>
                  <a:rPr lang="en-GB" baseline="0"/>
                  <a:t> format</a:t>
                </a:r>
                <a:endParaRPr lang="en-GB"/>
              </a:p>
            </c:rich>
          </c:tx>
          <c:layout>
            <c:manualLayout>
              <c:xMode val="edge"/>
              <c:yMode val="edge"/>
              <c:x val="5.7150066017715412E-2"/>
              <c:y val="0.14988088027458107"/>
            </c:manualLayout>
          </c:layout>
          <c:overlay val="0"/>
        </c:title>
        <c:numFmt formatCode="General" sourceLinked="0"/>
        <c:majorTickMark val="out"/>
        <c:minorTickMark val="none"/>
        <c:tickLblPos val="nextTo"/>
        <c:crossAx val="412026400"/>
        <c:crosses val="autoZero"/>
        <c:auto val="1"/>
        <c:lblAlgn val="ctr"/>
        <c:lblOffset val="100"/>
        <c:noMultiLvlLbl val="0"/>
      </c:catAx>
      <c:valAx>
        <c:axId val="412026400"/>
        <c:scaling>
          <c:orientation val="minMax"/>
          <c:max val="100"/>
        </c:scaling>
        <c:delete val="0"/>
        <c:axPos val="b"/>
        <c:majorGridlines/>
        <c:title>
          <c:tx>
            <c:rich>
              <a:bodyPr/>
              <a:lstStyle/>
              <a:p>
                <a:pPr>
                  <a:defRPr/>
                </a:pPr>
                <a:r>
                  <a:rPr lang="en-GB"/>
                  <a:t> Score available for 22 indicators</a:t>
                </a:r>
                <a:r>
                  <a:rPr lang="en-GB" baseline="0"/>
                  <a:t> scored on format</a:t>
                </a:r>
                <a:endParaRPr lang="en-GB"/>
              </a:p>
            </c:rich>
          </c:tx>
          <c:layout>
            <c:manualLayout>
              <c:xMode val="edge"/>
              <c:yMode val="edge"/>
              <c:x val="0.24756996006863721"/>
              <c:y val="0.85044972743791669"/>
            </c:manualLayout>
          </c:layout>
          <c:overlay val="0"/>
        </c:title>
        <c:numFmt formatCode="0.00" sourceLinked="1"/>
        <c:majorTickMark val="out"/>
        <c:minorTickMark val="none"/>
        <c:tickLblPos val="nextTo"/>
        <c:crossAx val="412029536"/>
        <c:crosses val="autoZero"/>
        <c:crossBetween val="between"/>
      </c:valAx>
    </c:plotArea>
    <c:plotVisOnly val="1"/>
    <c:dispBlanksAs val="gap"/>
    <c:showDLblsOverMax val="0"/>
  </c:chart>
  <c:spPr>
    <a:noFill/>
    <a:ln>
      <a:noFill/>
      <a:beve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3310-FC88-443A-964B-1A6EBEFF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18175</Words>
  <Characters>103598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2014 Index Technical Paper</vt:lpstr>
    </vt:vector>
  </TitlesOfParts>
  <Company>Hewlett-Packard</Company>
  <LinksUpToDate>false</LinksUpToDate>
  <CharactersWithSpaces>121530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Index Technical Paper</dc:title>
  <dc:creator>PWYF</dc:creator>
  <cp:lastModifiedBy>Rupert Simons</cp:lastModifiedBy>
  <cp:revision>2</cp:revision>
  <cp:lastPrinted>2014-04-01T17:21:00Z</cp:lastPrinted>
  <dcterms:created xsi:type="dcterms:W3CDTF">2015-09-23T12:38:00Z</dcterms:created>
  <dcterms:modified xsi:type="dcterms:W3CDTF">2015-09-23T12:38:00Z</dcterms:modified>
</cp:coreProperties>
</file>