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4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0069"/>
      </w:tblGrid>
      <w:tr>
        <w:trPr>
          <w:trHeight w:hRule="atLeast" w:val="430"/>
          <w:cantSplit w:val="false"/>
        </w:trPr>
        <w:tc>
          <w:tcPr>
            <w:tcW w:type="dxa" w:w="10069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ru-RU"/>
              </w:rPr>
              <w:t xml:space="preserve">чет № </w:t>
            </w:r>
            <w:bookmarkStart w:id="0" w:name="__DdeLink__1909_1828112100"/>
            <w:r>
              <w:rPr>
                <w:b/>
                <w:bCs/>
                <w:lang w:val="en-US"/>
              </w:rPr>
              <w:t>${orderNumber}</w:t>
            </w:r>
            <w:bookmarkEnd w:id="0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от </w:t>
            </w:r>
            <w:r>
              <w:rPr>
                <w:b/>
                <w:bCs/>
                <w:lang w:val="en-US"/>
              </w:rPr>
              <w:t>${orderDate}</w:t>
            </w:r>
          </w:p>
        </w:tc>
      </w:tr>
      <w:tr>
        <w:trPr>
          <w:trHeight w:hRule="atLeast" w:val="1007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  <w:lang w:val="en-US"/>
              </w:rPr>
            </w:pPr>
            <w:r>
              <w:rPr>
                <w:b/>
                <w:bCs/>
                <w:color w:val="000000"/>
                <w:shd w:fill="auto" w:val="clear"/>
                <w:lang w:val="ru-RU"/>
              </w:rPr>
              <w:t>Поставщик</w:t>
            </w:r>
            <w:r>
              <w:rPr>
                <w:b/>
                <w:bCs/>
                <w:color w:val="000000"/>
                <w:shd w:fill="auto" w:val="clear"/>
                <w:lang w:val="en-US"/>
              </w:rPr>
              <w:t>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/>
              <w:contextualSpacing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ООО «ЭйСиЭс»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 7813426528, КПП 781401001, ОКПО 87426006, ОГРН 1089847376486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197374, Россия, г. Санкт - Петербург, Приморский пр-т, д.137, корп.2, пом. 8Н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 +7(812) 432-38- 38. Факс +7(812) 432-36- 36, сайт: www.acsspb.ru , www.acs-spb.ru</w:t>
            </w:r>
          </w:p>
        </w:tc>
      </w:tr>
      <w:tr>
        <w:trPr>
          <w:trHeight w:hRule="atLeast" w:val="423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Расчетный счет: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Р/с: 40702810100000060733 БИК: 044030804 К/с: 30101810100000000804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Банк: Санкт – Петербургский филиал ОАО «Балтийский Банк»</w:t>
            </w:r>
          </w:p>
        </w:tc>
      </w:tr>
      <w:tr>
        <w:trPr>
          <w:trHeight w:hRule="atLeast" w:val="1063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Плательщик: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${nameBuyer}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${bankData}</w:t>
            </w:r>
          </w:p>
        </w:tc>
      </w:tr>
    </w:tbl>
    <w:p>
      <w:pPr>
        <w:pStyle w:val="style24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783"/>
        <w:gridCol w:w="4695"/>
        <w:gridCol w:w="783"/>
        <w:gridCol w:w="1017"/>
        <w:gridCol w:w="1422"/>
        <w:gridCol w:w="1370"/>
      </w:tblGrid>
      <w:tr>
        <w:trPr>
          <w:trHeight w:hRule="atLeast" w:val="626"/>
          <w:cantSplit w:val="false"/>
        </w:trPr>
        <w:tc>
          <w:tcPr>
            <w:tcW w:type="dxa" w:w="7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п/п</w:t>
            </w:r>
          </w:p>
        </w:tc>
        <w:tc>
          <w:tcPr>
            <w:tcW w:type="dxa" w:w="46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type="dxa" w:w="7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Ед. изм</w:t>
            </w:r>
          </w:p>
        </w:tc>
        <w:tc>
          <w:tcPr>
            <w:tcW w:type="dxa" w:w="101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Цена руб. без НДС</w:t>
            </w:r>
          </w:p>
        </w:tc>
        <w:tc>
          <w:tcPr>
            <w:tcW w:type="dxa" w:w="13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Сумма руб. без НДС</w:t>
            </w:r>
          </w:p>
        </w:tc>
      </w:tr>
      <w:tr>
        <w:trPr>
          <w:cantSplit w:val="false"/>
        </w:trPr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${positionNumber}</w:t>
            </w:r>
          </w:p>
        </w:tc>
        <w:tc>
          <w:tcPr>
            <w:tcW w:type="dxa" w:w="46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${nameItem}</w:t>
            </w:r>
          </w:p>
        </w:tc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${unitsMetr}</w:t>
            </w:r>
          </w:p>
        </w:tc>
        <w:tc>
          <w:tcPr>
            <w:tcW w:type="dxa" w:w="101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${counts}</w:t>
            </w:r>
          </w:p>
        </w:tc>
        <w:tc>
          <w:tcPr>
            <w:tcW w:type="dxa" w:w="14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${oneItemPrice}</w:t>
            </w:r>
          </w:p>
        </w:tc>
        <w:tc>
          <w:tcPr>
            <w:tcW w:type="dxa" w:w="137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${sumItemPrice}</w:t>
            </w:r>
          </w:p>
        </w:tc>
      </w:tr>
    </w:tbl>
    <w:p>
      <w:pPr>
        <w:pStyle w:val="style31"/>
        <w:ind w:hanging="0" w:left="0" w:right="0"/>
        <w:rPr/>
      </w:pPr>
      <w:r>
        <w:rPr/>
      </w:r>
    </w:p>
    <w:tbl>
      <w:tblPr>
        <w:jc w:val="left"/>
        <w:tblInd w:type="dxa" w:w="5837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70"/>
        <w:gridCol w:w="2021"/>
      </w:tblGrid>
      <w:tr>
        <w:trPr>
          <w:trHeight w:hRule="atLeast" w:val="104"/>
          <w:cantSplit w:val="false"/>
        </w:trPr>
        <w:tc>
          <w:tcPr>
            <w:tcW w:type="dxa" w:w="22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Итого:</w:t>
            </w:r>
          </w:p>
        </w:tc>
        <w:tc>
          <w:tcPr>
            <w:tcW w:type="dxa" w:w="20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${sumAllPrice}</w:t>
            </w:r>
          </w:p>
        </w:tc>
      </w:tr>
      <w:tr>
        <w:trPr>
          <w:cantSplit w:val="false"/>
        </w:trPr>
        <w:tc>
          <w:tcPr>
            <w:tcW w:type="dxa" w:w="22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НДС 18 %:</w:t>
            </w:r>
          </w:p>
        </w:tc>
        <w:tc>
          <w:tcPr>
            <w:tcW w:type="dxa" w:w="20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${sumNDS}</w:t>
            </w:r>
          </w:p>
        </w:tc>
      </w:tr>
      <w:tr>
        <w:trPr>
          <w:cantSplit w:val="false"/>
        </w:trPr>
        <w:tc>
          <w:tcPr>
            <w:tcW w:type="dxa" w:w="22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Всего в руб. с НДС:</w:t>
            </w:r>
          </w:p>
        </w:tc>
        <w:tc>
          <w:tcPr>
            <w:tcW w:type="dxa" w:w="20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${sumPlusNds}</w:t>
            </w:r>
          </w:p>
        </w:tc>
      </w:tr>
    </w:tbl>
    <w:p>
      <w:pPr>
        <w:pStyle w:val="style31"/>
        <w:ind w:hanging="0" w:left="0" w:right="0"/>
        <w:rPr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2364740</wp:posOffset>
            </wp:positionH>
            <wp:positionV relativeFrom="paragraph">
              <wp:posOffset>118110</wp:posOffset>
            </wp:positionV>
            <wp:extent cx="2292985" cy="1518920"/>
            <wp:effectExtent b="0" l="0" r="0" t="0"/>
            <wp:wrapNone/>
            <wp:docPr descr="Scan10003_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Scan10003_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1"/>
        <w:ind w:firstLine="142" w:left="-142" w:righ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32"/>
        <w:ind w:hanging="0" w:left="0" w:right="0"/>
        <w:rPr>
          <w:b/>
          <w:szCs w:val="24"/>
        </w:rPr>
      </w:pPr>
      <w:r>
        <w:rPr>
          <w:b/>
          <w:szCs w:val="24"/>
        </w:rPr>
      </w:r>
    </w:p>
    <w:p>
      <w:pPr>
        <w:pStyle w:val="style32"/>
        <w:ind w:firstLine="142" w:left="284" w:right="0"/>
        <w:rPr>
          <w:b/>
          <w:sz w:val="22"/>
          <w:szCs w:val="22"/>
        </w:rPr>
      </w:pPr>
      <w:r>
        <w:rPr>
          <w:b/>
          <w:sz w:val="22"/>
          <w:szCs w:val="22"/>
        </w:rPr>
        <w:t>Генеральный Директор</w:t>
        <w:tab/>
        <w:t xml:space="preserve"> </w:t>
        <w:tab/>
        <w:tab/>
        <w:tab/>
        <w:tab/>
        <w:tab/>
        <w:t xml:space="preserve">                       Яковлев Н.П.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</w:r>
    </w:p>
    <w:p>
      <w:pPr>
        <w:pStyle w:val="style0"/>
        <w:ind w:firstLine="142" w:left="284" w:right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Главный Бухгалтер</w:t>
        <w:tab/>
        <w:tab/>
        <w:tab/>
        <w:tab/>
        <w:tab/>
        <w:tab/>
        <w:t xml:space="preserve">                       Смирнова Ю. М.</w:t>
      </w:r>
    </w:p>
    <w:p>
      <w:pPr>
        <w:pStyle w:val="style0"/>
        <w:rPr>
          <w:rFonts w:ascii="Times New Roman" w:cs="Times New Roman" w:hAnsi="Times New Roman"/>
          <w:sz w:val="18"/>
        </w:rPr>
      </w:pPr>
      <w:r>
        <w:rPr/>
        <w:t xml:space="preserve"> </w:t>
      </w:r>
      <w:r>
        <w:rPr>
          <w:rFonts w:ascii="Times New Roman" w:cs="Times New Roman" w:hAnsi="Times New Roman"/>
          <w:sz w:val="18"/>
        </w:rPr>
        <w:t xml:space="preserve">Ответственный: </w:t>
      </w:r>
    </w:p>
    <w:p>
      <w:pPr>
        <w:pStyle w:val="style31"/>
        <w:spacing w:after="200" w:before="0"/>
        <w:ind w:firstLine="142" w:left="-142" w:right="0"/>
        <w:contextualSpacing/>
        <w:rPr>
          <w:rStyle w:val="style21"/>
          <w:sz w:val="18"/>
        </w:rPr>
      </w:pPr>
      <w:r>
        <w:rPr>
          <w:rFonts w:ascii="Times New Roman" w:cs="Times New Roman" w:hAnsi="Times New Roman"/>
          <w:sz w:val="18"/>
        </w:rPr>
        <w:t xml:space="preserve">Корнев Василий, моб.тел.: +7 (905) 205-15-10, </w:t>
      </w:r>
      <w:r>
        <w:rPr>
          <w:rFonts w:ascii="Times New Roman" w:cs="Times New Roman" w:hAnsi="Times New Roman"/>
          <w:sz w:val="18"/>
          <w:lang w:val="en-US"/>
        </w:rPr>
        <w:t>e</w:t>
      </w:r>
      <w:r>
        <w:rPr>
          <w:rFonts w:ascii="Times New Roman" w:cs="Times New Roman" w:hAnsi="Times New Roman"/>
          <w:sz w:val="18"/>
        </w:rPr>
        <w:t>-</w:t>
      </w:r>
      <w:r>
        <w:rPr>
          <w:rFonts w:ascii="Times New Roman" w:cs="Times New Roman" w:hAnsi="Times New Roman"/>
          <w:sz w:val="18"/>
          <w:lang w:val="en-US"/>
        </w:rPr>
        <w:t>mail</w:t>
      </w:r>
      <w:r>
        <w:rPr>
          <w:rFonts w:ascii="Times New Roman" w:cs="Times New Roman" w:hAnsi="Times New Roman"/>
          <w:sz w:val="18"/>
        </w:rPr>
        <w:t xml:space="preserve">: </w:t>
      </w:r>
      <w:r>
        <w:rPr>
          <w:rStyle w:val="style21"/>
          <w:sz w:val="18"/>
        </w:rPr>
        <w:t>V.Kornev@acs-spb.ru</w:t>
      </w:r>
    </w:p>
    <w:sectPr>
      <w:headerReference r:id="rId3" w:type="default"/>
      <w:footerReference r:id="rId4" w:type="default"/>
      <w:type w:val="nextPage"/>
      <w:pgSz w:h="16838" w:w="11906"/>
      <w:pgMar w:bottom="851" w:footer="297" w:gutter="0" w:header="284" w:left="1418" w:right="424" w:top="1843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  <w:rPr/>
    </w:pPr>
    <w:r>
      <w:rPr/>
    </w:r>
  </w:p>
  <w:p>
    <w:pPr>
      <w:pStyle w:val="style29"/>
      <w:jc w:val="right"/>
      <w:rPr>
        <w:rFonts w:ascii="Times New Roman" w:cs="Times New Roman" w:hAnsi="Times New Roman"/>
        <w:b/>
        <w:bCs/>
        <w:lang w:val="en-US"/>
      </w:rPr>
    </w:pPr>
    <w:r>
      <w:rPr>
        <w:rFonts w:ascii="Times New Roman" w:cs="Times New Roman" w:hAnsi="Times New Roman"/>
      </w:rPr>
      <w:t xml:space="preserve">Стр. </w:t>
    </w:r>
    <w:r>
      <w:rPr>
        <w:rFonts w:ascii="Times New Roman" w:cs="Times New Roman" w:hAnsi="Times New Roma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</w:rPr>
      <w:t xml:space="preserve"> из </w:t>
    </w:r>
    <w:r>
      <w:rPr>
        <w:rFonts w:ascii="Times New Roman" w:cs="Times New Roman" w:hAnsi="Times New Roman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  <w:b/>
        <w:bCs/>
        <w:sz w:val="24"/>
        <w:szCs w:val="24"/>
      </w:rPr>
      <w:t xml:space="preserve"> </w:t>
      <w:tab/>
    </w:r>
    <w:r>
      <w:rPr>
        <w:rFonts w:ascii="Times New Roman" w:cs="Times New Roman" w:hAnsi="Times New Roman"/>
      </w:rPr>
      <w:t xml:space="preserve">Счет № </w:t>
    </w:r>
    <w:r>
      <w:rPr>
        <w:rFonts w:ascii="Times New Roman" w:cs="Times New Roman" w:hAnsi="Times New Roman"/>
        <w:b/>
        <w:bCs/>
        <w:lang w:val="en-US"/>
      </w:rPr>
      <w:t>${orderNumber}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rPr/>
    </w:pPr>
    <w:r>
      <w:rPr/>
      <w:drawing>
        <wp:inline distB="0" distL="0" distR="0" distT="0">
          <wp:extent cx="6358890" cy="768350"/>
          <wp:effectExtent b="0" l="0" r="0" t="0"/>
          <wp:docPr descr="logoblank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blank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8890" cy="768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5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/>
  </w:style>
  <w:style w:styleId="style17" w:type="character">
    <w:name w:val="Нижний колонтитул Знак"/>
    <w:basedOn w:val="style15"/>
    <w:next w:val="style17"/>
    <w:rPr/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Основной текст с отступом Знак"/>
    <w:basedOn w:val="style15"/>
    <w:next w:val="style19"/>
    <w:rPr>
      <w:rFonts w:ascii="Times New Roman" w:cs="Times New Roman" w:eastAsia="Times New Roman" w:hAnsi="Times New Roman"/>
      <w:sz w:val="24"/>
      <w:szCs w:val="20"/>
      <w:lang w:eastAsia="ru-RU"/>
    </w:rPr>
  </w:style>
  <w:style w:styleId="style20" w:type="character">
    <w:name w:val="Основной текст с отступом 2 Знак"/>
    <w:basedOn w:val="style15"/>
    <w:next w:val="style20"/>
    <w:rPr>
      <w:rFonts w:ascii="Arial" w:cs="Times New Roman" w:eastAsia="Times New Roman" w:hAnsi="Arial"/>
      <w:szCs w:val="20"/>
      <w:lang w:eastAsia="ru-RU"/>
    </w:rPr>
  </w:style>
  <w:style w:styleId="style21" w:type="character">
    <w:name w:val="Выделенная цитата Знак"/>
    <w:basedOn w:val="style15"/>
    <w:next w:val="style21"/>
    <w:rPr>
      <w:b/>
      <w:bCs/>
      <w:i/>
      <w:iCs/>
      <w:color w:val="4F81BD"/>
    </w:rPr>
  </w:style>
  <w:style w:styleId="style22" w:type="character">
    <w:name w:val="Интернет-ссылка"/>
    <w:basedOn w:val="style15"/>
    <w:next w:val="style22"/>
    <w:rPr>
      <w:color w:val="0000FF"/>
      <w:u w:val="single"/>
      <w:lang w:bidi="zxx-" w:eastAsia="zxx-" w:val="zxx-"/>
    </w:rPr>
  </w:style>
  <w:style w:styleId="style23" w:type="paragraph">
    <w:name w:val="Заголовок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Основной текст"/>
    <w:basedOn w:val="style0"/>
    <w:next w:val="style24"/>
    <w:pPr>
      <w:spacing w:after="120" w:before="0"/>
      <w:contextualSpacing w:val="false"/>
    </w:pPr>
    <w:rPr/>
  </w:style>
  <w:style w:styleId="style25" w:type="paragraph">
    <w:name w:val="Список"/>
    <w:basedOn w:val="style24"/>
    <w:next w:val="style25"/>
    <w:pPr/>
    <w:rPr>
      <w:rFonts w:cs="Mangal"/>
    </w:rPr>
  </w:style>
  <w:style w:styleId="style26" w:type="paragraph">
    <w:name w:val="Название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Указатель"/>
    <w:basedOn w:val="style0"/>
    <w:next w:val="style27"/>
    <w:pPr>
      <w:suppressLineNumbers/>
    </w:pPr>
    <w:rPr>
      <w:rFonts w:cs="Mangal"/>
    </w:rPr>
  </w:style>
  <w:style w:styleId="style28" w:type="paragraph">
    <w:name w:val="Верхний колонтитул"/>
    <w:basedOn w:val="style0"/>
    <w:next w:val="style28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29" w:type="paragraph">
    <w:name w:val="Нижний колонтитул"/>
    <w:basedOn w:val="style0"/>
    <w:next w:val="style29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30" w:type="paragraph">
    <w:name w:val="Balloon Text"/>
    <w:basedOn w:val="style0"/>
    <w:next w:val="style3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1" w:type="paragraph">
    <w:name w:val="List Paragraph"/>
    <w:basedOn w:val="style0"/>
    <w:next w:val="style31"/>
    <w:pPr>
      <w:spacing w:after="200" w:before="0"/>
      <w:ind w:hanging="0" w:left="720" w:right="0"/>
      <w:contextualSpacing/>
    </w:pPr>
    <w:rPr/>
  </w:style>
  <w:style w:styleId="style32" w:type="paragraph">
    <w:name w:val="Основной текст с отступом"/>
    <w:basedOn w:val="style0"/>
    <w:next w:val="style32"/>
    <w:pPr>
      <w:spacing w:after="0" w:before="0" w:line="100" w:lineRule="atLeast"/>
      <w:ind w:hanging="0" w:left="2410" w:right="0"/>
      <w:contextualSpacing w:val="false"/>
    </w:pPr>
    <w:rPr>
      <w:rFonts w:ascii="Times New Roman" w:cs="Times New Roman" w:eastAsia="Times New Roman" w:hAnsi="Times New Roman"/>
      <w:sz w:val="24"/>
      <w:szCs w:val="20"/>
      <w:lang w:eastAsia="ru-RU"/>
    </w:rPr>
  </w:style>
  <w:style w:styleId="style33" w:type="paragraph">
    <w:name w:val="Body Text Indent 2"/>
    <w:basedOn w:val="style0"/>
    <w:next w:val="style33"/>
    <w:pPr>
      <w:spacing w:after="0" w:before="0" w:line="100" w:lineRule="atLeast"/>
      <w:ind w:hanging="0" w:left="2410" w:right="0"/>
      <w:contextualSpacing w:val="false"/>
    </w:pPr>
    <w:rPr>
      <w:rFonts w:ascii="Arial" w:cs="Times New Roman" w:eastAsia="Times New Roman" w:hAnsi="Arial"/>
      <w:szCs w:val="20"/>
      <w:lang w:eastAsia="ru-RU"/>
    </w:rPr>
  </w:style>
  <w:style w:styleId="style34" w:type="paragraph">
    <w:name w:val="Intense Quote"/>
    <w:basedOn w:val="style0"/>
    <w:next w:val="style34"/>
    <w:pPr>
      <w:pBdr>
        <w:top w:val="nil"/>
        <w:left w:val="nil"/>
        <w:bottom w:color="4F81BD" w:space="0" w:sz="4" w:val="single"/>
        <w:insideH w:color="4F81BD" w:space="0" w:sz="4" w:val="single"/>
        <w:right w:val="nil"/>
        <w:insideV w:val="nil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35" w:type="paragraph">
    <w:name w:val="Содержимое врезки"/>
    <w:basedOn w:val="style0"/>
    <w:next w:val="style35"/>
    <w:pPr/>
    <w:rPr/>
  </w:style>
  <w:style w:styleId="style36" w:type="paragraph">
    <w:name w:val="Содержимое таблицы"/>
    <w:basedOn w:val="style0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2013-11-08T13:56:00Z</dcterms:created>
  <dc:creator>Nikolay Yakovlev</dc:creator>
  <cp:lastModifiedBy>User</cp:lastModifiedBy>
  <dcterms:modified xsi:type="dcterms:W3CDTF">2013-11-08T13:56:00Z</dcterms:modified>
  <cp:revision>2</cp:revision>
</cp:coreProperties>
</file>