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EF019" w14:textId="77777777" w:rsidR="00BF5B05" w:rsidRDefault="0087540C">
      <w:pPr>
        <w:spacing w:after="168" w:line="249" w:lineRule="auto"/>
        <w:ind w:left="-5" w:right="46" w:hanging="10"/>
      </w:pPr>
      <w:r>
        <w:rPr>
          <w:rFonts w:ascii="Century" w:eastAsia="Century" w:hAnsi="Century" w:cs="Century"/>
          <w:sz w:val="24"/>
        </w:rPr>
        <w:t xml:space="preserve">Erik Johnson </w:t>
      </w:r>
    </w:p>
    <w:p w14:paraId="329DA1E2" w14:textId="77777777" w:rsidR="00BF5B05" w:rsidRDefault="0087540C">
      <w:pPr>
        <w:spacing w:after="171" w:line="249" w:lineRule="auto"/>
        <w:ind w:left="-5" w:right="46" w:hanging="10"/>
      </w:pPr>
      <w:r>
        <w:rPr>
          <w:rFonts w:ascii="Century" w:eastAsia="Century" w:hAnsi="Century" w:cs="Century"/>
          <w:sz w:val="24"/>
        </w:rPr>
        <w:t xml:space="preserve">MSc Global Sustainable Cities </w:t>
      </w:r>
    </w:p>
    <w:p w14:paraId="64583AC8" w14:textId="77777777" w:rsidR="00BF5B05" w:rsidRDefault="0087540C">
      <w:pPr>
        <w:spacing w:after="168" w:line="249" w:lineRule="auto"/>
        <w:ind w:left="-5" w:right="46" w:hanging="10"/>
      </w:pPr>
      <w:r>
        <w:rPr>
          <w:rFonts w:ascii="Century" w:eastAsia="Century" w:hAnsi="Century" w:cs="Century"/>
          <w:sz w:val="24"/>
        </w:rPr>
        <w:t xml:space="preserve">L2972 Understanding and Modelling Cities </w:t>
      </w:r>
    </w:p>
    <w:p w14:paraId="27D40923" w14:textId="77777777" w:rsidR="00BF5B05" w:rsidRDefault="0087540C">
      <w:pPr>
        <w:spacing w:after="161"/>
      </w:pPr>
      <w:r>
        <w:rPr>
          <w:rFonts w:ascii="Century" w:eastAsia="Century" w:hAnsi="Century" w:cs="Century"/>
          <w:sz w:val="24"/>
        </w:rPr>
        <w:t xml:space="preserve"> </w:t>
      </w:r>
    </w:p>
    <w:p w14:paraId="0C6F4E92" w14:textId="77777777" w:rsidR="00BF5B05" w:rsidRDefault="0087540C">
      <w:pPr>
        <w:spacing w:after="158"/>
        <w:ind w:right="65"/>
        <w:jc w:val="center"/>
      </w:pPr>
      <w:r>
        <w:rPr>
          <w:rFonts w:ascii="Century" w:eastAsia="Century" w:hAnsi="Century" w:cs="Century"/>
          <w:sz w:val="24"/>
        </w:rPr>
        <w:t xml:space="preserve">Phase 1. Collecting and Summarizing Urban Data </w:t>
      </w:r>
    </w:p>
    <w:p w14:paraId="2525FC20" w14:textId="77777777" w:rsidR="00BF5B05" w:rsidRDefault="0087540C">
      <w:pPr>
        <w:spacing w:after="158"/>
        <w:jc w:val="center"/>
      </w:pPr>
      <w:r>
        <w:rPr>
          <w:rFonts w:ascii="Century" w:eastAsia="Century" w:hAnsi="Century" w:cs="Century"/>
          <w:sz w:val="24"/>
        </w:rPr>
        <w:t xml:space="preserve"> </w:t>
      </w:r>
    </w:p>
    <w:p w14:paraId="3D461D3C" w14:textId="77777777" w:rsidR="00BF5B05" w:rsidRDefault="0087540C">
      <w:pPr>
        <w:spacing w:after="161"/>
        <w:ind w:left="-5" w:hanging="10"/>
      </w:pPr>
      <w:r>
        <w:rPr>
          <w:rFonts w:ascii="Century" w:eastAsia="Century" w:hAnsi="Century" w:cs="Century"/>
          <w:sz w:val="24"/>
          <w:u w:val="single" w:color="000000"/>
        </w:rPr>
        <w:t>Global city selected for analysis</w:t>
      </w:r>
      <w:r>
        <w:rPr>
          <w:rFonts w:ascii="Century" w:eastAsia="Century" w:hAnsi="Century" w:cs="Century"/>
          <w:sz w:val="24"/>
        </w:rPr>
        <w:t xml:space="preserve">:  </w:t>
      </w:r>
    </w:p>
    <w:p w14:paraId="45DC56D2" w14:textId="77777777" w:rsidR="00BF5B05" w:rsidRDefault="0087540C">
      <w:pPr>
        <w:spacing w:after="168" w:line="249" w:lineRule="auto"/>
        <w:ind w:left="-5" w:right="46" w:hanging="10"/>
      </w:pPr>
      <w:r>
        <w:rPr>
          <w:rFonts w:ascii="Century" w:eastAsia="Century" w:hAnsi="Century" w:cs="Century"/>
          <w:sz w:val="24"/>
        </w:rPr>
        <w:t xml:space="preserve">Glasgow, Scotland, United Kingdom </w:t>
      </w:r>
    </w:p>
    <w:p w14:paraId="30FB8FD4" w14:textId="77777777" w:rsidR="00BF5B05" w:rsidRDefault="0087540C">
      <w:pPr>
        <w:spacing w:after="161"/>
      </w:pPr>
      <w:r>
        <w:rPr>
          <w:rFonts w:ascii="Century" w:eastAsia="Century" w:hAnsi="Century" w:cs="Century"/>
          <w:sz w:val="24"/>
        </w:rPr>
        <w:t xml:space="preserve"> </w:t>
      </w:r>
    </w:p>
    <w:p w14:paraId="3DC9942E" w14:textId="77777777" w:rsidR="00BF5B05" w:rsidRDefault="0087540C">
      <w:pPr>
        <w:spacing w:after="158"/>
        <w:ind w:left="-5" w:hanging="10"/>
      </w:pPr>
      <w:r>
        <w:rPr>
          <w:rFonts w:ascii="Century" w:eastAsia="Century" w:hAnsi="Century" w:cs="Century"/>
          <w:sz w:val="24"/>
          <w:u w:val="single" w:color="000000"/>
        </w:rPr>
        <w:t>Policy targeted for analysis:</w:t>
      </w:r>
      <w:r>
        <w:rPr>
          <w:rFonts w:ascii="Century" w:eastAsia="Century" w:hAnsi="Century" w:cs="Century"/>
          <w:sz w:val="24"/>
        </w:rPr>
        <w:t xml:space="preserve"> </w:t>
      </w:r>
    </w:p>
    <w:p w14:paraId="7D608D28" w14:textId="77777777" w:rsidR="00B21D38" w:rsidRDefault="0087540C">
      <w:pPr>
        <w:spacing w:after="205" w:line="378" w:lineRule="auto"/>
        <w:ind w:right="226"/>
        <w:jc w:val="both"/>
        <w:rPr>
          <w:rFonts w:ascii="Courier New" w:eastAsia="Courier New" w:hAnsi="Courier New" w:cs="Courier New"/>
          <w:color w:val="333333"/>
          <w:sz w:val="24"/>
        </w:rPr>
      </w:pPr>
      <w:r>
        <w:rPr>
          <w:rFonts w:ascii="Century" w:eastAsia="Century" w:hAnsi="Century" w:cs="Century"/>
          <w:sz w:val="24"/>
        </w:rPr>
        <w:t>Introduced in 2017, the ‘</w:t>
      </w:r>
      <w:r>
        <w:rPr>
          <w:rFonts w:ascii="Century" w:eastAsia="Century" w:hAnsi="Century" w:cs="Century"/>
          <w:color w:val="333333"/>
          <w:sz w:val="24"/>
        </w:rPr>
        <w:t>Justice in Scotland: Vision and Priorities’</w:t>
      </w:r>
      <w:r>
        <w:rPr>
          <w:rFonts w:ascii="Century" w:eastAsia="Century" w:hAnsi="Century" w:cs="Century"/>
          <w:color w:val="333333"/>
          <w:sz w:val="25"/>
        </w:rPr>
        <w:t xml:space="preserve"> </w:t>
      </w:r>
      <w:r>
        <w:rPr>
          <w:rFonts w:ascii="Century" w:eastAsia="Century" w:hAnsi="Century" w:cs="Century"/>
          <w:color w:val="333333"/>
          <w:sz w:val="24"/>
        </w:rPr>
        <w:t xml:space="preserve">strategy included in the Scottish Government’s </w:t>
      </w:r>
      <w:r>
        <w:rPr>
          <w:rFonts w:ascii="Century" w:eastAsia="Century" w:hAnsi="Century" w:cs="Century"/>
          <w:color w:val="333333"/>
          <w:sz w:val="25"/>
        </w:rPr>
        <w:t xml:space="preserve">Safer Communities Directorate </w:t>
      </w:r>
      <w:r>
        <w:rPr>
          <w:rFonts w:ascii="Century" w:eastAsia="Century" w:hAnsi="Century" w:cs="Century"/>
          <w:color w:val="333333"/>
          <w:sz w:val="24"/>
        </w:rPr>
        <w:t>laid out the national objective to reduce crime and build upon earlier policies</w:t>
      </w:r>
      <w:r>
        <w:rPr>
          <w:rFonts w:ascii="Century" w:eastAsia="Century" w:hAnsi="Century" w:cs="Century"/>
          <w:color w:val="333333"/>
          <w:sz w:val="24"/>
        </w:rPr>
        <w:t xml:space="preserve"> to improve community safety, accessibility and resiliency. The dates of focus were for years 2017 – 2020. The quoted vision of the strategy is “A Just, Safe &amp; Resilient Scotland,” while the outcomes sought for the strategy are as follows:</w:t>
      </w:r>
      <w:r>
        <w:rPr>
          <w:rFonts w:ascii="Century" w:eastAsia="Century" w:hAnsi="Century" w:cs="Century"/>
          <w:color w:val="333333"/>
          <w:sz w:val="24"/>
          <w:vertAlign w:val="superscript"/>
        </w:rPr>
        <w:footnoteReference w:id="1"/>
      </w:r>
      <w:r>
        <w:rPr>
          <w:rFonts w:ascii="Century" w:eastAsia="Century" w:hAnsi="Century" w:cs="Century"/>
          <w:color w:val="333333"/>
          <w:sz w:val="24"/>
        </w:rPr>
        <w:t xml:space="preserve">  </w:t>
      </w:r>
    </w:p>
    <w:p w14:paraId="75C8C81C" w14:textId="77777777" w:rsidR="00B21D38" w:rsidRPr="00B21D38" w:rsidRDefault="0087540C" w:rsidP="00B21D38">
      <w:pPr>
        <w:pStyle w:val="ListParagraph"/>
        <w:numPr>
          <w:ilvl w:val="0"/>
          <w:numId w:val="2"/>
        </w:numPr>
        <w:spacing w:after="205" w:line="378" w:lineRule="auto"/>
        <w:ind w:right="226"/>
        <w:jc w:val="both"/>
        <w:rPr>
          <w:rFonts w:ascii="Century" w:eastAsia="Century" w:hAnsi="Century" w:cs="Century"/>
          <w:color w:val="333333"/>
          <w:sz w:val="24"/>
        </w:rPr>
      </w:pPr>
      <w:r w:rsidRPr="00B21D38">
        <w:rPr>
          <w:rFonts w:ascii="Century" w:eastAsia="Century" w:hAnsi="Century" w:cs="Century"/>
          <w:color w:val="333333"/>
          <w:sz w:val="24"/>
        </w:rPr>
        <w:t>We live in s</w:t>
      </w:r>
      <w:r w:rsidRPr="00B21D38">
        <w:rPr>
          <w:rFonts w:ascii="Century" w:eastAsia="Century" w:hAnsi="Century" w:cs="Century"/>
          <w:color w:val="333333"/>
          <w:sz w:val="24"/>
        </w:rPr>
        <w:t>afe, cohesive and resilient communitie</w:t>
      </w:r>
      <w:r w:rsidR="00B21D38" w:rsidRPr="00B21D38">
        <w:rPr>
          <w:rFonts w:ascii="Century" w:eastAsia="Century" w:hAnsi="Century" w:cs="Century"/>
          <w:color w:val="333333"/>
          <w:sz w:val="24"/>
        </w:rPr>
        <w:t>s.</w:t>
      </w:r>
    </w:p>
    <w:p w14:paraId="19348666" w14:textId="77777777" w:rsidR="00B21D38" w:rsidRPr="00B21D38" w:rsidRDefault="0087540C" w:rsidP="00B21D38">
      <w:pPr>
        <w:pStyle w:val="ListParagraph"/>
        <w:numPr>
          <w:ilvl w:val="0"/>
          <w:numId w:val="2"/>
        </w:numPr>
        <w:spacing w:after="205" w:line="378" w:lineRule="auto"/>
        <w:ind w:right="226"/>
        <w:jc w:val="both"/>
        <w:rPr>
          <w:rFonts w:ascii="Century" w:eastAsia="Century" w:hAnsi="Century" w:cs="Century"/>
          <w:color w:val="333333"/>
          <w:sz w:val="24"/>
        </w:rPr>
      </w:pPr>
      <w:r w:rsidRPr="00B21D38">
        <w:rPr>
          <w:rFonts w:ascii="Century" w:eastAsia="Century" w:hAnsi="Century" w:cs="Century"/>
          <w:color w:val="333333"/>
          <w:sz w:val="24"/>
        </w:rPr>
        <w:t>Prevention and early intervention improve wellbeing and life chances</w:t>
      </w:r>
      <w:r w:rsidR="00B21D38" w:rsidRPr="00B21D38">
        <w:rPr>
          <w:rFonts w:ascii="Century" w:eastAsia="Century" w:hAnsi="Century" w:cs="Century"/>
          <w:color w:val="333333"/>
          <w:sz w:val="24"/>
        </w:rPr>
        <w:t>.</w:t>
      </w:r>
    </w:p>
    <w:p w14:paraId="763182A0" w14:textId="77777777" w:rsidR="00B21D38" w:rsidRPr="00B21D38" w:rsidRDefault="0087540C" w:rsidP="00B21D38">
      <w:pPr>
        <w:pStyle w:val="ListParagraph"/>
        <w:numPr>
          <w:ilvl w:val="0"/>
          <w:numId w:val="2"/>
        </w:numPr>
        <w:spacing w:after="205" w:line="378" w:lineRule="auto"/>
        <w:ind w:right="226"/>
        <w:jc w:val="both"/>
        <w:rPr>
          <w:rFonts w:ascii="Century" w:eastAsia="Century" w:hAnsi="Century" w:cs="Century"/>
          <w:color w:val="333333"/>
          <w:sz w:val="24"/>
        </w:rPr>
      </w:pPr>
      <w:r w:rsidRPr="00B21D38">
        <w:rPr>
          <w:rFonts w:ascii="Century" w:eastAsia="Century" w:hAnsi="Century" w:cs="Century"/>
          <w:color w:val="333333"/>
          <w:sz w:val="24"/>
        </w:rPr>
        <w:t>Our system and interventions are proportionate, fair and effective</w:t>
      </w:r>
      <w:r w:rsidR="00B21D38" w:rsidRPr="00B21D38">
        <w:rPr>
          <w:rFonts w:ascii="Century" w:eastAsia="Century" w:hAnsi="Century" w:cs="Century"/>
          <w:color w:val="333333"/>
          <w:sz w:val="24"/>
        </w:rPr>
        <w:t>.</w:t>
      </w:r>
    </w:p>
    <w:p w14:paraId="79466C38" w14:textId="646D1FDF" w:rsidR="00BF5B05" w:rsidRDefault="0087540C" w:rsidP="00B21D38">
      <w:pPr>
        <w:pStyle w:val="ListParagraph"/>
        <w:numPr>
          <w:ilvl w:val="0"/>
          <w:numId w:val="2"/>
        </w:numPr>
        <w:spacing w:after="205" w:line="378" w:lineRule="auto"/>
        <w:ind w:right="226"/>
        <w:jc w:val="both"/>
      </w:pPr>
      <w:r w:rsidRPr="00B21D38">
        <w:rPr>
          <w:rFonts w:ascii="Century" w:eastAsia="Century" w:hAnsi="Century" w:cs="Century"/>
          <w:color w:val="333333"/>
          <w:sz w:val="24"/>
        </w:rPr>
        <w:t>We deliver person-</w:t>
      </w:r>
      <w:proofErr w:type="spellStart"/>
      <w:r w:rsidRPr="00B21D38">
        <w:rPr>
          <w:rFonts w:ascii="Century" w:eastAsia="Century" w:hAnsi="Century" w:cs="Century"/>
          <w:color w:val="333333"/>
          <w:sz w:val="24"/>
        </w:rPr>
        <w:t>centred</w:t>
      </w:r>
      <w:proofErr w:type="spellEnd"/>
      <w:r w:rsidRPr="00B21D38">
        <w:rPr>
          <w:rFonts w:ascii="Century" w:eastAsia="Century" w:hAnsi="Century" w:cs="Century"/>
          <w:color w:val="333333"/>
          <w:sz w:val="24"/>
        </w:rPr>
        <w:t>, modern and affordable public services</w:t>
      </w:r>
      <w:r w:rsidR="00B21D38" w:rsidRPr="00B21D38">
        <w:rPr>
          <w:rFonts w:ascii="Century" w:eastAsia="Century" w:hAnsi="Century" w:cs="Century"/>
          <w:color w:val="333333"/>
          <w:sz w:val="24"/>
        </w:rPr>
        <w:t>.</w:t>
      </w:r>
      <w:r w:rsidRPr="00B21D38">
        <w:rPr>
          <w:rFonts w:ascii="Century" w:eastAsia="Century" w:hAnsi="Century" w:cs="Century"/>
          <w:color w:val="333333"/>
          <w:sz w:val="24"/>
        </w:rPr>
        <w:t xml:space="preserve"> </w:t>
      </w:r>
    </w:p>
    <w:p w14:paraId="29ED93EE" w14:textId="14441EA9" w:rsidR="00BF5B05" w:rsidRDefault="0087540C" w:rsidP="00B21D38">
      <w:pPr>
        <w:spacing w:after="354" w:line="359" w:lineRule="auto"/>
        <w:ind w:left="10" w:right="39" w:hanging="10"/>
      </w:pPr>
      <w:r>
        <w:rPr>
          <w:rFonts w:ascii="Century" w:eastAsia="Century" w:hAnsi="Century" w:cs="Century"/>
          <w:color w:val="333333"/>
          <w:sz w:val="24"/>
        </w:rPr>
        <w:t>G</w:t>
      </w:r>
      <w:r>
        <w:rPr>
          <w:rFonts w:ascii="Century" w:eastAsia="Century" w:hAnsi="Century" w:cs="Century"/>
          <w:color w:val="333333"/>
          <w:sz w:val="24"/>
        </w:rPr>
        <w:t xml:space="preserve">lasgow </w:t>
      </w:r>
      <w:r>
        <w:rPr>
          <w:rFonts w:ascii="Century" w:eastAsia="Century" w:hAnsi="Century" w:cs="Century"/>
          <w:color w:val="333333"/>
          <w:sz w:val="24"/>
        </w:rPr>
        <w:t>has improved on various measurable aspects of crime and safety relative to historical statistics.</w:t>
      </w:r>
      <w:r>
        <w:rPr>
          <w:rFonts w:ascii="Century" w:eastAsia="Century" w:hAnsi="Century" w:cs="Century"/>
          <w:color w:val="333333"/>
          <w:sz w:val="24"/>
          <w:vertAlign w:val="superscript"/>
        </w:rPr>
        <w:footnoteReference w:id="2"/>
      </w:r>
      <w:r>
        <w:rPr>
          <w:rFonts w:ascii="Century" w:eastAsia="Century" w:hAnsi="Century" w:cs="Century"/>
          <w:color w:val="333333"/>
          <w:sz w:val="24"/>
        </w:rPr>
        <w:t xml:space="preserve"> Despite trends indicating improvement in certain regards, concerns persist with respect to the data collected and the sought outcomes of the 2017 strategy. O</w:t>
      </w:r>
      <w:r>
        <w:rPr>
          <w:rFonts w:ascii="Century" w:eastAsia="Century" w:hAnsi="Century" w:cs="Century"/>
          <w:color w:val="333333"/>
          <w:sz w:val="24"/>
        </w:rPr>
        <w:t xml:space="preserve">ne such concern is the accessibility of the general population to </w:t>
      </w:r>
      <w:r>
        <w:rPr>
          <w:rFonts w:ascii="Century" w:eastAsia="Century" w:hAnsi="Century" w:cs="Century"/>
          <w:color w:val="333333"/>
          <w:sz w:val="24"/>
        </w:rPr>
        <w:lastRenderedPageBreak/>
        <w:t>physical locations of community police stations. According to the Police Scotland</w:t>
      </w:r>
      <w:r w:rsidR="00B21D38">
        <w:rPr>
          <w:rFonts w:ascii="Century" w:eastAsia="Century" w:hAnsi="Century" w:cs="Century"/>
          <w:color w:val="333333"/>
          <w:sz w:val="24"/>
        </w:rPr>
        <w:t xml:space="preserve"> </w:t>
      </w:r>
      <w:r>
        <w:rPr>
          <w:rFonts w:ascii="Century" w:eastAsia="Century" w:hAnsi="Century" w:cs="Century"/>
          <w:color w:val="333333"/>
          <w:sz w:val="24"/>
        </w:rPr>
        <w:t>website, the Greater Glasgow is composed of eight Area Command regions, with varying numbers of Wards assigned to each. Based on the information available on the website to the general public, there are numerous Wards that either share a community police s</w:t>
      </w:r>
      <w:r>
        <w:rPr>
          <w:rFonts w:ascii="Century" w:eastAsia="Century" w:hAnsi="Century" w:cs="Century"/>
          <w:color w:val="333333"/>
          <w:sz w:val="24"/>
        </w:rPr>
        <w:t xml:space="preserve">tation with a </w:t>
      </w:r>
      <w:proofErr w:type="spellStart"/>
      <w:r>
        <w:rPr>
          <w:rFonts w:ascii="Century" w:eastAsia="Century" w:hAnsi="Century" w:cs="Century"/>
          <w:color w:val="333333"/>
          <w:sz w:val="24"/>
        </w:rPr>
        <w:t>neighbouring</w:t>
      </w:r>
      <w:proofErr w:type="spellEnd"/>
      <w:r>
        <w:rPr>
          <w:rFonts w:ascii="Century" w:eastAsia="Century" w:hAnsi="Century" w:cs="Century"/>
          <w:color w:val="333333"/>
          <w:sz w:val="24"/>
        </w:rPr>
        <w:t xml:space="preserve"> Ward which does not have community police station (or vice-versa), or in some instances may not even have a listed community police station. Whether or not this fact is a factor in the presence of crime or is independent of such </w:t>
      </w:r>
      <w:r>
        <w:rPr>
          <w:rFonts w:ascii="Century" w:eastAsia="Century" w:hAnsi="Century" w:cs="Century"/>
          <w:color w:val="333333"/>
          <w:sz w:val="24"/>
        </w:rPr>
        <w:t>could possibly be determined, however it could raise speculation.</w:t>
      </w:r>
      <w:r>
        <w:rPr>
          <w:rFonts w:ascii="Cambria" w:eastAsia="Cambria" w:hAnsi="Cambria" w:cs="Cambria"/>
          <w:color w:val="333333"/>
          <w:sz w:val="27"/>
        </w:rPr>
        <w:t xml:space="preserve"> Also, </w:t>
      </w:r>
      <w:r>
        <w:rPr>
          <w:rFonts w:ascii="Century" w:eastAsia="Century" w:hAnsi="Century" w:cs="Century"/>
          <w:color w:val="333333"/>
          <w:sz w:val="24"/>
        </w:rPr>
        <w:t>according to the strategy itself there are seven (7) persisting challenges which hinder full actualization of the outcomes (which include, but are not limited to):</w:t>
      </w:r>
      <w:r>
        <w:rPr>
          <w:rFonts w:ascii="Century" w:eastAsia="Century" w:hAnsi="Century" w:cs="Century"/>
          <w:color w:val="333333"/>
          <w:sz w:val="24"/>
          <w:vertAlign w:val="superscript"/>
        </w:rPr>
        <w:footnoteReference w:id="3"/>
      </w:r>
      <w:r>
        <w:rPr>
          <w:rFonts w:ascii="Cambria" w:eastAsia="Cambria" w:hAnsi="Cambria" w:cs="Cambria"/>
          <w:color w:val="333333"/>
          <w:sz w:val="27"/>
        </w:rPr>
        <w:t xml:space="preserve"> </w:t>
      </w:r>
    </w:p>
    <w:p w14:paraId="1A50EADA" w14:textId="77777777" w:rsidR="00BF5B05" w:rsidRDefault="0087540C" w:rsidP="00441498">
      <w:pPr>
        <w:numPr>
          <w:ilvl w:val="0"/>
          <w:numId w:val="3"/>
        </w:numPr>
        <w:spacing w:after="2" w:line="359" w:lineRule="auto"/>
        <w:ind w:right="39" w:hanging="360"/>
      </w:pPr>
      <w:r>
        <w:rPr>
          <w:rFonts w:ascii="Century" w:eastAsia="Century" w:hAnsi="Century" w:cs="Century"/>
          <w:color w:val="333333"/>
          <w:sz w:val="24"/>
        </w:rPr>
        <w:t>Increasing inequal</w:t>
      </w:r>
      <w:r>
        <w:rPr>
          <w:rFonts w:ascii="Century" w:eastAsia="Century" w:hAnsi="Century" w:cs="Century"/>
          <w:color w:val="333333"/>
          <w:sz w:val="24"/>
        </w:rPr>
        <w:t xml:space="preserve">ity and the potential effects on crime and civil/judicial insecurities. </w:t>
      </w:r>
    </w:p>
    <w:p w14:paraId="2D4E7B6C" w14:textId="77777777" w:rsidR="00BF5B05" w:rsidRDefault="0087540C" w:rsidP="00441498">
      <w:pPr>
        <w:numPr>
          <w:ilvl w:val="0"/>
          <w:numId w:val="3"/>
        </w:numPr>
        <w:spacing w:after="121"/>
        <w:ind w:right="39" w:hanging="360"/>
      </w:pPr>
      <w:r>
        <w:rPr>
          <w:rFonts w:ascii="Century" w:eastAsia="Century" w:hAnsi="Century" w:cs="Century"/>
          <w:color w:val="333333"/>
          <w:sz w:val="24"/>
        </w:rPr>
        <w:t xml:space="preserve">Adverse childhood experiences and their impact of the judicial system. </w:t>
      </w:r>
    </w:p>
    <w:p w14:paraId="36E1A9FD" w14:textId="77777777" w:rsidR="00BF5B05" w:rsidRDefault="0087540C" w:rsidP="00441498">
      <w:pPr>
        <w:numPr>
          <w:ilvl w:val="0"/>
          <w:numId w:val="3"/>
        </w:numPr>
        <w:spacing w:after="2" w:line="359" w:lineRule="auto"/>
        <w:ind w:right="39" w:hanging="360"/>
      </w:pPr>
      <w:r>
        <w:rPr>
          <w:rFonts w:ascii="Century" w:eastAsia="Century" w:hAnsi="Century" w:cs="Century"/>
          <w:color w:val="333333"/>
          <w:sz w:val="24"/>
        </w:rPr>
        <w:t xml:space="preserve">Re-allocation of resources and services to focus efforts on prevention and early intervention. </w:t>
      </w:r>
    </w:p>
    <w:p w14:paraId="0A431AE4" w14:textId="77777777" w:rsidR="00BF5B05" w:rsidRDefault="0087540C" w:rsidP="00441498">
      <w:pPr>
        <w:numPr>
          <w:ilvl w:val="0"/>
          <w:numId w:val="3"/>
        </w:numPr>
        <w:spacing w:after="121"/>
        <w:ind w:right="39" w:hanging="360"/>
      </w:pPr>
      <w:r>
        <w:rPr>
          <w:rFonts w:ascii="Century" w:eastAsia="Century" w:hAnsi="Century" w:cs="Century"/>
          <w:color w:val="333333"/>
          <w:sz w:val="24"/>
        </w:rPr>
        <w:t xml:space="preserve">Concentrations </w:t>
      </w:r>
      <w:r>
        <w:rPr>
          <w:rFonts w:ascii="Century" w:eastAsia="Century" w:hAnsi="Century" w:cs="Century"/>
          <w:color w:val="333333"/>
          <w:sz w:val="24"/>
        </w:rPr>
        <w:t xml:space="preserve">of crime and disparities in the most deprived </w:t>
      </w:r>
      <w:proofErr w:type="spellStart"/>
      <w:r>
        <w:rPr>
          <w:rFonts w:ascii="Century" w:eastAsia="Century" w:hAnsi="Century" w:cs="Century"/>
          <w:color w:val="333333"/>
          <w:sz w:val="24"/>
        </w:rPr>
        <w:t>neighbourhoods</w:t>
      </w:r>
      <w:proofErr w:type="spellEnd"/>
      <w:r>
        <w:rPr>
          <w:rFonts w:ascii="Century" w:eastAsia="Century" w:hAnsi="Century" w:cs="Century"/>
          <w:color w:val="333333"/>
          <w:sz w:val="24"/>
        </w:rPr>
        <w:t xml:space="preserve">. </w:t>
      </w:r>
    </w:p>
    <w:p w14:paraId="4B6B5759" w14:textId="1CA29BF0" w:rsidR="00BF5B05" w:rsidRDefault="0087540C" w:rsidP="00441498">
      <w:pPr>
        <w:numPr>
          <w:ilvl w:val="0"/>
          <w:numId w:val="3"/>
        </w:numPr>
        <w:spacing w:after="121"/>
        <w:ind w:right="39" w:hanging="360"/>
      </w:pPr>
      <w:r>
        <w:rPr>
          <w:rFonts w:ascii="Century" w:eastAsia="Century" w:hAnsi="Century" w:cs="Century"/>
          <w:color w:val="333333"/>
          <w:sz w:val="24"/>
        </w:rPr>
        <w:t xml:space="preserve">Improving equality and experience within the </w:t>
      </w:r>
      <w:r w:rsidR="00B21D38">
        <w:rPr>
          <w:rFonts w:ascii="Century" w:eastAsia="Century" w:hAnsi="Century" w:cs="Century"/>
          <w:color w:val="333333"/>
          <w:sz w:val="24"/>
        </w:rPr>
        <w:t>communities.</w:t>
      </w:r>
      <w:r>
        <w:rPr>
          <w:rFonts w:ascii="Century" w:eastAsia="Century" w:hAnsi="Century" w:cs="Century"/>
          <w:color w:val="333333"/>
          <w:sz w:val="24"/>
        </w:rPr>
        <w:t xml:space="preserve"> </w:t>
      </w:r>
    </w:p>
    <w:p w14:paraId="7002C5D9" w14:textId="77777777" w:rsidR="00BF5B05" w:rsidRDefault="0087540C" w:rsidP="00441498">
      <w:pPr>
        <w:numPr>
          <w:ilvl w:val="0"/>
          <w:numId w:val="3"/>
        </w:numPr>
        <w:spacing w:after="121"/>
        <w:ind w:right="39" w:hanging="360"/>
      </w:pPr>
      <w:r>
        <w:rPr>
          <w:rFonts w:ascii="Century" w:eastAsia="Century" w:hAnsi="Century" w:cs="Century"/>
          <w:color w:val="333333"/>
          <w:sz w:val="24"/>
        </w:rPr>
        <w:t xml:space="preserve">High rates of incarceration in Scotland. </w:t>
      </w:r>
    </w:p>
    <w:p w14:paraId="16D613BC" w14:textId="127A1DF7" w:rsidR="00D2337F" w:rsidRDefault="0087540C" w:rsidP="00441498">
      <w:pPr>
        <w:numPr>
          <w:ilvl w:val="0"/>
          <w:numId w:val="3"/>
        </w:numPr>
        <w:spacing w:after="211" w:line="359" w:lineRule="auto"/>
        <w:ind w:right="39" w:hanging="360"/>
      </w:pPr>
      <w:r>
        <w:rPr>
          <w:rFonts w:ascii="Century" w:eastAsia="Century" w:hAnsi="Century" w:cs="Century"/>
          <w:color w:val="333333"/>
          <w:sz w:val="24"/>
        </w:rPr>
        <w:t>The disproportional poor health (mental and physical) and wellbeing of individuals in c</w:t>
      </w:r>
      <w:r>
        <w:rPr>
          <w:rFonts w:ascii="Century" w:eastAsia="Century" w:hAnsi="Century" w:cs="Century"/>
          <w:color w:val="333333"/>
          <w:sz w:val="24"/>
        </w:rPr>
        <w:t xml:space="preserve">lose contact with the criminal justice system. </w:t>
      </w:r>
    </w:p>
    <w:p w14:paraId="34523042" w14:textId="19B33513" w:rsidR="00BF5B05" w:rsidRDefault="0087540C" w:rsidP="00D2337F">
      <w:pPr>
        <w:spacing w:after="331"/>
        <w:ind w:left="-5" w:hanging="10"/>
        <w:jc w:val="center"/>
      </w:pPr>
      <w:r>
        <w:rPr>
          <w:rFonts w:ascii="Century" w:eastAsia="Century" w:hAnsi="Century" w:cs="Century"/>
          <w:color w:val="333333"/>
          <w:sz w:val="24"/>
          <w:u w:val="single" w:color="333333"/>
        </w:rPr>
        <w:t>Intended means to fulfill analysis:</w:t>
      </w:r>
    </w:p>
    <w:p w14:paraId="501234EF" w14:textId="77777777" w:rsidR="00BF5B05" w:rsidRDefault="0087540C">
      <w:pPr>
        <w:spacing w:after="62" w:line="359" w:lineRule="auto"/>
        <w:ind w:left="10" w:right="39" w:hanging="10"/>
      </w:pPr>
      <w:r>
        <w:rPr>
          <w:rFonts w:ascii="Century" w:eastAsia="Century" w:hAnsi="Century" w:cs="Century"/>
          <w:color w:val="333333"/>
          <w:sz w:val="24"/>
        </w:rPr>
        <w:t xml:space="preserve">In order to better understand the status and context of this policy (its vision, objectives, methods and challenges) the city of Glasgow and the applicable variables will </w:t>
      </w:r>
      <w:r>
        <w:rPr>
          <w:rFonts w:ascii="Century" w:eastAsia="Century" w:hAnsi="Century" w:cs="Century"/>
          <w:color w:val="333333"/>
          <w:sz w:val="24"/>
        </w:rPr>
        <w:t xml:space="preserve">be analyzed for the period of years both proceeding and during the 2017 - 2020 ‘Justice in Scotland: Vision and Priorities’ strategy. By using the data collected and </w:t>
      </w:r>
      <w:r>
        <w:rPr>
          <w:rFonts w:ascii="Century" w:eastAsia="Century" w:hAnsi="Century" w:cs="Century"/>
          <w:color w:val="333333"/>
          <w:sz w:val="24"/>
        </w:rPr>
        <w:lastRenderedPageBreak/>
        <w:t>assessing it against the abovementioned context of this policy, I am confident that the re</w:t>
      </w:r>
      <w:r>
        <w:rPr>
          <w:rFonts w:ascii="Century" w:eastAsia="Century" w:hAnsi="Century" w:cs="Century"/>
          <w:color w:val="333333"/>
          <w:sz w:val="24"/>
        </w:rPr>
        <w:t xml:space="preserve">sults will show that despite there being positive outcomes sought from the </w:t>
      </w:r>
    </w:p>
    <w:p w14:paraId="62E82BF1" w14:textId="0597B5F2" w:rsidR="00BF5B05" w:rsidRDefault="0087540C" w:rsidP="00B21D38">
      <w:pPr>
        <w:spacing w:after="211" w:line="359" w:lineRule="auto"/>
        <w:ind w:left="10" w:right="39" w:hanging="10"/>
      </w:pPr>
      <w:r>
        <w:rPr>
          <w:rFonts w:ascii="Century" w:eastAsia="Century" w:hAnsi="Century" w:cs="Century"/>
          <w:color w:val="333333"/>
          <w:sz w:val="24"/>
        </w:rPr>
        <w:t xml:space="preserve">strategy, persisting trends in crime, health, income and general disparities within communities are present.  </w:t>
      </w:r>
    </w:p>
    <w:p w14:paraId="282BC368" w14:textId="77777777" w:rsidR="00B21D38" w:rsidRDefault="00B21D38" w:rsidP="00B21D38">
      <w:pPr>
        <w:spacing w:after="211" w:line="359" w:lineRule="auto"/>
        <w:ind w:left="10" w:right="39" w:hanging="10"/>
      </w:pPr>
    </w:p>
    <w:p w14:paraId="7FEAB961" w14:textId="586AF12D" w:rsidR="00BF5B05" w:rsidRDefault="0087540C" w:rsidP="00D2337F">
      <w:pPr>
        <w:spacing w:after="331"/>
        <w:ind w:left="-5" w:hanging="10"/>
        <w:jc w:val="center"/>
      </w:pPr>
      <w:r>
        <w:rPr>
          <w:rFonts w:ascii="Century" w:eastAsia="Century" w:hAnsi="Century" w:cs="Century"/>
          <w:color w:val="333333"/>
          <w:sz w:val="24"/>
          <w:u w:val="single" w:color="333333"/>
        </w:rPr>
        <w:t>Data collected and initial source:</w:t>
      </w:r>
    </w:p>
    <w:p w14:paraId="6AD6AF9A" w14:textId="77777777" w:rsidR="00BF5B05" w:rsidRDefault="0087540C">
      <w:pPr>
        <w:spacing w:after="198" w:line="249" w:lineRule="auto"/>
        <w:ind w:left="-5" w:right="46" w:hanging="10"/>
      </w:pPr>
      <w:r>
        <w:rPr>
          <w:rFonts w:ascii="Century" w:eastAsia="Century" w:hAnsi="Century" w:cs="Century"/>
          <w:sz w:val="24"/>
          <w:u w:val="single" w:color="000000"/>
        </w:rPr>
        <w:t>Description</w:t>
      </w:r>
      <w:r>
        <w:rPr>
          <w:rFonts w:ascii="Century" w:eastAsia="Century" w:hAnsi="Century" w:cs="Century"/>
          <w:sz w:val="24"/>
        </w:rPr>
        <w:t xml:space="preserve">: Scottish Index of Multiple Deprivation (SIMD) 2020 </w:t>
      </w:r>
    </w:p>
    <w:p w14:paraId="491BA067" w14:textId="77777777" w:rsidR="00BF5B05" w:rsidRDefault="0087540C">
      <w:pPr>
        <w:spacing w:after="198" w:line="249" w:lineRule="auto"/>
        <w:ind w:left="-5" w:hanging="10"/>
      </w:pPr>
      <w:r>
        <w:rPr>
          <w:rFonts w:ascii="Century" w:eastAsia="Century" w:hAnsi="Century" w:cs="Century"/>
          <w:sz w:val="24"/>
          <w:u w:val="single" w:color="000000"/>
        </w:rPr>
        <w:t>Url</w:t>
      </w:r>
      <w:r>
        <w:rPr>
          <w:rFonts w:ascii="Century" w:eastAsia="Century" w:hAnsi="Century" w:cs="Century"/>
          <w:sz w:val="24"/>
        </w:rPr>
        <w:t xml:space="preserve">: </w:t>
      </w:r>
      <w:r>
        <w:rPr>
          <w:rFonts w:ascii="Century" w:eastAsia="Century" w:hAnsi="Century" w:cs="Century"/>
          <w:color w:val="0563C1"/>
          <w:sz w:val="24"/>
          <w:u w:val="single" w:color="0563C1"/>
        </w:rPr>
        <w:t>https://www.gov.scot/collections/scottish-index-of-multiple-deprivation-2020/</w:t>
      </w:r>
      <w:r>
        <w:rPr>
          <w:rFonts w:ascii="Century" w:eastAsia="Century" w:hAnsi="Century" w:cs="Century"/>
          <w:sz w:val="24"/>
        </w:rPr>
        <w:t xml:space="preserve"> </w:t>
      </w:r>
    </w:p>
    <w:p w14:paraId="43E57A31" w14:textId="77777777" w:rsidR="00BF5B05" w:rsidRDefault="0087540C" w:rsidP="00D2337F">
      <w:pPr>
        <w:spacing w:after="198" w:line="360" w:lineRule="auto"/>
        <w:ind w:left="-5" w:right="46" w:hanging="10"/>
      </w:pPr>
      <w:r>
        <w:rPr>
          <w:rFonts w:ascii="Century" w:eastAsia="Century" w:hAnsi="Century" w:cs="Century"/>
          <w:sz w:val="24"/>
          <w:u w:val="single" w:color="000000"/>
        </w:rPr>
        <w:t>Rationale for use</w:t>
      </w:r>
      <w:r>
        <w:rPr>
          <w:rFonts w:ascii="Century" w:eastAsia="Century" w:hAnsi="Century" w:cs="Century"/>
          <w:sz w:val="24"/>
        </w:rPr>
        <w:t>: Survey data for SIMD is collected and published on a regular basis and is relevant to my focus. It provides various governmental-level identifications and relative rankings of various demographic factors. This data will allow me to identify the Data Zone</w:t>
      </w:r>
      <w:r>
        <w:rPr>
          <w:rFonts w:ascii="Century" w:eastAsia="Century" w:hAnsi="Century" w:cs="Century"/>
          <w:sz w:val="24"/>
        </w:rPr>
        <w:t xml:space="preserve">s within Glasgow that suffer from respective deprivations. (see example statistical summary below). </w:t>
      </w:r>
    </w:p>
    <w:p w14:paraId="558D7D6B" w14:textId="77777777" w:rsidR="00BF5B05" w:rsidRDefault="0087540C">
      <w:pPr>
        <w:spacing w:after="134"/>
        <w:ind w:right="766"/>
        <w:jc w:val="right"/>
      </w:pPr>
      <w:r>
        <w:rPr>
          <w:noProof/>
        </w:rPr>
        <w:drawing>
          <wp:inline distT="0" distB="0" distL="0" distR="0" wp14:anchorId="0C7AF34C" wp14:editId="63D46E91">
            <wp:extent cx="4971288" cy="1754124"/>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4971288" cy="1754124"/>
                    </a:xfrm>
                    <a:prstGeom prst="rect">
                      <a:avLst/>
                    </a:prstGeom>
                  </pic:spPr>
                </pic:pic>
              </a:graphicData>
            </a:graphic>
          </wp:inline>
        </w:drawing>
      </w:r>
      <w:r>
        <w:rPr>
          <w:rFonts w:ascii="Century" w:eastAsia="Century" w:hAnsi="Century" w:cs="Century"/>
          <w:sz w:val="24"/>
        </w:rPr>
        <w:t xml:space="preserve"> </w:t>
      </w:r>
    </w:p>
    <w:p w14:paraId="301166FC" w14:textId="77777777" w:rsidR="00BF5B05" w:rsidRDefault="0087540C">
      <w:pPr>
        <w:spacing w:after="187"/>
      </w:pPr>
      <w:r>
        <w:rPr>
          <w:rFonts w:ascii="Century" w:eastAsia="Century" w:hAnsi="Century" w:cs="Century"/>
          <w:sz w:val="24"/>
        </w:rPr>
        <w:t xml:space="preserve"> </w:t>
      </w:r>
    </w:p>
    <w:p w14:paraId="26A8A7B7" w14:textId="77777777" w:rsidR="00BF5B05" w:rsidRDefault="0087540C">
      <w:pPr>
        <w:spacing w:after="198" w:line="249" w:lineRule="auto"/>
        <w:ind w:left="-5" w:right="46" w:hanging="10"/>
      </w:pPr>
      <w:r>
        <w:rPr>
          <w:rFonts w:ascii="Century" w:eastAsia="Century" w:hAnsi="Century" w:cs="Century"/>
          <w:sz w:val="24"/>
          <w:u w:val="single" w:color="000000"/>
        </w:rPr>
        <w:t>Description</w:t>
      </w:r>
      <w:r>
        <w:rPr>
          <w:rFonts w:ascii="Century" w:eastAsia="Century" w:hAnsi="Century" w:cs="Century"/>
          <w:sz w:val="24"/>
        </w:rPr>
        <w:t xml:space="preserve">: Police Scotland – Glasgow: Local Police Plan 2017 – 2020 </w:t>
      </w:r>
    </w:p>
    <w:p w14:paraId="2F36ECFA" w14:textId="77777777" w:rsidR="00BF5B05" w:rsidRDefault="0087540C">
      <w:pPr>
        <w:spacing w:after="198" w:line="249" w:lineRule="auto"/>
        <w:ind w:left="-5" w:hanging="10"/>
      </w:pPr>
      <w:r>
        <w:rPr>
          <w:rFonts w:ascii="Century" w:eastAsia="Century" w:hAnsi="Century" w:cs="Century"/>
          <w:sz w:val="24"/>
          <w:u w:val="single" w:color="000000"/>
        </w:rPr>
        <w:t>Url</w:t>
      </w:r>
      <w:r>
        <w:rPr>
          <w:rFonts w:ascii="Century" w:eastAsia="Century" w:hAnsi="Century" w:cs="Century"/>
          <w:sz w:val="24"/>
        </w:rPr>
        <w:t xml:space="preserve">: </w:t>
      </w:r>
      <w:r>
        <w:rPr>
          <w:rFonts w:ascii="Century" w:eastAsia="Century" w:hAnsi="Century" w:cs="Century"/>
          <w:color w:val="0563C1"/>
          <w:sz w:val="24"/>
          <w:u w:val="single" w:color="0563C1"/>
        </w:rPr>
        <w:t>https://www.scotland.police.uk/assets/pdf/392813/392817/glasgow-city-local</w:t>
      </w:r>
      <w:r>
        <w:rPr>
          <w:rFonts w:ascii="Century" w:eastAsia="Century" w:hAnsi="Century" w:cs="Century"/>
          <w:color w:val="0563C1"/>
          <w:sz w:val="24"/>
          <w:u w:val="single" w:color="0563C1"/>
        </w:rPr>
        <w:t>policing-plan-2017-2020?view=Standard</w:t>
      </w:r>
      <w:r>
        <w:rPr>
          <w:rFonts w:ascii="Century" w:eastAsia="Century" w:hAnsi="Century" w:cs="Century"/>
          <w:sz w:val="24"/>
        </w:rPr>
        <w:t xml:space="preserve"> </w:t>
      </w:r>
    </w:p>
    <w:p w14:paraId="692DEFF6" w14:textId="77777777" w:rsidR="00BF5B05" w:rsidRDefault="0087540C" w:rsidP="00D2337F">
      <w:pPr>
        <w:spacing w:after="198" w:line="360" w:lineRule="auto"/>
        <w:ind w:left="-5" w:right="46" w:hanging="10"/>
      </w:pPr>
      <w:r>
        <w:rPr>
          <w:rFonts w:ascii="Century" w:eastAsia="Century" w:hAnsi="Century" w:cs="Century"/>
          <w:sz w:val="24"/>
          <w:u w:val="single" w:color="000000"/>
        </w:rPr>
        <w:t>Rationale for Use</w:t>
      </w:r>
      <w:r>
        <w:rPr>
          <w:rFonts w:ascii="Century" w:eastAsia="Century" w:hAnsi="Century" w:cs="Century"/>
          <w:sz w:val="24"/>
        </w:rPr>
        <w:t>: This is a published PDF document which outlines the policy directives of the Glasgow Police Department for the period of 2017 – 2020. It is relevant to this analysis because aside from being sourced</w:t>
      </w:r>
      <w:r>
        <w:rPr>
          <w:rFonts w:ascii="Century" w:eastAsia="Century" w:hAnsi="Century" w:cs="Century"/>
          <w:sz w:val="24"/>
        </w:rPr>
        <w:t xml:space="preserve"> to the city of selection, </w:t>
      </w:r>
      <w:r>
        <w:rPr>
          <w:rFonts w:ascii="Century" w:eastAsia="Century" w:hAnsi="Century" w:cs="Century"/>
          <w:sz w:val="24"/>
        </w:rPr>
        <w:lastRenderedPageBreak/>
        <w:t xml:space="preserve">the </w:t>
      </w:r>
      <w:proofErr w:type="gramStart"/>
      <w:r>
        <w:rPr>
          <w:rFonts w:ascii="Century" w:eastAsia="Century" w:hAnsi="Century" w:cs="Century"/>
          <w:sz w:val="24"/>
        </w:rPr>
        <w:t>period of time</w:t>
      </w:r>
      <w:proofErr w:type="gramEnd"/>
      <w:r>
        <w:rPr>
          <w:rFonts w:ascii="Century" w:eastAsia="Century" w:hAnsi="Century" w:cs="Century"/>
          <w:sz w:val="24"/>
        </w:rPr>
        <w:t xml:space="preserve"> mirrors the Justice in Scotland strategy of the Scottish Government.  </w:t>
      </w:r>
    </w:p>
    <w:p w14:paraId="225B929A" w14:textId="77777777" w:rsidR="00BF5B05" w:rsidRDefault="0087540C">
      <w:pPr>
        <w:spacing w:after="187"/>
      </w:pPr>
      <w:r>
        <w:rPr>
          <w:rFonts w:ascii="Century" w:eastAsia="Century" w:hAnsi="Century" w:cs="Century"/>
          <w:sz w:val="24"/>
        </w:rPr>
        <w:t xml:space="preserve"> </w:t>
      </w:r>
    </w:p>
    <w:p w14:paraId="2E13D671" w14:textId="77777777" w:rsidR="00BF5B05" w:rsidRDefault="0087540C">
      <w:pPr>
        <w:spacing w:after="198" w:line="249" w:lineRule="auto"/>
        <w:ind w:left="-5" w:right="46" w:hanging="10"/>
      </w:pPr>
      <w:r>
        <w:rPr>
          <w:rFonts w:ascii="Century" w:eastAsia="Century" w:hAnsi="Century" w:cs="Century"/>
          <w:sz w:val="24"/>
          <w:u w:val="single" w:color="000000"/>
        </w:rPr>
        <w:t>Description:</w:t>
      </w:r>
      <w:r>
        <w:rPr>
          <w:rFonts w:ascii="Century" w:eastAsia="Century" w:hAnsi="Century" w:cs="Century"/>
          <w:sz w:val="24"/>
        </w:rPr>
        <w:t xml:space="preserve"> Police Scotland – Greater Glasgow: Your Community </w:t>
      </w:r>
    </w:p>
    <w:p w14:paraId="4A16853E" w14:textId="77777777" w:rsidR="00BF5B05" w:rsidRDefault="0087540C">
      <w:pPr>
        <w:spacing w:after="198" w:line="249" w:lineRule="auto"/>
        <w:ind w:left="-5" w:hanging="10"/>
      </w:pPr>
      <w:r>
        <w:rPr>
          <w:rFonts w:ascii="Century" w:eastAsia="Century" w:hAnsi="Century" w:cs="Century"/>
          <w:sz w:val="24"/>
          <w:u w:val="single" w:color="000000"/>
        </w:rPr>
        <w:t>Url</w:t>
      </w:r>
      <w:r>
        <w:rPr>
          <w:rFonts w:ascii="Century" w:eastAsia="Century" w:hAnsi="Century" w:cs="Century"/>
          <w:sz w:val="24"/>
        </w:rPr>
        <w:t xml:space="preserve">: </w:t>
      </w:r>
      <w:r>
        <w:rPr>
          <w:rFonts w:ascii="Century" w:eastAsia="Century" w:hAnsi="Century" w:cs="Century"/>
          <w:color w:val="0563C1"/>
          <w:sz w:val="24"/>
          <w:u w:val="single" w:color="0563C1"/>
        </w:rPr>
        <w:t>https://www.scotland.police.uk/your-community/greater-glasgow/</w:t>
      </w:r>
      <w:r>
        <w:rPr>
          <w:rFonts w:ascii="Century" w:eastAsia="Century" w:hAnsi="Century" w:cs="Century"/>
          <w:sz w:val="24"/>
        </w:rPr>
        <w:t xml:space="preserve"> </w:t>
      </w:r>
    </w:p>
    <w:p w14:paraId="5D026D58" w14:textId="77777777" w:rsidR="00BF5B05" w:rsidRDefault="0087540C" w:rsidP="00D2337F">
      <w:pPr>
        <w:spacing w:after="198" w:line="360" w:lineRule="auto"/>
        <w:ind w:left="-5" w:right="46" w:hanging="10"/>
      </w:pPr>
      <w:r>
        <w:rPr>
          <w:rFonts w:ascii="Century" w:eastAsia="Century" w:hAnsi="Century" w:cs="Century"/>
          <w:sz w:val="24"/>
          <w:u w:val="single" w:color="000000"/>
        </w:rPr>
        <w:t>Rati</w:t>
      </w:r>
      <w:r>
        <w:rPr>
          <w:rFonts w:ascii="Century" w:eastAsia="Century" w:hAnsi="Century" w:cs="Century"/>
          <w:sz w:val="24"/>
          <w:u w:val="single" w:color="000000"/>
        </w:rPr>
        <w:t>onale for Use</w:t>
      </w:r>
      <w:r>
        <w:rPr>
          <w:rFonts w:ascii="Century" w:eastAsia="Century" w:hAnsi="Century" w:cs="Century"/>
          <w:sz w:val="24"/>
        </w:rPr>
        <w:t xml:space="preserve">: This website proved useful in that I was able to find the physical location addresses for community police stations within the Greater Glasgow region. This information will allow me to compare geographic locations of the stations with their </w:t>
      </w:r>
      <w:r>
        <w:rPr>
          <w:rFonts w:ascii="Century" w:eastAsia="Century" w:hAnsi="Century" w:cs="Century"/>
          <w:sz w:val="24"/>
        </w:rPr>
        <w:t>jurisdictional wards. If necessary, the street addresses will be able to be used in the Geocode function in GIS software to represent on maps of Glasgow (which I was unable to locate GIS datasets of police stations in Scotland – only in England and Wales).</w:t>
      </w:r>
      <w:r>
        <w:rPr>
          <w:rFonts w:ascii="Century" w:eastAsia="Century" w:hAnsi="Century" w:cs="Century"/>
          <w:sz w:val="24"/>
        </w:rPr>
        <w:t xml:space="preserve"> </w:t>
      </w:r>
    </w:p>
    <w:p w14:paraId="4129B04C" w14:textId="77777777" w:rsidR="00BF5B05" w:rsidRDefault="0087540C">
      <w:pPr>
        <w:spacing w:after="187"/>
      </w:pPr>
      <w:r>
        <w:rPr>
          <w:rFonts w:ascii="Century" w:eastAsia="Century" w:hAnsi="Century" w:cs="Century"/>
          <w:sz w:val="24"/>
        </w:rPr>
        <w:t xml:space="preserve"> </w:t>
      </w:r>
    </w:p>
    <w:p w14:paraId="775D1997" w14:textId="3004C877" w:rsidR="00BF5B05" w:rsidRDefault="0087540C">
      <w:pPr>
        <w:spacing w:after="198" w:line="249" w:lineRule="auto"/>
        <w:ind w:left="-5" w:right="46" w:hanging="10"/>
      </w:pPr>
      <w:r>
        <w:rPr>
          <w:rFonts w:ascii="Century" w:eastAsia="Century" w:hAnsi="Century" w:cs="Century"/>
          <w:sz w:val="24"/>
          <w:u w:val="single" w:color="000000"/>
        </w:rPr>
        <w:t>Description</w:t>
      </w:r>
      <w:r>
        <w:rPr>
          <w:rFonts w:ascii="Century" w:eastAsia="Century" w:hAnsi="Century" w:cs="Century"/>
          <w:sz w:val="24"/>
        </w:rPr>
        <w:t xml:space="preserve">: </w:t>
      </w:r>
      <w:r w:rsidR="00B21D38" w:rsidRPr="00B21D38">
        <w:rPr>
          <w:rFonts w:ascii="Century" w:eastAsia="Century" w:hAnsi="Century" w:cs="Century"/>
          <w:sz w:val="24"/>
        </w:rPr>
        <w:t>Scottish Index of Multiple Deprivation - Geographic Access to Services Indicators</w:t>
      </w:r>
    </w:p>
    <w:p w14:paraId="283FC043" w14:textId="7BF18067" w:rsidR="00B21D38" w:rsidRDefault="0087540C" w:rsidP="00B21D38">
      <w:pPr>
        <w:spacing w:after="198" w:line="249" w:lineRule="auto"/>
        <w:ind w:left="-5" w:hanging="10"/>
        <w:rPr>
          <w:rFonts w:ascii="Century" w:eastAsia="Century" w:hAnsi="Century" w:cs="Century"/>
          <w:color w:val="0563C1"/>
          <w:sz w:val="24"/>
          <w:u w:val="single" w:color="0563C1"/>
        </w:rPr>
      </w:pPr>
      <w:r>
        <w:rPr>
          <w:rFonts w:ascii="Century" w:eastAsia="Century" w:hAnsi="Century" w:cs="Century"/>
          <w:sz w:val="24"/>
          <w:u w:val="single" w:color="000000"/>
        </w:rPr>
        <w:t>Url</w:t>
      </w:r>
      <w:r>
        <w:rPr>
          <w:rFonts w:ascii="Century" w:eastAsia="Century" w:hAnsi="Century" w:cs="Century"/>
          <w:sz w:val="24"/>
        </w:rPr>
        <w:t>:</w:t>
      </w:r>
      <w:r w:rsidR="00B21D38">
        <w:rPr>
          <w:rFonts w:ascii="Century" w:eastAsia="Century" w:hAnsi="Century" w:cs="Century"/>
          <w:sz w:val="24"/>
        </w:rPr>
        <w:t xml:space="preserve"> </w:t>
      </w:r>
      <w:hyperlink r:id="rId8" w:history="1">
        <w:r w:rsidR="00B21D38" w:rsidRPr="005A2401">
          <w:rPr>
            <w:rStyle w:val="Hyperlink"/>
            <w:rFonts w:ascii="Century" w:eastAsia="Century" w:hAnsi="Century" w:cs="Century"/>
            <w:sz w:val="24"/>
          </w:rPr>
          <w:t>https://statistics.gov.scot/resource?uri=http%3A%2F%2Fstatistics.gov.scot%2Fdata%2Fscottish-index-of-multiple-deprivation---geographic-access-to-services-indicators</w:t>
        </w:r>
      </w:hyperlink>
    </w:p>
    <w:p w14:paraId="59748637" w14:textId="2ED7921D" w:rsidR="00BF5B05" w:rsidRDefault="0087540C" w:rsidP="00D2337F">
      <w:pPr>
        <w:spacing w:after="198" w:line="360" w:lineRule="auto"/>
        <w:ind w:left="-5" w:hanging="10"/>
      </w:pPr>
      <w:r>
        <w:rPr>
          <w:rFonts w:ascii="Century" w:eastAsia="Century" w:hAnsi="Century" w:cs="Century"/>
          <w:sz w:val="24"/>
          <w:u w:val="single" w:color="000000"/>
        </w:rPr>
        <w:t>Rationale for Use</w:t>
      </w:r>
      <w:r>
        <w:rPr>
          <w:rFonts w:ascii="Century" w:eastAsia="Century" w:hAnsi="Century" w:cs="Century"/>
          <w:sz w:val="24"/>
        </w:rPr>
        <w:t xml:space="preserve">: </w:t>
      </w:r>
      <w:r w:rsidR="00B21D38">
        <w:rPr>
          <w:rFonts w:ascii="Century" w:eastAsia="Century" w:hAnsi="Century" w:cs="Century"/>
          <w:sz w:val="24"/>
        </w:rPr>
        <w:t>This is survey data for SIMD collected representing the years 2015 and 2018. The data is broken up by individual SIMD Data Zone. The method of travel is listed by “Car” and “Public Transport.” For the focus of this project, the target will be on public transportation</w:t>
      </w:r>
      <w:r w:rsidR="00D2337F">
        <w:rPr>
          <w:rFonts w:ascii="Century" w:eastAsia="Century" w:hAnsi="Century" w:cs="Century"/>
          <w:sz w:val="24"/>
        </w:rPr>
        <w:t>. Despite many individuals within the SIMD demography owning and operating private cars regularly, the decision to focus on public transit was made because it is a representation of community accessibility.</w:t>
      </w:r>
    </w:p>
    <w:p w14:paraId="002223B1" w14:textId="0054F552" w:rsidR="00BF5B05" w:rsidRDefault="00BF5B05">
      <w:pPr>
        <w:spacing w:after="187"/>
      </w:pPr>
    </w:p>
    <w:p w14:paraId="38BFE8C3" w14:textId="6B8939A1" w:rsidR="00BF5B05" w:rsidRPr="00E05E8C" w:rsidRDefault="0087540C" w:rsidP="00D2337F">
      <w:pPr>
        <w:spacing w:after="185"/>
        <w:ind w:left="-5" w:hanging="10"/>
        <w:jc w:val="center"/>
        <w:rPr>
          <w:rFonts w:ascii="Times New Roman" w:hAnsi="Times New Roman" w:cs="Times New Roman"/>
        </w:rPr>
      </w:pPr>
      <w:r w:rsidRPr="00E05E8C">
        <w:rPr>
          <w:rFonts w:ascii="Times New Roman" w:eastAsia="Century" w:hAnsi="Times New Roman" w:cs="Times New Roman"/>
          <w:sz w:val="24"/>
          <w:u w:val="single" w:color="000000"/>
        </w:rPr>
        <w:t>Understanding Data/ Issues arisen:</w:t>
      </w:r>
    </w:p>
    <w:p w14:paraId="09565035" w14:textId="469D3FA2" w:rsidR="00BF5B05" w:rsidRPr="00E05E8C" w:rsidRDefault="00D2337F" w:rsidP="00D2337F">
      <w:pPr>
        <w:spacing w:after="198" w:line="360" w:lineRule="auto"/>
        <w:ind w:left="-5" w:right="46" w:hanging="10"/>
        <w:rPr>
          <w:rFonts w:ascii="Times New Roman" w:hAnsi="Times New Roman" w:cs="Times New Roman"/>
        </w:rPr>
      </w:pPr>
      <w:r w:rsidRPr="00E05E8C">
        <w:rPr>
          <w:rFonts w:ascii="Times New Roman" w:eastAsia="Century" w:hAnsi="Times New Roman" w:cs="Times New Roman"/>
          <w:sz w:val="24"/>
        </w:rPr>
        <w:t xml:space="preserve">While this project was hoping to utilize each aspect of SIMD data to better visualize, analyze and evaluate the </w:t>
      </w:r>
      <w:proofErr w:type="gramStart"/>
      <w:r w:rsidRPr="00E05E8C">
        <w:rPr>
          <w:rFonts w:ascii="Times New Roman" w:eastAsia="Century" w:hAnsi="Times New Roman" w:cs="Times New Roman"/>
          <w:sz w:val="24"/>
        </w:rPr>
        <w:t>aforementioned policy</w:t>
      </w:r>
      <w:proofErr w:type="gramEnd"/>
      <w:r w:rsidRPr="00E05E8C">
        <w:rPr>
          <w:rFonts w:ascii="Times New Roman" w:eastAsia="Century" w:hAnsi="Times New Roman" w:cs="Times New Roman"/>
          <w:sz w:val="24"/>
        </w:rPr>
        <w:t xml:space="preserve">, certain variables were unavailable. Within the ‘Geographic </w:t>
      </w:r>
      <w:r w:rsidRPr="00E05E8C">
        <w:rPr>
          <w:rFonts w:ascii="Times New Roman" w:eastAsia="Century" w:hAnsi="Times New Roman" w:cs="Times New Roman"/>
          <w:sz w:val="24"/>
        </w:rPr>
        <w:lastRenderedPageBreak/>
        <w:t xml:space="preserve">Access to Services Indicators’ dataset there were additional “Destination” variables included, however since the locations were primary and secondary schools there was not an associated “Public Transport” survey measurement undertaken. There is discussion to be had regarding the safety of u-18 students that use public transportation to/from schools; while it may be generally agreed-upon that students indeed utilize the public transit system, for the sake of this project this data is unavailable. </w:t>
      </w:r>
    </w:p>
    <w:p w14:paraId="4F4FC8F6" w14:textId="1A05FCCF" w:rsidR="00BF5B05" w:rsidRDefault="0087540C" w:rsidP="00441498">
      <w:pPr>
        <w:spacing w:after="134"/>
      </w:pPr>
      <w:r>
        <w:rPr>
          <w:rFonts w:ascii="Century" w:eastAsia="Century" w:hAnsi="Century" w:cs="Century"/>
          <w:sz w:val="24"/>
        </w:rPr>
        <w:t xml:space="preserve"> </w:t>
      </w:r>
    </w:p>
    <w:p w14:paraId="667D4835" w14:textId="438DC68B" w:rsidR="00BF5B05" w:rsidRPr="00E05E8C" w:rsidRDefault="00D70CC2" w:rsidP="00E05E8C">
      <w:pPr>
        <w:spacing w:line="360" w:lineRule="auto"/>
        <w:rPr>
          <w:rFonts w:ascii="Times New Roman" w:hAnsi="Times New Roman" w:cs="Times New Roman"/>
          <w:sz w:val="24"/>
          <w:szCs w:val="24"/>
        </w:rPr>
        <w:sectPr w:rsidR="00BF5B05" w:rsidRPr="00E05E8C">
          <w:headerReference w:type="default" r:id="rId9"/>
          <w:pgSz w:w="12240" w:h="15840"/>
          <w:pgMar w:top="1441" w:right="1373" w:bottom="1444" w:left="1440" w:header="720" w:footer="720" w:gutter="0"/>
          <w:cols w:space="720"/>
        </w:sectPr>
      </w:pPr>
      <w:r>
        <w:rPr>
          <w:noProof/>
        </w:rPr>
        <mc:AlternateContent>
          <mc:Choice Requires="wpg">
            <w:drawing>
              <wp:anchor distT="0" distB="0" distL="114300" distR="114300" simplePos="0" relativeHeight="251659264" behindDoc="0" locked="0" layoutInCell="1" allowOverlap="1" wp14:anchorId="1A5CC9BB" wp14:editId="11E176C1">
                <wp:simplePos x="0" y="0"/>
                <wp:positionH relativeFrom="page">
                  <wp:posOffset>514350</wp:posOffset>
                </wp:positionH>
                <wp:positionV relativeFrom="paragraph">
                  <wp:posOffset>1606550</wp:posOffset>
                </wp:positionV>
                <wp:extent cx="6754495" cy="4105275"/>
                <wp:effectExtent l="0" t="0" r="0" b="28575"/>
                <wp:wrapThrough wrapText="bothSides">
                  <wp:wrapPolygon edited="0">
                    <wp:start x="9564" y="0"/>
                    <wp:lineTo x="9564" y="1804"/>
                    <wp:lineTo x="13159" y="3408"/>
                    <wp:lineTo x="13220" y="5012"/>
                    <wp:lineTo x="122" y="5413"/>
                    <wp:lineTo x="122" y="8620"/>
                    <wp:lineTo x="853" y="9823"/>
                    <wp:lineTo x="1097" y="10023"/>
                    <wp:lineTo x="4386" y="11426"/>
                    <wp:lineTo x="4752" y="11426"/>
                    <wp:lineTo x="4752" y="21650"/>
                    <wp:lineTo x="17240" y="21650"/>
                    <wp:lineTo x="17240" y="11426"/>
                    <wp:lineTo x="18398" y="11426"/>
                    <wp:lineTo x="21078" y="10324"/>
                    <wp:lineTo x="21017" y="9823"/>
                    <wp:lineTo x="21261" y="9823"/>
                    <wp:lineTo x="21444" y="8921"/>
                    <wp:lineTo x="21505" y="5513"/>
                    <wp:lineTo x="21017" y="5413"/>
                    <wp:lineTo x="14377" y="5012"/>
                    <wp:lineTo x="14438" y="3408"/>
                    <wp:lineTo x="16144" y="1804"/>
                    <wp:lineTo x="16144" y="0"/>
                    <wp:lineTo x="9564" y="0"/>
                  </wp:wrapPolygon>
                </wp:wrapThrough>
                <wp:docPr id="15" name="Group 15"/>
                <wp:cNvGraphicFramePr/>
                <a:graphic xmlns:a="http://schemas.openxmlformats.org/drawingml/2006/main">
                  <a:graphicData uri="http://schemas.microsoft.com/office/word/2010/wordprocessingGroup">
                    <wpg:wgp>
                      <wpg:cNvGrpSpPr/>
                      <wpg:grpSpPr>
                        <a:xfrm>
                          <a:off x="0" y="0"/>
                          <a:ext cx="6754495" cy="4105275"/>
                          <a:chOff x="-6204" y="282772"/>
                          <a:chExt cx="6052587" cy="3602793"/>
                        </a:xfrm>
                      </wpg:grpSpPr>
                      <wps:wsp>
                        <wps:cNvPr id="11" name="Text Box 11"/>
                        <wps:cNvSpPr txBox="1"/>
                        <wps:spPr>
                          <a:xfrm>
                            <a:off x="2628971" y="282772"/>
                            <a:ext cx="1943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613488" w14:textId="77777777" w:rsidR="00441498" w:rsidRPr="00441498" w:rsidRDefault="00441498" w:rsidP="00441498">
                              <w:pPr>
                                <w:rPr>
                                  <w:b/>
                                  <w:u w:val="single"/>
                                </w:rPr>
                              </w:pPr>
                              <w:r w:rsidRPr="00441498">
                                <w:rPr>
                                  <w:b/>
                                  <w:u w:val="single"/>
                                </w:rPr>
                                <w:t xml:space="preserve">Policy Levers (L)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6204" y="457200"/>
                            <a:ext cx="6052587" cy="3428365"/>
                            <a:chOff x="-6204" y="0"/>
                            <a:chExt cx="6053008" cy="3428892"/>
                          </a:xfrm>
                        </wpg:grpSpPr>
                        <wpg:grpSp>
                          <wpg:cNvPr id="4" name="Group 4"/>
                          <wpg:cNvGrpSpPr/>
                          <wpg:grpSpPr>
                            <a:xfrm>
                              <a:off x="1361872" y="1031132"/>
                              <a:ext cx="3431540" cy="2397760"/>
                              <a:chOff x="0" y="0"/>
                              <a:chExt cx="4343400" cy="308610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Rectangle 2"/>
                            <wps:cNvSpPr/>
                            <wps:spPr>
                              <a:xfrm>
                                <a:off x="0" y="0"/>
                                <a:ext cx="4343400" cy="30861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6732" y="116732"/>
                                <a:ext cx="4114165" cy="285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1624245" y="1549747"/>
                              <a:ext cx="2966952" cy="342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CDD573" w14:textId="77777777" w:rsidR="00441498" w:rsidRPr="00441498" w:rsidRDefault="00441498" w:rsidP="00441498">
                                <w:pPr>
                                  <w:jc w:val="center"/>
                                  <w:rPr>
                                    <w:b/>
                                    <w:u w:val="single"/>
                                  </w:rPr>
                                </w:pPr>
                                <w:r w:rsidRPr="00441498">
                                  <w:rPr>
                                    <w:b/>
                                    <w:u w:val="single"/>
                                  </w:rPr>
                                  <w:t>Relationship in System (R)</w:t>
                                </w:r>
                              </w:p>
                              <w:p w14:paraId="258277AB" w14:textId="77777777" w:rsidR="00441498" w:rsidRDefault="00441498" w:rsidP="00441498"/>
                              <w:p w14:paraId="19359B43" w14:textId="77777777" w:rsidR="00441498" w:rsidRDefault="00441498" w:rsidP="00441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Down Arrow 8"/>
                          <wps:cNvSpPr/>
                          <wps:spPr>
                            <a:xfrm>
                              <a:off x="3634302" y="0"/>
                              <a:ext cx="452120" cy="91630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rot="16200000">
                              <a:off x="567098" y="908423"/>
                              <a:ext cx="452120" cy="91630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rot="16200000">
                              <a:off x="5287372" y="865534"/>
                              <a:ext cx="452120" cy="91630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204" y="715508"/>
                              <a:ext cx="965835" cy="6055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CB5F86" w14:textId="01182163" w:rsidR="00441498" w:rsidRPr="00441498" w:rsidRDefault="00441498" w:rsidP="00441498">
                                <w:pPr>
                                  <w:rPr>
                                    <w:b/>
                                    <w:u w:val="single"/>
                                  </w:rPr>
                                </w:pPr>
                                <w:r w:rsidRPr="00441498">
                                  <w:rPr>
                                    <w:b/>
                                    <w:u w:val="single"/>
                                  </w:rPr>
                                  <w:t>External</w:t>
                                </w:r>
                              </w:p>
                              <w:p w14:paraId="0D1C7EDC" w14:textId="77777777" w:rsidR="00441498" w:rsidRPr="00441498" w:rsidRDefault="00441498" w:rsidP="00441498">
                                <w:pPr>
                                  <w:rPr>
                                    <w:b/>
                                    <w:u w:val="single"/>
                                  </w:rPr>
                                </w:pPr>
                                <w:r w:rsidRPr="00441498">
                                  <w:rPr>
                                    <w:b/>
                                    <w:u w:val="single"/>
                                  </w:rPr>
                                  <w:t xml:space="preserve"> Factors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852369" y="715508"/>
                              <a:ext cx="1194435" cy="575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7FD7" w14:textId="77777777" w:rsidR="00441498" w:rsidRPr="00441498" w:rsidRDefault="00441498" w:rsidP="00441498">
                                <w:pPr>
                                  <w:rPr>
                                    <w:b/>
                                    <w:u w:val="single"/>
                                  </w:rPr>
                                </w:pPr>
                                <w:r w:rsidRPr="00441498">
                                  <w:rPr>
                                    <w:b/>
                                    <w:u w:val="single"/>
                                  </w:rPr>
                                  <w:t xml:space="preserve">Performance </w:t>
                                </w:r>
                              </w:p>
                              <w:p w14:paraId="681A1F4A" w14:textId="77777777" w:rsidR="00441498" w:rsidRPr="00441498" w:rsidRDefault="00441498" w:rsidP="00441498">
                                <w:pPr>
                                  <w:rPr>
                                    <w:b/>
                                    <w:u w:val="single"/>
                                  </w:rPr>
                                </w:pPr>
                                <w:r w:rsidRPr="00441498">
                                  <w:rPr>
                                    <w:b/>
                                    <w:u w:val="single"/>
                                  </w:rPr>
                                  <w:t xml:space="preserve">Metrics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5CC9BB" id="Group 15" o:spid="_x0000_s1026" style="position:absolute;margin-left:40.5pt;margin-top:126.5pt;width:531.85pt;height:323.25pt;z-index:251659264;mso-position-horizontal-relative:page;mso-width-relative:margin;mso-height-relative:margin" coordorigin="-62,2827" coordsize="60525,3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">
                <v:shapetype id="_x0000_t202" coordsize="21600,21600" o:spt="202" path="m,l,21600r21600,l21600,xe">
                  <v:stroke joinstyle="miter"/>
                  <v:path gradientshapeok="t" o:connecttype="rect"/>
                </v:shapetype>
                <v:shape id="Text Box 11" o:spid="_x0000_s1027" type="#_x0000_t202" style="position:absolute;left:26289;top:2827;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6613488" w14:textId="77777777" w:rsidR="00441498" w:rsidRPr="00441498" w:rsidRDefault="00441498" w:rsidP="00441498">
                        <w:pPr>
                          <w:rPr>
                            <w:b/>
                            <w:u w:val="single"/>
                          </w:rPr>
                        </w:pPr>
                        <w:r w:rsidRPr="00441498">
                          <w:rPr>
                            <w:b/>
                            <w:u w:val="single"/>
                          </w:rPr>
                          <w:t xml:space="preserve">Policy Levers (L) </w:t>
                        </w:r>
                      </w:p>
                    </w:txbxContent>
                  </v:textbox>
                </v:shape>
                <v:group id="Group 14" o:spid="_x0000_s1028" style="position:absolute;left:-62;top:4572;width:60525;height:34283" coordorigin="-62" coordsize="60530,3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4" o:spid="_x0000_s1029" style="position:absolute;left:13618;top:10311;width:34316;height:23977" coordsize="43434,3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0" style="position:absolute;width:43434;height:30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" fillcolor="red" strokecolor="#1f3763 [1604]" strokeweight="1pt"/>
                    <v:rect id="Rectangle 3" o:spid="_x0000_s1031" style="position:absolute;left:1167;top:1167;width:41141;height:2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group>
                  <v:shape id="Text Box 5" o:spid="_x0000_s1032" type="#_x0000_t202" style="position:absolute;left:16242;top:15497;width:2966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ACDD573" w14:textId="77777777" w:rsidR="00441498" w:rsidRPr="00441498" w:rsidRDefault="00441498" w:rsidP="00441498">
                          <w:pPr>
                            <w:jc w:val="center"/>
                            <w:rPr>
                              <w:b/>
                              <w:u w:val="single"/>
                            </w:rPr>
                          </w:pPr>
                          <w:r w:rsidRPr="00441498">
                            <w:rPr>
                              <w:b/>
                              <w:u w:val="single"/>
                            </w:rPr>
                            <w:t>Relationship in System (R)</w:t>
                          </w:r>
                        </w:p>
                        <w:p w14:paraId="258277AB" w14:textId="77777777" w:rsidR="00441498" w:rsidRDefault="00441498" w:rsidP="00441498"/>
                        <w:p w14:paraId="19359B43" w14:textId="77777777" w:rsidR="00441498" w:rsidRDefault="00441498" w:rsidP="00441498"/>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3" type="#_x0000_t67" style="position:absolute;left:36343;width:4521;height:9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" adj="16271" fillcolor="#ffc000" strokecolor="#1f3763 [1604]" strokeweight="1pt"/>
                  <v:shape id="Down Arrow 9" o:spid="_x0000_s1034" type="#_x0000_t67" style="position:absolute;left:5671;top:9084;width:4521;height:9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" adj="16271" fillcolor="#ffc000" strokecolor="#1f3763 [1604]" strokeweight="1pt"/>
                  <v:shape id="Down Arrow 10" o:spid="_x0000_s1035" type="#_x0000_t67" style="position:absolute;left:52873;top:8655;width:4521;height:9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" adj="16271" fillcolor="#ffc000" strokecolor="#1f3763 [1604]" strokeweight="1pt"/>
                  <v:shape id="Text Box 12" o:spid="_x0000_s1036" type="#_x0000_t202" style="position:absolute;left:-62;top:7155;width:9658;height:6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8CB5F86" w14:textId="01182163" w:rsidR="00441498" w:rsidRPr="00441498" w:rsidRDefault="00441498" w:rsidP="00441498">
                          <w:pPr>
                            <w:rPr>
                              <w:b/>
                              <w:u w:val="single"/>
                            </w:rPr>
                          </w:pPr>
                          <w:r w:rsidRPr="00441498">
                            <w:rPr>
                              <w:b/>
                              <w:u w:val="single"/>
                            </w:rPr>
                            <w:t>External</w:t>
                          </w:r>
                        </w:p>
                        <w:p w14:paraId="0D1C7EDC" w14:textId="77777777" w:rsidR="00441498" w:rsidRPr="00441498" w:rsidRDefault="00441498" w:rsidP="00441498">
                          <w:pPr>
                            <w:rPr>
                              <w:b/>
                              <w:u w:val="single"/>
                            </w:rPr>
                          </w:pPr>
                          <w:r w:rsidRPr="00441498">
                            <w:rPr>
                              <w:b/>
                              <w:u w:val="single"/>
                            </w:rPr>
                            <w:t xml:space="preserve"> Factors (X) </w:t>
                          </w:r>
                        </w:p>
                      </w:txbxContent>
                    </v:textbox>
                  </v:shape>
                  <v:shape id="Text Box 13" o:spid="_x0000_s1037" type="#_x0000_t202" style="position:absolute;left:48523;top:7155;width:11945;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9297FD7" w14:textId="77777777" w:rsidR="00441498" w:rsidRPr="00441498" w:rsidRDefault="00441498" w:rsidP="00441498">
                          <w:pPr>
                            <w:rPr>
                              <w:b/>
                              <w:u w:val="single"/>
                            </w:rPr>
                          </w:pPr>
                          <w:r w:rsidRPr="00441498">
                            <w:rPr>
                              <w:b/>
                              <w:u w:val="single"/>
                            </w:rPr>
                            <w:t xml:space="preserve">Performance </w:t>
                          </w:r>
                        </w:p>
                        <w:p w14:paraId="681A1F4A" w14:textId="77777777" w:rsidR="00441498" w:rsidRPr="00441498" w:rsidRDefault="00441498" w:rsidP="00441498">
                          <w:pPr>
                            <w:rPr>
                              <w:b/>
                              <w:u w:val="single"/>
                            </w:rPr>
                          </w:pPr>
                          <w:r w:rsidRPr="00441498">
                            <w:rPr>
                              <w:b/>
                              <w:u w:val="single"/>
                            </w:rPr>
                            <w:t xml:space="preserve">Metrics (M) </w:t>
                          </w:r>
                        </w:p>
                      </w:txbxContent>
                    </v:textbox>
                  </v:shape>
                </v:group>
                <w10:wrap type="through" anchorx="page"/>
              </v:group>
            </w:pict>
          </mc:Fallback>
        </mc:AlternateContent>
      </w:r>
      <w:r>
        <w:rPr>
          <w:rFonts w:ascii="Century" w:eastAsia="Century" w:hAnsi="Century" w:cs="Century"/>
          <w:noProof/>
          <w:sz w:val="24"/>
        </w:rPr>
        <mc:AlternateContent>
          <mc:Choice Requires="wps">
            <w:drawing>
              <wp:anchor distT="0" distB="0" distL="114300" distR="114300" simplePos="0" relativeHeight="251663360" behindDoc="0" locked="0" layoutInCell="1" allowOverlap="1" wp14:anchorId="690247A2" wp14:editId="7CA87CB2">
                <wp:simplePos x="0" y="0"/>
                <wp:positionH relativeFrom="page">
                  <wp:posOffset>2697480</wp:posOffset>
                </wp:positionH>
                <wp:positionV relativeFrom="paragraph">
                  <wp:posOffset>4109720</wp:posOffset>
                </wp:positionV>
                <wp:extent cx="2571750" cy="1085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571750" cy="1085850"/>
                        </a:xfrm>
                        <a:prstGeom prst="rect">
                          <a:avLst/>
                        </a:prstGeom>
                        <a:solidFill>
                          <a:schemeClr val="lt1"/>
                        </a:solidFill>
                        <a:ln w="6350">
                          <a:solidFill>
                            <a:prstClr val="black"/>
                          </a:solidFill>
                        </a:ln>
                      </wps:spPr>
                      <wps:txbx>
                        <w:txbxContent>
                          <w:p w14:paraId="6C80CA1B" w14:textId="49A7EE30" w:rsidR="00441498" w:rsidRPr="00D70CC2" w:rsidRDefault="00D70CC2">
                            <w:pPr>
                              <w:rPr>
                                <w:rFonts w:ascii="Times New Roman" w:hAnsi="Times New Roman" w:cs="Times New Roman"/>
                              </w:rPr>
                            </w:pPr>
                            <w:r w:rsidRPr="00D70CC2">
                              <w:rPr>
                                <w:rFonts w:ascii="Times New Roman" w:hAnsi="Times New Roman" w:cs="Times New Roman"/>
                              </w:rPr>
                              <w:t>Relational continuity between policing, focused improvement to service accessibility within communities and overall SIMD factors leading to targeted policy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47A2" id="Text Box 16" o:spid="_x0000_s1038" type="#_x0000_t202" style="position:absolute;margin-left:212.4pt;margin-top:323.6pt;width:202.5pt;height:8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" fillcolor="white [3201]" strokeweight=".5pt">
                <v:textbox>
                  <w:txbxContent>
                    <w:p w14:paraId="6C80CA1B" w14:textId="49A7EE30" w:rsidR="00441498" w:rsidRPr="00D70CC2" w:rsidRDefault="00D70CC2">
                      <w:pPr>
                        <w:rPr>
                          <w:rFonts w:ascii="Times New Roman" w:hAnsi="Times New Roman" w:cs="Times New Roman"/>
                        </w:rPr>
                      </w:pPr>
                      <w:r w:rsidRPr="00D70CC2">
                        <w:rPr>
                          <w:rFonts w:ascii="Times New Roman" w:hAnsi="Times New Roman" w:cs="Times New Roman"/>
                        </w:rPr>
                        <w:t>Relational continuity between policing, focused improvement to service accessibility within communities and overall SIMD factors leading to targeted policy outcomes.</w:t>
                      </w:r>
                    </w:p>
                  </w:txbxContent>
                </v:textbox>
                <w10:wrap anchorx="page"/>
              </v:shape>
            </w:pict>
          </mc:Fallback>
        </mc:AlternateContent>
      </w:r>
      <w:r>
        <w:rPr>
          <w:rFonts w:ascii="Century" w:eastAsia="Century" w:hAnsi="Century" w:cs="Century"/>
          <w:noProof/>
          <w:sz w:val="24"/>
        </w:rPr>
        <mc:AlternateContent>
          <mc:Choice Requires="wps">
            <w:drawing>
              <wp:anchor distT="0" distB="0" distL="114300" distR="114300" simplePos="0" relativeHeight="251662336" behindDoc="0" locked="0" layoutInCell="1" allowOverlap="1" wp14:anchorId="429DFDAC" wp14:editId="505F5E8F">
                <wp:simplePos x="0" y="0"/>
                <wp:positionH relativeFrom="column">
                  <wp:posOffset>5109210</wp:posOffset>
                </wp:positionH>
                <wp:positionV relativeFrom="paragraph">
                  <wp:posOffset>3619788</wp:posOffset>
                </wp:positionV>
                <wp:extent cx="1371600" cy="206883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371600" cy="2068830"/>
                        </a:xfrm>
                        <a:prstGeom prst="rect">
                          <a:avLst/>
                        </a:prstGeom>
                        <a:solidFill>
                          <a:schemeClr val="lt1"/>
                        </a:solidFill>
                        <a:ln w="6350">
                          <a:solidFill>
                            <a:prstClr val="black"/>
                          </a:solidFill>
                        </a:ln>
                      </wps:spPr>
                      <wps:txbx>
                        <w:txbxContent>
                          <w:p w14:paraId="0CEE9A72" w14:textId="288E2819" w:rsidR="00441498"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Changes in SIMD Data Zone Rankings.</w:t>
                            </w:r>
                          </w:p>
                          <w:p w14:paraId="70A5075E" w14:textId="3DE57FA4" w:rsidR="00B34796"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Recorded instances of crime.</w:t>
                            </w:r>
                          </w:p>
                          <w:p w14:paraId="285E8195" w14:textId="6A85417F" w:rsidR="00B34796"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Education qualifications</w:t>
                            </w:r>
                            <w:r w:rsidR="00D70CC2" w:rsidRPr="00D70CC2">
                              <w:rPr>
                                <w:rFonts w:ascii="Times New Roman" w:hAnsi="Times New Roman" w:cs="Times New Roman"/>
                                <w:sz w:val="20"/>
                                <w:szCs w:val="20"/>
                              </w:rPr>
                              <w:t>.</w:t>
                            </w:r>
                          </w:p>
                          <w:p w14:paraId="152E9528" w14:textId="513A4CAA"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w:t>
                            </w:r>
                            <w:r>
                              <w:rPr>
                                <w:rFonts w:ascii="Times New Roman" w:hAnsi="Times New Roman" w:cs="Times New Roman"/>
                                <w:sz w:val="20"/>
                                <w:szCs w:val="20"/>
                              </w:rPr>
                              <w:t xml:space="preserve"> </w:t>
                            </w:r>
                            <w:r w:rsidRPr="00D70CC2">
                              <w:rPr>
                                <w:rFonts w:ascii="Times New Roman" w:hAnsi="Times New Roman" w:cs="Times New Roman"/>
                                <w:sz w:val="20"/>
                                <w:szCs w:val="20"/>
                              </w:rPr>
                              <w:t>Employment/Income</w:t>
                            </w:r>
                          </w:p>
                          <w:p w14:paraId="2F52FC24" w14:textId="6D6583FC" w:rsidR="00B34796" w:rsidRDefault="00B34796">
                            <w:r w:rsidRPr="00D70CC2">
                              <w:rPr>
                                <w:rFonts w:ascii="Times New Roman" w:hAnsi="Times New Roman" w:cs="Times New Roman"/>
                                <w:sz w:val="20"/>
                                <w:szCs w:val="20"/>
                              </w:rPr>
                              <w:t>+ Mean travel time to community service locations</w:t>
                            </w:r>
                            <w:r w:rsidR="00D70CC2" w:rsidRPr="00D70CC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DFDAC" id="Text Box 7" o:spid="_x0000_s1039" type="#_x0000_t202" style="position:absolute;margin-left:402.3pt;margin-top:285pt;width:108pt;height:16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" fillcolor="white [3201]" strokeweight=".5pt">
                <v:textbox>
                  <w:txbxContent>
                    <w:p w14:paraId="0CEE9A72" w14:textId="288E2819" w:rsidR="00441498"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Changes in SIMD Data Zone Rankings.</w:t>
                      </w:r>
                    </w:p>
                    <w:p w14:paraId="70A5075E" w14:textId="3DE57FA4" w:rsidR="00B34796"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Recorded instances of crime.</w:t>
                      </w:r>
                    </w:p>
                    <w:p w14:paraId="285E8195" w14:textId="6A85417F" w:rsidR="00B34796"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Education qualifications</w:t>
                      </w:r>
                      <w:r w:rsidR="00D70CC2" w:rsidRPr="00D70CC2">
                        <w:rPr>
                          <w:rFonts w:ascii="Times New Roman" w:hAnsi="Times New Roman" w:cs="Times New Roman"/>
                          <w:sz w:val="20"/>
                          <w:szCs w:val="20"/>
                        </w:rPr>
                        <w:t>.</w:t>
                      </w:r>
                    </w:p>
                    <w:p w14:paraId="152E9528" w14:textId="513A4CAA"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w:t>
                      </w:r>
                      <w:r>
                        <w:rPr>
                          <w:rFonts w:ascii="Times New Roman" w:hAnsi="Times New Roman" w:cs="Times New Roman"/>
                          <w:sz w:val="20"/>
                          <w:szCs w:val="20"/>
                        </w:rPr>
                        <w:t xml:space="preserve"> </w:t>
                      </w:r>
                      <w:r w:rsidRPr="00D70CC2">
                        <w:rPr>
                          <w:rFonts w:ascii="Times New Roman" w:hAnsi="Times New Roman" w:cs="Times New Roman"/>
                          <w:sz w:val="20"/>
                          <w:szCs w:val="20"/>
                        </w:rPr>
                        <w:t>Employment/Income</w:t>
                      </w:r>
                    </w:p>
                    <w:p w14:paraId="2F52FC24" w14:textId="6D6583FC" w:rsidR="00B34796" w:rsidRDefault="00B34796">
                      <w:r w:rsidRPr="00D70CC2">
                        <w:rPr>
                          <w:rFonts w:ascii="Times New Roman" w:hAnsi="Times New Roman" w:cs="Times New Roman"/>
                          <w:sz w:val="20"/>
                          <w:szCs w:val="20"/>
                        </w:rPr>
                        <w:t>+ Mean travel time to community service locations</w:t>
                      </w:r>
                      <w:r w:rsidR="00D70CC2" w:rsidRPr="00D70CC2">
                        <w:rPr>
                          <w:rFonts w:ascii="Times New Roman" w:hAnsi="Times New Roman" w:cs="Times New Roman"/>
                          <w:sz w:val="20"/>
                          <w:szCs w:val="20"/>
                        </w:rPr>
                        <w:t>.</w:t>
                      </w:r>
                    </w:p>
                  </w:txbxContent>
                </v:textbox>
              </v:shape>
            </w:pict>
          </mc:Fallback>
        </mc:AlternateContent>
      </w:r>
      <w:r>
        <w:rPr>
          <w:rFonts w:ascii="Century" w:eastAsia="Century" w:hAnsi="Century" w:cs="Century"/>
          <w:noProof/>
          <w:sz w:val="24"/>
        </w:rPr>
        <mc:AlternateContent>
          <mc:Choice Requires="wps">
            <w:drawing>
              <wp:anchor distT="0" distB="0" distL="114300" distR="114300" simplePos="0" relativeHeight="251661312" behindDoc="0" locked="0" layoutInCell="1" allowOverlap="1" wp14:anchorId="36454AF5" wp14:editId="310698E4">
                <wp:simplePos x="0" y="0"/>
                <wp:positionH relativeFrom="margin">
                  <wp:posOffset>-582930</wp:posOffset>
                </wp:positionH>
                <wp:positionV relativeFrom="paragraph">
                  <wp:posOffset>3663950</wp:posOffset>
                </wp:positionV>
                <wp:extent cx="1497330" cy="19659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497330" cy="1965960"/>
                        </a:xfrm>
                        <a:prstGeom prst="rect">
                          <a:avLst/>
                        </a:prstGeom>
                        <a:solidFill>
                          <a:schemeClr val="lt1"/>
                        </a:solidFill>
                        <a:ln w="6350">
                          <a:solidFill>
                            <a:prstClr val="black"/>
                          </a:solidFill>
                        </a:ln>
                      </wps:spPr>
                      <wps:txbx>
                        <w:txbxContent>
                          <w:p w14:paraId="0EE0707C" w14:textId="6C21F185" w:rsidR="00441498"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xml:space="preserve">+ </w:t>
                            </w:r>
                            <w:r w:rsidR="00D70CC2" w:rsidRPr="00D70CC2">
                              <w:rPr>
                                <w:rFonts w:ascii="Times New Roman" w:hAnsi="Times New Roman" w:cs="Times New Roman"/>
                                <w:sz w:val="20"/>
                                <w:szCs w:val="20"/>
                              </w:rPr>
                              <w:t>Changes in demographic makeup.</w:t>
                            </w:r>
                          </w:p>
                          <w:p w14:paraId="6D3B61E4" w14:textId="38CC5388"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Uncertainties (i.e. Brexit, COVID-19, etc.)</w:t>
                            </w:r>
                          </w:p>
                          <w:p w14:paraId="11AD5FA0" w14:textId="59079F81"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Ebbs in socio-economic culture.</w:t>
                            </w:r>
                          </w:p>
                          <w:p w14:paraId="360300B6" w14:textId="147EF6A7"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Changes in population.</w:t>
                            </w:r>
                          </w:p>
                          <w:p w14:paraId="1C864A3F" w14:textId="55F6D0DB"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xml:space="preserve">+ </w:t>
                            </w:r>
                            <w:r>
                              <w:rPr>
                                <w:rFonts w:ascii="Times New Roman" w:hAnsi="Times New Roman" w:cs="Times New Roman"/>
                                <w:sz w:val="20"/>
                                <w:szCs w:val="20"/>
                              </w:rPr>
                              <w:t>Efficiencies between levels of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54AF5" id="Text Box 6" o:spid="_x0000_s1040" type="#_x0000_t202" style="position:absolute;margin-left:-45.9pt;margin-top:288.5pt;width:117.9pt;height:15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" fillcolor="white [3201]" strokeweight=".5pt">
                <v:textbox>
                  <w:txbxContent>
                    <w:p w14:paraId="0EE0707C" w14:textId="6C21F185" w:rsidR="00441498" w:rsidRPr="00D70CC2" w:rsidRDefault="00B34796">
                      <w:pPr>
                        <w:rPr>
                          <w:rFonts w:ascii="Times New Roman" w:hAnsi="Times New Roman" w:cs="Times New Roman"/>
                          <w:sz w:val="20"/>
                          <w:szCs w:val="20"/>
                        </w:rPr>
                      </w:pPr>
                      <w:r w:rsidRPr="00D70CC2">
                        <w:rPr>
                          <w:rFonts w:ascii="Times New Roman" w:hAnsi="Times New Roman" w:cs="Times New Roman"/>
                          <w:sz w:val="20"/>
                          <w:szCs w:val="20"/>
                        </w:rPr>
                        <w:t xml:space="preserve">+ </w:t>
                      </w:r>
                      <w:r w:rsidR="00D70CC2" w:rsidRPr="00D70CC2">
                        <w:rPr>
                          <w:rFonts w:ascii="Times New Roman" w:hAnsi="Times New Roman" w:cs="Times New Roman"/>
                          <w:sz w:val="20"/>
                          <w:szCs w:val="20"/>
                        </w:rPr>
                        <w:t>Changes in demographic makeup.</w:t>
                      </w:r>
                    </w:p>
                    <w:p w14:paraId="6D3B61E4" w14:textId="38CC5388"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Uncertainties (i.e. Brexit, COVID-19, etc.)</w:t>
                      </w:r>
                    </w:p>
                    <w:p w14:paraId="11AD5FA0" w14:textId="59079F81"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Ebbs in socio-economic culture.</w:t>
                      </w:r>
                    </w:p>
                    <w:p w14:paraId="360300B6" w14:textId="147EF6A7"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Changes in population.</w:t>
                      </w:r>
                    </w:p>
                    <w:p w14:paraId="1C864A3F" w14:textId="55F6D0DB" w:rsidR="00D70CC2" w:rsidRPr="00D70CC2" w:rsidRDefault="00D70CC2">
                      <w:pPr>
                        <w:rPr>
                          <w:rFonts w:ascii="Times New Roman" w:hAnsi="Times New Roman" w:cs="Times New Roman"/>
                          <w:sz w:val="20"/>
                          <w:szCs w:val="20"/>
                        </w:rPr>
                      </w:pPr>
                      <w:r w:rsidRPr="00D70CC2">
                        <w:rPr>
                          <w:rFonts w:ascii="Times New Roman" w:hAnsi="Times New Roman" w:cs="Times New Roman"/>
                          <w:sz w:val="20"/>
                          <w:szCs w:val="20"/>
                        </w:rPr>
                        <w:t xml:space="preserve">+ </w:t>
                      </w:r>
                      <w:r>
                        <w:rPr>
                          <w:rFonts w:ascii="Times New Roman" w:hAnsi="Times New Roman" w:cs="Times New Roman"/>
                          <w:sz w:val="20"/>
                          <w:szCs w:val="20"/>
                        </w:rPr>
                        <w:t>Efficiencies between levels of governance.</w:t>
                      </w:r>
                    </w:p>
                  </w:txbxContent>
                </v:textbox>
                <w10:wrap anchorx="margin"/>
              </v:shape>
            </w:pict>
          </mc:Fallback>
        </mc:AlternateContent>
      </w:r>
      <w:r w:rsidR="00B34796">
        <w:rPr>
          <w:rFonts w:ascii="Century" w:eastAsia="Century" w:hAnsi="Century" w:cs="Century"/>
          <w:noProof/>
          <w:sz w:val="24"/>
        </w:rPr>
        <mc:AlternateContent>
          <mc:Choice Requires="wps">
            <w:drawing>
              <wp:anchor distT="0" distB="0" distL="114300" distR="114300" simplePos="0" relativeHeight="251660288" behindDoc="0" locked="0" layoutInCell="1" allowOverlap="1" wp14:anchorId="5BBA6C10" wp14:editId="67F48B33">
                <wp:simplePos x="0" y="0"/>
                <wp:positionH relativeFrom="margin">
                  <wp:posOffset>1229486</wp:posOffset>
                </wp:positionH>
                <wp:positionV relativeFrom="paragraph">
                  <wp:posOffset>1949450</wp:posOffset>
                </wp:positionV>
                <wp:extent cx="2286000" cy="5715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86000" cy="571500"/>
                        </a:xfrm>
                        <a:prstGeom prst="rect">
                          <a:avLst/>
                        </a:prstGeom>
                        <a:solidFill>
                          <a:schemeClr val="lt1"/>
                        </a:solidFill>
                        <a:ln w="6350">
                          <a:solidFill>
                            <a:prstClr val="black"/>
                          </a:solidFill>
                        </a:ln>
                      </wps:spPr>
                      <wps:txbx>
                        <w:txbxContent>
                          <w:p w14:paraId="13023E77" w14:textId="2FA19224" w:rsidR="00B34796" w:rsidRDefault="00B34796">
                            <w:pPr>
                              <w:rPr>
                                <w:rFonts w:ascii="Times New Roman" w:eastAsia="Century" w:hAnsi="Times New Roman" w:cs="Times New Roman"/>
                                <w:color w:val="333333"/>
                              </w:rPr>
                            </w:pPr>
                            <w:r w:rsidRPr="00B34796">
                              <w:rPr>
                                <w:rFonts w:ascii="Times New Roman" w:hAnsi="Times New Roman" w:cs="Times New Roman"/>
                              </w:rPr>
                              <w:t xml:space="preserve">+ </w:t>
                            </w:r>
                            <w:r w:rsidRPr="00B34796">
                              <w:rPr>
                                <w:rFonts w:ascii="Times New Roman" w:eastAsia="Century" w:hAnsi="Times New Roman" w:cs="Times New Roman"/>
                                <w:color w:val="333333"/>
                              </w:rPr>
                              <w:t>Justice in Scotland: Vision and Priorities strategy</w:t>
                            </w:r>
                            <w:r w:rsidRPr="00B34796">
                              <w:rPr>
                                <w:rFonts w:ascii="Times New Roman" w:eastAsia="Century" w:hAnsi="Times New Roman" w:cs="Times New Roman"/>
                                <w:color w:val="333333"/>
                              </w:rPr>
                              <w:t xml:space="preserve"> (2017).</w:t>
                            </w:r>
                          </w:p>
                          <w:p w14:paraId="4C7D1461" w14:textId="4298C819" w:rsidR="00B34796" w:rsidRPr="00B34796" w:rsidRDefault="00B34796">
                            <w:pPr>
                              <w:rPr>
                                <w:rFonts w:ascii="Times New Roman" w:eastAsia="Century" w:hAnsi="Times New Roman" w:cs="Times New Roman"/>
                                <w:color w:val="33333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6C10" id="Text Box 1" o:spid="_x0000_s1041" type="#_x0000_t202" style="position:absolute;margin-left:96.8pt;margin-top:153.5pt;width:180pt;height: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" fillcolor="white [3201]" strokeweight=".5pt">
                <v:textbox>
                  <w:txbxContent>
                    <w:p w14:paraId="13023E77" w14:textId="2FA19224" w:rsidR="00B34796" w:rsidRDefault="00B34796">
                      <w:pPr>
                        <w:rPr>
                          <w:rFonts w:ascii="Times New Roman" w:eastAsia="Century" w:hAnsi="Times New Roman" w:cs="Times New Roman"/>
                          <w:color w:val="333333"/>
                        </w:rPr>
                      </w:pPr>
                      <w:r w:rsidRPr="00B34796">
                        <w:rPr>
                          <w:rFonts w:ascii="Times New Roman" w:hAnsi="Times New Roman" w:cs="Times New Roman"/>
                        </w:rPr>
                        <w:t xml:space="preserve">+ </w:t>
                      </w:r>
                      <w:r w:rsidRPr="00B34796">
                        <w:rPr>
                          <w:rFonts w:ascii="Times New Roman" w:eastAsia="Century" w:hAnsi="Times New Roman" w:cs="Times New Roman"/>
                          <w:color w:val="333333"/>
                        </w:rPr>
                        <w:t>Justice in Scotland: Vision and Priorities strategy</w:t>
                      </w:r>
                      <w:r w:rsidRPr="00B34796">
                        <w:rPr>
                          <w:rFonts w:ascii="Times New Roman" w:eastAsia="Century" w:hAnsi="Times New Roman" w:cs="Times New Roman"/>
                          <w:color w:val="333333"/>
                        </w:rPr>
                        <w:t xml:space="preserve"> (2017).</w:t>
                      </w:r>
                    </w:p>
                    <w:p w14:paraId="4C7D1461" w14:textId="4298C819" w:rsidR="00B34796" w:rsidRPr="00B34796" w:rsidRDefault="00B34796">
                      <w:pPr>
                        <w:rPr>
                          <w:rFonts w:ascii="Times New Roman" w:eastAsia="Century" w:hAnsi="Times New Roman" w:cs="Times New Roman"/>
                          <w:color w:val="333333"/>
                        </w:rPr>
                      </w:pPr>
                    </w:p>
                  </w:txbxContent>
                </v:textbox>
                <w10:wrap anchorx="margin"/>
              </v:shape>
            </w:pict>
          </mc:Fallback>
        </mc:AlternateContent>
      </w:r>
      <w:r w:rsidR="00441498" w:rsidRPr="00441498">
        <w:rPr>
          <w:rFonts w:ascii="Times New Roman" w:hAnsi="Times New Roman" w:cs="Times New Roman"/>
          <w:sz w:val="24"/>
          <w:szCs w:val="24"/>
        </w:rPr>
        <w:t xml:space="preserve">The use of </w:t>
      </w:r>
      <w:r w:rsidR="00441498">
        <w:rPr>
          <w:rFonts w:ascii="Times New Roman" w:hAnsi="Times New Roman" w:cs="Times New Roman"/>
          <w:sz w:val="24"/>
          <w:szCs w:val="24"/>
        </w:rPr>
        <w:t xml:space="preserve">this selected data </w:t>
      </w:r>
      <w:r w:rsidR="00441498" w:rsidRPr="00441498">
        <w:rPr>
          <w:rFonts w:ascii="Times New Roman" w:hAnsi="Times New Roman" w:cs="Times New Roman"/>
          <w:sz w:val="24"/>
          <w:szCs w:val="24"/>
        </w:rPr>
        <w:t xml:space="preserve">will allow me to </w:t>
      </w:r>
      <w:r w:rsidR="00441498">
        <w:rPr>
          <w:rFonts w:ascii="Times New Roman" w:hAnsi="Times New Roman" w:cs="Times New Roman"/>
          <w:sz w:val="24"/>
          <w:szCs w:val="24"/>
        </w:rPr>
        <w:t xml:space="preserve">review the current status of various aspects of crime and community experience in the Glasgow City area. Hopefully, </w:t>
      </w:r>
      <w:r w:rsidR="00E05E8C">
        <w:rPr>
          <w:rFonts w:ascii="Times New Roman" w:hAnsi="Times New Roman" w:cs="Times New Roman"/>
          <w:sz w:val="24"/>
          <w:szCs w:val="24"/>
        </w:rPr>
        <w:t>there will be identifiable Data Zones that are experiencing outcomes from the policy initiatives. To better-understand the data relative to the policy and outcomes sought from this project I have utilized the XLRM framework (see below)</w:t>
      </w:r>
    </w:p>
    <w:p w14:paraId="162D4250" w14:textId="77777777" w:rsidR="00B34796" w:rsidRDefault="00B34796" w:rsidP="00B34796">
      <w:pPr>
        <w:spacing w:after="0"/>
        <w:ind w:right="-1229"/>
        <w:rPr>
          <w:noProof/>
        </w:rPr>
      </w:pPr>
    </w:p>
    <w:p w14:paraId="69E15906" w14:textId="77777777" w:rsidR="00441498" w:rsidRDefault="00441498">
      <w:pPr>
        <w:spacing w:after="0"/>
        <w:ind w:left="-1229" w:right="-1229"/>
        <w:rPr>
          <w:noProof/>
        </w:rPr>
      </w:pPr>
    </w:p>
    <w:p w14:paraId="3BA69EE8" w14:textId="3CED973F" w:rsidR="00BF5B05" w:rsidRDefault="00C43E4C">
      <w:pPr>
        <w:spacing w:after="0"/>
        <w:ind w:left="-1229" w:right="-1229"/>
      </w:pPr>
      <w:bookmarkStart w:id="0" w:name="_GoBack"/>
      <w:r>
        <w:rPr>
          <w:noProof/>
        </w:rPr>
        <w:drawing>
          <wp:inline distT="0" distB="0" distL="0" distR="0" wp14:anchorId="01D0122C" wp14:editId="78237D73">
            <wp:extent cx="9841230" cy="35433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55473" cy="3548428"/>
                    </a:xfrm>
                    <a:prstGeom prst="rect">
                      <a:avLst/>
                    </a:prstGeom>
                  </pic:spPr>
                </pic:pic>
              </a:graphicData>
            </a:graphic>
          </wp:inline>
        </w:drawing>
      </w:r>
      <w:bookmarkEnd w:id="0"/>
    </w:p>
    <w:sectPr w:rsidR="00BF5B05">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5ACED" w14:textId="77777777" w:rsidR="0087540C" w:rsidRDefault="0087540C">
      <w:pPr>
        <w:spacing w:after="0" w:line="240" w:lineRule="auto"/>
      </w:pPr>
      <w:r>
        <w:separator/>
      </w:r>
    </w:p>
  </w:endnote>
  <w:endnote w:type="continuationSeparator" w:id="0">
    <w:p w14:paraId="7F7E1F68" w14:textId="77777777" w:rsidR="0087540C" w:rsidRDefault="0087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5F7F" w14:textId="77777777" w:rsidR="0087540C" w:rsidRDefault="0087540C">
      <w:pPr>
        <w:spacing w:after="0" w:line="274" w:lineRule="auto"/>
      </w:pPr>
      <w:r>
        <w:separator/>
      </w:r>
    </w:p>
  </w:footnote>
  <w:footnote w:type="continuationSeparator" w:id="0">
    <w:p w14:paraId="76C4A8CB" w14:textId="77777777" w:rsidR="0087540C" w:rsidRDefault="0087540C">
      <w:pPr>
        <w:spacing w:after="0" w:line="274" w:lineRule="auto"/>
      </w:pPr>
      <w:r>
        <w:continuationSeparator/>
      </w:r>
    </w:p>
  </w:footnote>
  <w:footnote w:id="1">
    <w:p w14:paraId="6954EDE0" w14:textId="77777777" w:rsidR="00BF5B05" w:rsidRDefault="0087540C">
      <w:pPr>
        <w:pStyle w:val="footnotedescription"/>
        <w:spacing w:line="274" w:lineRule="auto"/>
      </w:pPr>
      <w:r>
        <w:rPr>
          <w:rStyle w:val="footnotemark"/>
        </w:rPr>
        <w:footnoteRef/>
      </w:r>
      <w:r>
        <w:t xml:space="preserve"> Justice in Scotland: Vision and Priorities. https://www.gov.scot/publications/justice-scotland-visionpriorities/pages/3/ </w:t>
      </w:r>
    </w:p>
  </w:footnote>
  <w:footnote w:id="2">
    <w:p w14:paraId="7A36A8BC" w14:textId="77777777" w:rsidR="00BF5B05" w:rsidRDefault="0087540C">
      <w:pPr>
        <w:pStyle w:val="footnotedescription"/>
      </w:pPr>
      <w:r>
        <w:rPr>
          <w:rStyle w:val="footnotemark"/>
        </w:rPr>
        <w:footnoteRef/>
      </w:r>
      <w:r>
        <w:t xml:space="preserve"> Police in Scotland recorded a 41% reduction in crime between 2007-8 and 2015-6. </w:t>
      </w:r>
    </w:p>
  </w:footnote>
  <w:footnote w:id="3">
    <w:p w14:paraId="1DF426A4" w14:textId="77777777" w:rsidR="00BF5B05" w:rsidRDefault="0087540C">
      <w:pPr>
        <w:pStyle w:val="footnotedescription"/>
      </w:pPr>
      <w:r>
        <w:rPr>
          <w:rStyle w:val="footnotemark"/>
        </w:rPr>
        <w:footnoteRef/>
      </w:r>
      <w:r>
        <w:t xml:space="preserve"> Justice in Scotland: Vision and Priorities.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43"/>
      <w:gridCol w:w="3143"/>
      <w:gridCol w:w="3141"/>
    </w:tblGrid>
    <w:tr w:rsidR="00B21D38" w14:paraId="695E516B" w14:textId="77777777">
      <w:trPr>
        <w:trHeight w:val="720"/>
      </w:trPr>
      <w:tc>
        <w:tcPr>
          <w:tcW w:w="1667" w:type="pct"/>
        </w:tcPr>
        <w:p w14:paraId="6E7D7182" w14:textId="77777777" w:rsidR="00B21D38" w:rsidRDefault="00B21D38">
          <w:pPr>
            <w:pStyle w:val="Header"/>
            <w:tabs>
              <w:tab w:val="clear" w:pos="4680"/>
              <w:tab w:val="clear" w:pos="9360"/>
            </w:tabs>
            <w:rPr>
              <w:color w:val="4472C4" w:themeColor="accent1"/>
            </w:rPr>
          </w:pPr>
        </w:p>
      </w:tc>
      <w:tc>
        <w:tcPr>
          <w:tcW w:w="1667" w:type="pct"/>
        </w:tcPr>
        <w:p w14:paraId="5D7882BC" w14:textId="77777777" w:rsidR="00B21D38" w:rsidRDefault="00B21D38">
          <w:pPr>
            <w:pStyle w:val="Header"/>
            <w:tabs>
              <w:tab w:val="clear" w:pos="4680"/>
              <w:tab w:val="clear" w:pos="9360"/>
            </w:tabs>
            <w:jc w:val="center"/>
            <w:rPr>
              <w:color w:val="4472C4" w:themeColor="accent1"/>
            </w:rPr>
          </w:pPr>
        </w:p>
      </w:tc>
      <w:tc>
        <w:tcPr>
          <w:tcW w:w="1666" w:type="pct"/>
        </w:tcPr>
        <w:p w14:paraId="733C3F89" w14:textId="56A063CF" w:rsidR="00B21D38" w:rsidRDefault="00B21D38">
          <w:pPr>
            <w:pStyle w:val="Header"/>
            <w:tabs>
              <w:tab w:val="clear" w:pos="4680"/>
              <w:tab w:val="clear" w:pos="9360"/>
            </w:tabs>
            <w:jc w:val="right"/>
            <w:rPr>
              <w:color w:val="4472C4" w:themeColor="accent1"/>
            </w:rPr>
          </w:pPr>
          <w:r>
            <w:rPr>
              <w:color w:val="4472C4" w:themeColor="accent1"/>
              <w:sz w:val="24"/>
              <w:szCs w:val="24"/>
            </w:rPr>
            <w:t xml:space="preserve">Johnson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9BF120D" w14:textId="77777777" w:rsidR="00B21D38" w:rsidRDefault="00B21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10186"/>
    <w:multiLevelType w:val="hybridMultilevel"/>
    <w:tmpl w:val="65E21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44D58"/>
    <w:multiLevelType w:val="hybridMultilevel"/>
    <w:tmpl w:val="C780FCFA"/>
    <w:lvl w:ilvl="0" w:tplc="04090003">
      <w:start w:val="1"/>
      <w:numFmt w:val="bullet"/>
      <w:lvlText w:val="o"/>
      <w:lvlJc w:val="left"/>
      <w:pPr>
        <w:ind w:left="705"/>
      </w:pPr>
      <w:rPr>
        <w:rFonts w:ascii="Courier New" w:hAnsi="Courier New" w:cs="Courier New" w:hint="default"/>
        <w:b w:val="0"/>
        <w:i w:val="0"/>
        <w:strike w:val="0"/>
        <w:dstrike w:val="0"/>
        <w:color w:val="333333"/>
        <w:sz w:val="24"/>
        <w:szCs w:val="24"/>
        <w:u w:val="none" w:color="000000"/>
        <w:bdr w:val="none" w:sz="0" w:space="0" w:color="auto"/>
        <w:shd w:val="clear" w:color="auto" w:fill="auto"/>
        <w:vertAlign w:val="baseline"/>
      </w:rPr>
    </w:lvl>
    <w:lvl w:ilvl="1" w:tplc="494ECC8E">
      <w:start w:val="1"/>
      <w:numFmt w:val="lowerLetter"/>
      <w:lvlText w:val="%2"/>
      <w:lvlJc w:val="left"/>
      <w:pPr>
        <w:ind w:left="144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2" w:tplc="F022D090">
      <w:start w:val="1"/>
      <w:numFmt w:val="lowerRoman"/>
      <w:lvlText w:val="%3"/>
      <w:lvlJc w:val="left"/>
      <w:pPr>
        <w:ind w:left="216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3" w:tplc="CDAE0068">
      <w:start w:val="1"/>
      <w:numFmt w:val="decimal"/>
      <w:lvlText w:val="%4"/>
      <w:lvlJc w:val="left"/>
      <w:pPr>
        <w:ind w:left="288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4" w:tplc="E91C9CB2">
      <w:start w:val="1"/>
      <w:numFmt w:val="lowerLetter"/>
      <w:lvlText w:val="%5"/>
      <w:lvlJc w:val="left"/>
      <w:pPr>
        <w:ind w:left="360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5" w:tplc="C38A30FA">
      <w:start w:val="1"/>
      <w:numFmt w:val="lowerRoman"/>
      <w:lvlText w:val="%6"/>
      <w:lvlJc w:val="left"/>
      <w:pPr>
        <w:ind w:left="432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6" w:tplc="5F56FDA4">
      <w:start w:val="1"/>
      <w:numFmt w:val="decimal"/>
      <w:lvlText w:val="%7"/>
      <w:lvlJc w:val="left"/>
      <w:pPr>
        <w:ind w:left="504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7" w:tplc="24D2057A">
      <w:start w:val="1"/>
      <w:numFmt w:val="lowerLetter"/>
      <w:lvlText w:val="%8"/>
      <w:lvlJc w:val="left"/>
      <w:pPr>
        <w:ind w:left="576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8" w:tplc="8DBE3BAC">
      <w:start w:val="1"/>
      <w:numFmt w:val="lowerRoman"/>
      <w:lvlText w:val="%9"/>
      <w:lvlJc w:val="left"/>
      <w:pPr>
        <w:ind w:left="648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69E30765"/>
    <w:multiLevelType w:val="hybridMultilevel"/>
    <w:tmpl w:val="9C20EF84"/>
    <w:lvl w:ilvl="0" w:tplc="2D48A0B8">
      <w:start w:val="1"/>
      <w:numFmt w:val="decimal"/>
      <w:lvlText w:val="%1."/>
      <w:lvlJc w:val="left"/>
      <w:pPr>
        <w:ind w:left="705"/>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1" w:tplc="494ECC8E">
      <w:start w:val="1"/>
      <w:numFmt w:val="lowerLetter"/>
      <w:lvlText w:val="%2"/>
      <w:lvlJc w:val="left"/>
      <w:pPr>
        <w:ind w:left="144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2" w:tplc="F022D090">
      <w:start w:val="1"/>
      <w:numFmt w:val="lowerRoman"/>
      <w:lvlText w:val="%3"/>
      <w:lvlJc w:val="left"/>
      <w:pPr>
        <w:ind w:left="216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3" w:tplc="CDAE0068">
      <w:start w:val="1"/>
      <w:numFmt w:val="decimal"/>
      <w:lvlText w:val="%4"/>
      <w:lvlJc w:val="left"/>
      <w:pPr>
        <w:ind w:left="288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4" w:tplc="E91C9CB2">
      <w:start w:val="1"/>
      <w:numFmt w:val="lowerLetter"/>
      <w:lvlText w:val="%5"/>
      <w:lvlJc w:val="left"/>
      <w:pPr>
        <w:ind w:left="360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5" w:tplc="C38A30FA">
      <w:start w:val="1"/>
      <w:numFmt w:val="lowerRoman"/>
      <w:lvlText w:val="%6"/>
      <w:lvlJc w:val="left"/>
      <w:pPr>
        <w:ind w:left="432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6" w:tplc="5F56FDA4">
      <w:start w:val="1"/>
      <w:numFmt w:val="decimal"/>
      <w:lvlText w:val="%7"/>
      <w:lvlJc w:val="left"/>
      <w:pPr>
        <w:ind w:left="504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7" w:tplc="24D2057A">
      <w:start w:val="1"/>
      <w:numFmt w:val="lowerLetter"/>
      <w:lvlText w:val="%8"/>
      <w:lvlJc w:val="left"/>
      <w:pPr>
        <w:ind w:left="576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lvl w:ilvl="8" w:tplc="8DBE3BAC">
      <w:start w:val="1"/>
      <w:numFmt w:val="lowerRoman"/>
      <w:lvlText w:val="%9"/>
      <w:lvlJc w:val="left"/>
      <w:pPr>
        <w:ind w:left="6480"/>
      </w:pPr>
      <w:rPr>
        <w:rFonts w:ascii="Century" w:eastAsia="Century" w:hAnsi="Century" w:cs="Century"/>
        <w:b w:val="0"/>
        <w:i w:val="0"/>
        <w:strike w:val="0"/>
        <w:dstrike w:val="0"/>
        <w:color w:val="333333"/>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05"/>
    <w:rsid w:val="002C3E49"/>
    <w:rsid w:val="00363DBC"/>
    <w:rsid w:val="00441498"/>
    <w:rsid w:val="0087540C"/>
    <w:rsid w:val="00B21D38"/>
    <w:rsid w:val="00B34796"/>
    <w:rsid w:val="00BF5B05"/>
    <w:rsid w:val="00C43E4C"/>
    <w:rsid w:val="00D2337F"/>
    <w:rsid w:val="00D70CC2"/>
    <w:rsid w:val="00E0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205E"/>
  <w15:docId w15:val="{D3793350-B158-4801-8EFE-8819A000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paragraph" w:styleId="ListParagraph">
    <w:name w:val="List Paragraph"/>
    <w:basedOn w:val="Normal"/>
    <w:uiPriority w:val="34"/>
    <w:qFormat/>
    <w:rsid w:val="00B21D38"/>
    <w:pPr>
      <w:ind w:left="720"/>
      <w:contextualSpacing/>
    </w:pPr>
  </w:style>
  <w:style w:type="paragraph" w:styleId="Header">
    <w:name w:val="header"/>
    <w:basedOn w:val="Normal"/>
    <w:link w:val="HeaderChar"/>
    <w:uiPriority w:val="99"/>
    <w:unhideWhenUsed/>
    <w:rsid w:val="00B21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D38"/>
    <w:rPr>
      <w:rFonts w:ascii="Calibri" w:eastAsia="Calibri" w:hAnsi="Calibri" w:cs="Calibri"/>
      <w:color w:val="000000"/>
    </w:rPr>
  </w:style>
  <w:style w:type="paragraph" w:styleId="Footer">
    <w:name w:val="footer"/>
    <w:basedOn w:val="Normal"/>
    <w:link w:val="FooterChar"/>
    <w:uiPriority w:val="99"/>
    <w:unhideWhenUsed/>
    <w:rsid w:val="00B21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D38"/>
    <w:rPr>
      <w:rFonts w:ascii="Calibri" w:eastAsia="Calibri" w:hAnsi="Calibri" w:cs="Calibri"/>
      <w:color w:val="000000"/>
    </w:rPr>
  </w:style>
  <w:style w:type="character" w:styleId="Hyperlink">
    <w:name w:val="Hyperlink"/>
    <w:basedOn w:val="DefaultParagraphFont"/>
    <w:uiPriority w:val="99"/>
    <w:unhideWhenUsed/>
    <w:rsid w:val="00B21D38"/>
    <w:rPr>
      <w:color w:val="0563C1" w:themeColor="hyperlink"/>
      <w:u w:val="single"/>
    </w:rPr>
  </w:style>
  <w:style w:type="character" w:styleId="UnresolvedMention">
    <w:name w:val="Unresolved Mention"/>
    <w:basedOn w:val="DefaultParagraphFont"/>
    <w:uiPriority w:val="99"/>
    <w:semiHidden/>
    <w:unhideWhenUsed/>
    <w:rsid w:val="00B21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tistics.gov.scot/resource?uri=http%3A%2F%2Fstatistics.gov.scot%2Fdata%2Fscottish-index-of-multiple-deprivation---geographic-access-to-services-indicator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Doc10</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Doc10</dc:title>
  <dc:subject/>
  <dc:creator>anika</dc:creator>
  <cp:keywords/>
  <cp:lastModifiedBy>Johnson Family</cp:lastModifiedBy>
  <cp:revision>7</cp:revision>
  <dcterms:created xsi:type="dcterms:W3CDTF">2020-04-19T14:36:00Z</dcterms:created>
  <dcterms:modified xsi:type="dcterms:W3CDTF">2020-04-19T15:19:00Z</dcterms:modified>
</cp:coreProperties>
</file>