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440" w:before="0" w:after="120"/>
        <w:jc w:val="center"/>
      </w:pPr>
    </w:p>
    <w:p>
      <w:pPr>
        <w:spacing w:lineRule="exact" w:line="440" w:before="0" w:after="120"/>
        <w:jc w:val="center"/>
      </w:pPr>
      <w:r>
        <w:rPr>
          <w:rFonts w:ascii="Times New Roman" w:hAnsi="Times New Roman" w:eastAsia="宋体" w:cs="Times New Roman"/>
          <w:sz w:val="44"/>
        </w:rPr>
        <w:t>船舶工程学院</w:t>
      </w:r>
    </w:p>
    <w:p>
      <w:pPr>
        <w:spacing w:lineRule="exact" w:line="440" w:before="0" w:after="120"/>
        <w:jc w:val="center"/>
      </w:pPr>
    </w:p>
    <w:p>
      <w:pPr>
        <w:spacing w:lineRule="exact" w:line="440" w:before="0" w:after="120"/>
        <w:jc w:val="center"/>
      </w:pPr>
    </w:p>
    <w:p>
      <w:pPr>
        <w:spacing w:lineRule="exact" w:line="440" w:before="0" w:after="120"/>
        <w:jc w:val="center"/>
      </w:pPr>
    </w:p>
    <w:p>
      <w:pPr>
        <w:spacing w:lineRule="exact" w:line="520" w:before="0" w:after="120"/>
        <w:jc w:val="center"/>
      </w:pPr>
      <w:r>
        <w:rPr>
          <w:rFonts w:ascii="黑体" w:hAnsi="黑体" w:eastAsia="黑体" w:cs="黑体"/>
          <w:sz w:val="48"/>
        </w:rPr>
        <w:t>船海智能仿真与数字孪生</w:t>
      </w:r>
    </w:p>
    <w:p>
      <w:pPr>
        <w:spacing w:lineRule="exact" w:line="440" w:before="0" w:after="120"/>
        <w:jc w:val="center"/>
      </w:pPr>
      <w:r>
        <w:rPr>
          <w:rFonts w:ascii="黑体" w:hAnsi="黑体" w:eastAsia="黑体" w:cs="黑体"/>
          <w:sz w:val="30"/>
        </w:rPr>
        <w:t>（大作业）</w:t>
      </w:r>
    </w:p>
    <w:p>
      <w:pPr>
        <w:spacing w:lineRule="exact" w:line="440" w:before="0" w:after="120"/>
      </w:pPr>
    </w:p>
    <w:p>
      <w:pPr>
        <w:spacing w:lineRule="exact" w:line="440" w:before="0" w:after="120"/>
      </w:pPr>
    </w:p>
    <w:p>
      <w:pPr>
        <w:spacing w:lineRule="exact" w:line="440" w:before="156" w:after="0"/>
        <w:ind w:firstLine="2642"/>
      </w:pPr>
      <w:r>
        <w:rPr>
          <w:rFonts w:ascii="Times New Roman" w:hAnsi="Times New Roman" w:eastAsia="宋体" w:cs="Times New Roman"/>
          <w:sz w:val="28"/>
        </w:rPr>
        <w:t>学    号：2024065420</w:t>
      </w:r>
    </w:p>
    <w:p>
      <w:pPr>
        <w:spacing w:lineRule="exact" w:line="440" w:before="156" w:after="0"/>
        <w:ind w:firstLine="2642"/>
      </w:pPr>
      <w:r>
        <w:rPr>
          <w:rFonts w:ascii="Times New Roman" w:hAnsi="Times New Roman" w:eastAsia="宋体" w:cs="Times New Roman"/>
          <w:sz w:val="28"/>
        </w:rPr>
        <w:t>专    业：计算机科学与技术</w:t>
      </w:r>
    </w:p>
    <w:p>
      <w:pPr>
        <w:spacing w:lineRule="exact" w:line="440" w:before="156" w:after="0"/>
        <w:ind w:firstLine="2642"/>
      </w:pPr>
      <w:r>
        <w:rPr>
          <w:rFonts w:ascii="Times New Roman" w:hAnsi="Times New Roman" w:eastAsia="宋体" w:cs="Times New Roman"/>
          <w:sz w:val="28"/>
        </w:rPr>
        <w:t>学生姓名：晁政</w:t>
      </w:r>
    </w:p>
    <w:p>
      <w:pPr>
        <w:spacing w:lineRule="exact" w:line="440" w:before="156" w:after="0"/>
        <w:ind w:firstLine="2642"/>
      </w:pPr>
      <w:r>
        <w:rPr>
          <w:rFonts w:ascii="Times New Roman" w:hAnsi="Times New Roman" w:eastAsia="宋体" w:cs="Times New Roman"/>
          <w:sz w:val="28"/>
        </w:rPr>
        <w:t>任课教师：昝英飞  刘旸   李新飞</w:t>
      </w:r>
    </w:p>
    <w:p>
      <w:pPr>
        <w:spacing w:lineRule="exact" w:line="440" w:before="0" w:after="120"/>
      </w:pPr>
    </w:p>
    <w:p>
      <w:pPr>
        <w:spacing w:lineRule="exact" w:line="440" w:before="156" w:after="0"/>
      </w:pPr>
      <w:r>
        <w:rPr>
          <w:rFonts w:ascii="Times New Roman" w:hAnsi="Times New Roman" w:eastAsia="宋体" w:cs="Times New Roman"/>
          <w:sz w:val="28"/>
        </w:rPr>
        <w:t>教师评价：</w:t>
      </w:r>
    </w:p>
    <w:tbl>
      <w:tblPr>
        <w:tblW w:type="dxa" w:w="8046"/>
        <w:jc w:val="left"/>
        <w:tblLayout w:type="fixed"/>
        <w:tblLook w:firstColumn="1" w:firstRow="1" w:lastColumn="0" w:lastRow="0" w:noHBand="0" w:noVBand="1" w:val="04A0"/>
        <w:tblInd w:w="300" w:type="dxa"/>
        <w:tblLayout w:type="fixed"/>
      </w:tblPr>
      <w:tblGrid>
        <w:gridCol w:w="2700"/>
        <w:gridCol w:w="5346"/>
      </w:tblGrid>
      <w:tr>
        <w:trPr>
          <w:trHeight w:val="440" w:hRule="exact"/>
        </w:trPr>
        <w:tc>
          <w:tcPr>
            <w:tcW w:type="dxa" w:w="2700"/>
          </w:tcPr>
          <w:p>
            <w:pPr>
              <w:spacing w:lineRule="exact" w:line="440" w:before="0" w:after="0"/>
              <w:jc w:val="left"/>
            </w:pPr>
            <w:r>
              <w:rPr>
                <w:rFonts w:ascii="Times New Roman" w:hAnsi="Times New Roman" w:eastAsia="宋体" w:cs="Times New Roman"/>
                <w:sz w:val="24"/>
              </w:rPr>
              <w:t>选题符合作业要求：</w:t>
            </w:r>
          </w:p>
        </w:tc>
        <w:tc>
          <w:tcPr>
            <w:tcW w:type="dxa" w:w="5346"/>
          </w:tcPr>
          <w:p>
            <w:pPr>
              <w:spacing w:lineRule="exact" w:line="440" w:before="0" w:after="0"/>
              <w:jc w:val="left"/>
            </w:pPr>
            <w:r>
              <w:rPr>
                <w:rFonts w:ascii="Times New Roman" w:hAnsi="Times New Roman" w:eastAsia="宋体" w:cs="Times New Roman"/>
                <w:sz w:val="24"/>
              </w:rPr>
              <w:t>优秀□   良好□   中等□   及格□   不及格□</w:t>
            </w:r>
          </w:p>
        </w:tc>
      </w:tr>
      <w:tr>
        <w:trPr>
          <w:trHeight w:val="440" w:hRule="exact"/>
        </w:trPr>
        <w:tc>
          <w:tcPr>
            <w:tcW w:type="dxa" w:w="2700"/>
          </w:tcPr>
          <w:p>
            <w:pPr>
              <w:spacing w:lineRule="exact" w:line="440" w:before="0" w:after="0"/>
              <w:jc w:val="left"/>
            </w:pPr>
            <w:r>
              <w:rPr>
                <w:rFonts w:ascii="Times New Roman" w:hAnsi="Times New Roman" w:eastAsia="宋体" w:cs="Times New Roman"/>
                <w:sz w:val="24"/>
              </w:rPr>
              <w:t>学术价值/现实意义：</w:t>
            </w:r>
          </w:p>
        </w:tc>
        <w:tc>
          <w:tcPr>
            <w:tcW w:type="dxa" w:w="5346"/>
          </w:tcPr>
          <w:p>
            <w:pPr>
              <w:spacing w:lineRule="exact" w:line="440" w:before="0" w:after="0"/>
              <w:jc w:val="left"/>
            </w:pPr>
            <w:r>
              <w:rPr>
                <w:rFonts w:ascii="Times New Roman" w:hAnsi="Times New Roman" w:eastAsia="宋体" w:cs="Times New Roman"/>
                <w:sz w:val="24"/>
              </w:rPr>
              <w:t>优秀□   良好□   中等□   及格□   不及格□</w:t>
            </w:r>
          </w:p>
        </w:tc>
      </w:tr>
      <w:tr>
        <w:trPr>
          <w:trHeight w:val="440" w:hRule="exact"/>
        </w:trPr>
        <w:tc>
          <w:tcPr>
            <w:tcW w:type="dxa" w:w="2700"/>
          </w:tcPr>
          <w:p>
            <w:pPr>
              <w:spacing w:lineRule="exact" w:line="440" w:before="0" w:after="0"/>
              <w:jc w:val="left"/>
            </w:pPr>
            <w:r>
              <w:rPr>
                <w:rFonts w:ascii="Times New Roman" w:hAnsi="Times New Roman" w:eastAsia="宋体" w:cs="Times New Roman"/>
                <w:sz w:val="24"/>
              </w:rPr>
              <w:t>观点鲜明/论证充分：</w:t>
            </w:r>
          </w:p>
        </w:tc>
        <w:tc>
          <w:tcPr>
            <w:tcW w:type="dxa" w:w="5346"/>
          </w:tcPr>
          <w:p>
            <w:pPr>
              <w:spacing w:lineRule="exact" w:line="440" w:before="0" w:after="0"/>
              <w:jc w:val="left"/>
            </w:pPr>
            <w:r>
              <w:rPr>
                <w:rFonts w:ascii="Times New Roman" w:hAnsi="Times New Roman" w:eastAsia="宋体" w:cs="Times New Roman"/>
                <w:sz w:val="24"/>
              </w:rPr>
              <w:t>优秀□   良好□   中等□   及格□   不及格□</w:t>
            </w:r>
          </w:p>
        </w:tc>
      </w:tr>
      <w:tr>
        <w:trPr>
          <w:trHeight w:val="440" w:hRule="exact"/>
        </w:trPr>
        <w:tc>
          <w:tcPr>
            <w:tcW w:type="dxa" w:w="2700"/>
          </w:tcPr>
          <w:p>
            <w:pPr>
              <w:spacing w:lineRule="exact" w:line="440" w:before="0" w:after="0"/>
              <w:jc w:val="left"/>
            </w:pPr>
            <w:r>
              <w:rPr>
                <w:rFonts w:ascii="Times New Roman" w:hAnsi="Times New Roman" w:eastAsia="宋体" w:cs="Times New Roman"/>
                <w:sz w:val="24"/>
              </w:rPr>
              <w:t>结构合理/重点突出：</w:t>
            </w:r>
          </w:p>
        </w:tc>
        <w:tc>
          <w:tcPr>
            <w:tcW w:type="dxa" w:w="5346"/>
          </w:tcPr>
          <w:p>
            <w:pPr>
              <w:spacing w:lineRule="exact" w:line="440" w:before="0" w:after="0"/>
              <w:jc w:val="left"/>
            </w:pPr>
            <w:r>
              <w:rPr>
                <w:rFonts w:ascii="Times New Roman" w:hAnsi="Times New Roman" w:eastAsia="宋体" w:cs="Times New Roman"/>
                <w:sz w:val="24"/>
              </w:rPr>
              <w:t>优秀□   良好□   中等□   及格□   不及格□</w:t>
            </w:r>
          </w:p>
        </w:tc>
      </w:tr>
      <w:tr>
        <w:trPr>
          <w:trHeight w:val="440" w:hRule="exact"/>
        </w:trPr>
        <w:tc>
          <w:tcPr>
            <w:tcW w:type="dxa" w:w="2700"/>
          </w:tcPr>
          <w:p>
            <w:pPr>
              <w:spacing w:lineRule="exact" w:line="440" w:before="0" w:after="0"/>
              <w:jc w:val="left"/>
            </w:pPr>
            <w:r>
              <w:rPr>
                <w:rFonts w:ascii="Times New Roman" w:hAnsi="Times New Roman" w:eastAsia="宋体" w:cs="Times New Roman"/>
                <w:sz w:val="24"/>
              </w:rPr>
              <w:t>理论与实际相结合：</w:t>
            </w:r>
          </w:p>
        </w:tc>
        <w:tc>
          <w:tcPr>
            <w:tcW w:type="dxa" w:w="5346"/>
          </w:tcPr>
          <w:p>
            <w:pPr>
              <w:spacing w:lineRule="exact" w:line="440" w:before="0" w:after="0"/>
              <w:jc w:val="left"/>
            </w:pPr>
            <w:r>
              <w:rPr>
                <w:rFonts w:ascii="Times New Roman" w:hAnsi="Times New Roman" w:eastAsia="宋体" w:cs="Times New Roman"/>
                <w:sz w:val="24"/>
              </w:rPr>
              <w:t>优秀□   良好□   中等□   及格□   不及格□</w:t>
            </w:r>
          </w:p>
        </w:tc>
      </w:tr>
      <w:tr>
        <w:trPr>
          <w:trHeight w:val="440" w:hRule="exact"/>
        </w:trPr>
        <w:tc>
          <w:tcPr>
            <w:tcW w:type="dxa" w:w="2700"/>
          </w:tcPr>
          <w:p>
            <w:pPr>
              <w:spacing w:lineRule="exact" w:line="440" w:before="0" w:after="0"/>
              <w:jc w:val="left"/>
            </w:pPr>
            <w:r>
              <w:rPr>
                <w:rFonts w:ascii="Times New Roman" w:hAnsi="Times New Roman" w:eastAsia="宋体" w:cs="Times New Roman"/>
                <w:sz w:val="24"/>
              </w:rPr>
              <w:t>文献资料的丰富性：</w:t>
            </w:r>
          </w:p>
        </w:tc>
        <w:tc>
          <w:tcPr>
            <w:tcW w:type="dxa" w:w="5346"/>
          </w:tcPr>
          <w:p>
            <w:pPr>
              <w:spacing w:lineRule="exact" w:line="440" w:before="0" w:after="0"/>
              <w:jc w:val="left"/>
            </w:pPr>
            <w:r>
              <w:rPr>
                <w:rFonts w:ascii="Times New Roman" w:hAnsi="Times New Roman" w:eastAsia="宋体" w:cs="Times New Roman"/>
                <w:sz w:val="24"/>
              </w:rPr>
              <w:t>优秀□   良好□   中等□   及格□   不及格□</w:t>
            </w:r>
          </w:p>
        </w:tc>
      </w:tr>
      <w:tr>
        <w:trPr>
          <w:trHeight w:val="440" w:hRule="exact"/>
        </w:trPr>
        <w:tc>
          <w:tcPr>
            <w:tcW w:type="dxa" w:w="2700"/>
          </w:tcPr>
          <w:p>
            <w:pPr>
              <w:spacing w:lineRule="exact" w:line="440" w:before="0" w:after="0"/>
              <w:jc w:val="left"/>
            </w:pPr>
            <w:r>
              <w:rPr>
                <w:rFonts w:ascii="Times New Roman" w:hAnsi="Times New Roman" w:eastAsia="宋体" w:cs="Times New Roman"/>
                <w:sz w:val="24"/>
              </w:rPr>
              <w:t>论文格式的规范性：</w:t>
            </w:r>
          </w:p>
        </w:tc>
        <w:tc>
          <w:tcPr>
            <w:tcW w:type="dxa" w:w="5346"/>
          </w:tcPr>
          <w:p>
            <w:pPr>
              <w:spacing w:lineRule="exact" w:line="440" w:before="0" w:after="0"/>
              <w:jc w:val="left"/>
            </w:pPr>
            <w:r>
              <w:rPr>
                <w:rFonts w:ascii="Times New Roman" w:hAnsi="Times New Roman" w:eastAsia="宋体" w:cs="Times New Roman"/>
                <w:sz w:val="24"/>
              </w:rPr>
              <w:t>优秀□   良好□   中等□   及格□   不及格□</w:t>
            </w:r>
          </w:p>
        </w:tc>
      </w:tr>
    </w:tbl>
    <w:p>
      <w:pPr>
        <w:spacing w:lineRule="exact" w:line="440" w:before="156" w:after="0"/>
        <w:ind w:firstLine="240"/>
      </w:pPr>
      <w:r>
        <w:rPr>
          <w:rFonts w:ascii="Times New Roman" w:hAnsi="Times New Roman" w:eastAsia="宋体" w:cs="Times New Roman"/>
          <w:sz w:val="24"/>
        </w:rPr>
        <w:t xml:space="preserve">其他：　　　　　　　　　　　　　　　　　　　　</w:t>
      </w:r>
    </w:p>
    <w:p>
      <w:pPr>
        <w:spacing w:lineRule="exact" w:line="440" w:before="0" w:after="0"/>
      </w:pPr>
    </w:p>
    <w:p>
      <w:pPr>
        <w:spacing w:lineRule="exact" w:line="440" w:before="0" w:after="0"/>
      </w:pPr>
      <w:r>
        <w:rPr>
          <w:rFonts w:ascii="Times New Roman" w:hAnsi="Times New Roman" w:eastAsia="宋体" w:cs="Times New Roman"/>
          <w:sz w:val="28"/>
        </w:rPr>
        <w:t>综合成绩：</w:t>
      </w:r>
    </w:p>
    <w:p>
      <w:pPr>
        <w:spacing w:lineRule="exact" w:line="440" w:before="0" w:after="0"/>
      </w:pPr>
    </w:p>
    <w:p>
      <w:pPr>
        <w:spacing w:lineRule="exact" w:line="520" w:before="0" w:after="0"/>
        <w:jc w:val="center"/>
      </w:pPr>
      <w:r>
        <w:rPr>
          <w:rFonts w:ascii="Times New Roman" w:hAnsi="Times New Roman" w:eastAsia="宋体" w:cs="Times New Roman"/>
          <w:sz w:val="36"/>
        </w:rPr>
        <w:t>2026年10月</w:t>
      </w:r>
    </w:p>
    <w:p>
      <w:pPr>
        <w:pageBreakBefore/>
        <w:spacing w:lineRule="exact" w:line="440" w:before="0" w:after="0"/>
        <w:jc w:val="center"/>
      </w:pPr>
      <w:r>
        <w:rPr>
          <w:rFonts w:ascii="黑体" w:hAnsi="黑体" w:eastAsia="黑体" w:cs="黑体"/>
          <w:sz w:val="36"/>
        </w:rPr>
        <w:t>面向船舶装备全生命周期的智能仿真与数字孪生技术研究——以大型邮轮和大型LNG运输船为例</w:t>
      </w:r>
    </w:p>
    <w:p>
      <w:pPr>
        <w:spacing w:lineRule="exact" w:line="440" w:before="0" w:after="0"/>
      </w:pPr>
    </w:p>
    <w:p>
      <w:pPr>
        <w:spacing w:lineRule="exact" w:line="440" w:before="0" w:after="0"/>
        <w:ind w:left="840" w:hanging="840"/>
      </w:pPr>
      <w:r>
        <w:rPr>
          <w:rFonts w:ascii="黑体" w:hAnsi="黑体" w:eastAsia="黑体" w:cs="黑体"/>
          <w:sz w:val="21"/>
        </w:rPr>
        <w:t>摘  要：</w:t>
      </w:r>
      <w:r>
        <w:rPr>
          <w:rFonts w:ascii="Times New Roman" w:hAnsi="Times New Roman" w:eastAsia="宋体" w:cs="Times New Roman"/>
          <w:sz w:val="21"/>
        </w:rPr>
        <w:t>智能仿真与数字孪生是船舶与海洋工程装备数字化转型的核心使能技术。本文以大型邮轮和大型液化天然气运输船两类高技术、高附加值船舶装备为对象，从计算机科学"数据—模型—算法—平台"的视角切入，系统梳理了船舶装备的技术特征及其在设计、建造、运营各阶段对智能仿真与数字孪生的差异化需求，剖析了机理模型与数据驱动模型融合的内在机理；结合2024—2026年国内最新工程实践，从国产计算机辅助工程一体化平台"浪花"、船海行业大模型"文鳐"与"百舸"、二十七万立方米级液化天然气运输船数字样船、船厂级数字孪生管控平台以及数字化交付规范五个维度，论述了技术应用现状与量化成效；进而指出当前在数据贯通、模型保真度与实时性平衡、大模型可信性、工业软件自主可控四个层面存在的瓶颈；最后面向未来三到五年，提出高保真仿真轻量化、孪生体标准化贯通、大模型由知识问答走向规划引擎、虚实闭环由"可视"走向"可控"等发展方向，并结合海洋强国战略提出若干建议。</w:t>
      </w:r>
    </w:p>
    <w:p>
      <w:pPr>
        <w:spacing w:lineRule="exact" w:line="440" w:before="0" w:after="0"/>
        <w:ind w:left="840" w:hanging="840"/>
      </w:pPr>
      <w:r>
        <w:rPr>
          <w:rFonts w:ascii="黑体" w:hAnsi="黑体" w:eastAsia="黑体" w:cs="黑体"/>
          <w:sz w:val="21"/>
        </w:rPr>
        <w:t>关键词：</w:t>
      </w:r>
      <w:r>
        <w:rPr>
          <w:rFonts w:ascii="Times New Roman" w:hAnsi="Times New Roman" w:eastAsia="宋体" w:cs="Times New Roman"/>
          <w:sz w:val="21"/>
        </w:rPr>
        <w:t>数字孪生  智能仿真  人工智能大模型  船舶装备  大型邮轮  全生命周期</w:t>
      </w:r>
    </w:p>
    <w:p>
      <w:pPr>
        <w:spacing w:lineRule="exact" w:line="440" w:before="0" w:after="0"/>
      </w:pPr>
    </w:p>
    <w:p>
      <w:pPr>
        <w:spacing w:lineRule="exact" w:line="440" w:before="160" w:after="0"/>
      </w:pPr>
      <w:r>
        <w:rPr>
          <w:rFonts w:ascii="黑体" w:hAnsi="黑体" w:eastAsia="黑体" w:cs="黑体"/>
          <w:sz w:val="24"/>
        </w:rPr>
        <w:t>1 引言</w:t>
      </w:r>
    </w:p>
    <w:p>
      <w:pPr>
        <w:spacing w:lineRule="exact" w:line="440" w:before="0" w:after="0"/>
        <w:ind w:firstLineChars="200"/>
      </w:pPr>
      <w:r>
        <w:rPr>
          <w:rFonts w:ascii="Times New Roman" w:hAnsi="Times New Roman" w:eastAsia="宋体" w:cs="Times New Roman"/>
          <w:sz w:val="24"/>
        </w:rPr>
        <w:t>建设海洋强国是我国的重大战略部署，船舶与海洋工程装备既是经略海洋的物质基础，也是衡量国家高端制造能力的重要标尺。近年来我国造船业保持强劲增长态势：据工业和信息化部及中国船舶工业行业协会发布的数据，2025年我国造船完工量、新承接订单量和手持订单量分别占世界总量的56.1%、69.0%和66.8%，国际市场份额连续十六年位居全球第一；2026年上半年造船完工量同比增长51.2%，新承接订单量同比增长173.1%，一举超过历史全年订单峰值。然而，规模领先并不等同于能力领先。吴有生等在对我国船舶与海洋工程装备发展现状的战略研判中指出，行业正朝着以数字化技术为基础、智能化设计为核心的研发模式转型，亟需突破船岸一体化、数字孪生和大模型应用等关键技术[1]。蔡鹏等则进一步指出，工业软件是船舶数字化和智能化建设的关键，而国产软件普遍存在功能单一、仿真能力缺乏、可靠性不足等问题[2]。</w:t>
      </w:r>
    </w:p>
    <w:p>
      <w:pPr>
        <w:spacing w:lineRule="exact" w:line="440" w:before="0" w:after="0"/>
        <w:ind w:firstLineChars="200"/>
      </w:pPr>
      <w:r>
        <w:rPr>
          <w:rFonts w:ascii="Times New Roman" w:hAnsi="Times New Roman" w:eastAsia="宋体" w:cs="Times New Roman"/>
          <w:sz w:val="24"/>
        </w:rPr>
        <w:t>与此同时，以生成式人工智能和行业大模型为代表的新一代信息技术正加速向工业领域渗透。国务院2025年8月印发的《关于深入实施"人工智能+"行动的意见》明确要求加快人工智能在设计、中试、生产、服务、运营全环节落地应用[3]；工业和信息化部等八部门2025年12月印发的《"人工智能+制造"专项行动实施意见》更是设专条部署船舶行业人工智能应用，提出构建船舶行业大模型、探索研发设计新模式[4]。在这一背景下，智能仿真与数字孪生成为连接物理装备与数字空间的关键纽带。</w:t>
      </w:r>
    </w:p>
    <w:p>
      <w:pPr>
        <w:spacing w:lineRule="exact" w:line="440" w:before="0" w:after="0"/>
        <w:ind w:firstLineChars="200"/>
      </w:pPr>
      <w:r>
        <w:rPr>
          <w:rFonts w:ascii="Times New Roman" w:hAnsi="Times New Roman" w:eastAsia="宋体" w:cs="Times New Roman"/>
          <w:sz w:val="24"/>
        </w:rPr>
        <w:t>笔者所学专业为计算机科学与技术，因此更倾向于从"数据—模型—算法—平台"的层次结构理解船海装备的数字孪生：它本质上是以物理装备为映射对象、以多源异构数据为纽带、以机理仿真模型与人工智能算法为内核、以软件平台为承载的信息物理融合系统。本文选取大型邮轮与大型液化天然气（LNG）运输船这两类我国近年实现突破的高技术船舶装备作为论述对象，依次讨论其技术特征与孪生需求、2024—2026年的应用现状、现存瓶颈以及未来三到五年的发展方向。</w:t>
      </w:r>
    </w:p>
    <w:p>
      <w:pPr>
        <w:spacing w:lineRule="exact" w:line="440" w:before="160" w:after="0"/>
      </w:pPr>
      <w:r>
        <w:rPr>
          <w:rFonts w:ascii="黑体" w:hAnsi="黑体" w:eastAsia="黑体" w:cs="黑体"/>
          <w:sz w:val="24"/>
        </w:rPr>
        <w:t>2 船舶装备特点与智能仿真、数字孪生需求</w:t>
      </w:r>
    </w:p>
    <w:p>
      <w:pPr>
        <w:spacing w:lineRule="exact" w:line="440" w:before="60" w:after="0"/>
      </w:pPr>
      <w:r>
        <w:rPr>
          <w:rFonts w:ascii="黑体" w:hAnsi="黑体" w:eastAsia="黑体" w:cs="黑体"/>
          <w:sz w:val="24"/>
        </w:rPr>
        <w:t>2.1 大型邮轮与LNG运输船的技术特征</w:t>
      </w:r>
    </w:p>
    <w:p>
      <w:pPr>
        <w:spacing w:lineRule="exact" w:line="440" w:before="0" w:after="0"/>
        <w:ind w:firstLineChars="200"/>
      </w:pPr>
      <w:r>
        <w:rPr>
          <w:rFonts w:ascii="Times New Roman" w:hAnsi="Times New Roman" w:eastAsia="宋体" w:cs="Times New Roman"/>
          <w:sz w:val="24"/>
        </w:rPr>
        <w:t>第一，超大规模定制化离散制造。大型邮轮被誉为造船工业"皇冠上的明珠"，其零部件数量、系统复杂度和管理跨度远超常规船型；LNG运输船则以殷瓦钢薄膜围护系统的极端工艺要求著称。两类船舶均为单件小批量生产，设计建造周期长达数年，涉及总体、结构、轮机、电气、舾装、内装等数十个专业的并行协同，任何一处设计变更都可能在下游工艺链上被成倍放大。</w:t>
      </w:r>
    </w:p>
    <w:p>
      <w:pPr>
        <w:spacing w:lineRule="exact" w:line="440" w:before="0" w:after="0"/>
        <w:ind w:firstLineChars="200"/>
      </w:pPr>
      <w:r>
        <w:rPr>
          <w:rFonts w:ascii="Times New Roman" w:hAnsi="Times New Roman" w:eastAsia="宋体" w:cs="Times New Roman"/>
          <w:sz w:val="24"/>
        </w:rPr>
        <w:t>第二，多物理场强耦合的服役环境。船舶在风、浪、流联合作用下运动，其性能由水动力、结构力学、推进振动、低温材料等多个物理场耦合决定。LNG运输船还需考虑液舱晃荡与船体运动的流固耦合，邮轮则对振动噪声和乘客舒适度提出苛刻约束。这决定了此类装备对高保真数值仿真具有天然依赖。</w:t>
      </w:r>
    </w:p>
    <w:p>
      <w:pPr>
        <w:spacing w:lineRule="exact" w:line="440" w:before="0" w:after="0"/>
        <w:ind w:firstLineChars="200"/>
      </w:pPr>
      <w:r>
        <w:rPr>
          <w:rFonts w:ascii="Times New Roman" w:hAnsi="Times New Roman" w:eastAsia="宋体" w:cs="Times New Roman"/>
          <w:sz w:val="24"/>
        </w:rPr>
        <w:t>第三，服役周期长而运行空间高度分散。船舶通常服役二十五年以上，航行于全球海域，其设计数据、建造数据与营运数据分别掌握在设计院所、船厂、船东、船级社和设备供应商手中，天然形成"数据孤岛"，使得基于全生命周期数据的模型迭代难以闭环。</w:t>
      </w:r>
    </w:p>
    <w:p>
      <w:pPr>
        <w:spacing w:lineRule="exact" w:line="440" w:before="0" w:after="0"/>
        <w:ind w:firstLineChars="200"/>
      </w:pPr>
      <w:r>
        <w:rPr>
          <w:rFonts w:ascii="Times New Roman" w:hAnsi="Times New Roman" w:eastAsia="宋体" w:cs="Times New Roman"/>
          <w:sz w:val="24"/>
        </w:rPr>
        <w:t>第四，强规范约束与知识密集特征。船舶的设计建造必须满足国际海事组织公约、船级社规范和大量行业标准，工程知识主要以规范文本、图纸和专家经验的形式离散存在，复用效率偏低。这既是行业长期痛点，也恰恰构成了大模型知识工程最具价值的切入点。</w:t>
      </w:r>
    </w:p>
    <w:p>
      <w:pPr>
        <w:spacing w:lineRule="exact" w:line="440" w:before="0" w:after="0"/>
        <w:ind w:firstLineChars="200"/>
      </w:pPr>
      <w:r>
        <w:rPr>
          <w:rFonts w:ascii="Times New Roman" w:hAnsi="Times New Roman" w:eastAsia="宋体" w:cs="Times New Roman"/>
          <w:sz w:val="24"/>
        </w:rPr>
        <w:t>第五，绿色低碳转型带来的新增需求。随着国际海事组织温室气体减排战略推进以及现有船舶能效指数、碳强度指标的实施，LNG、甲醇等绿色动力船型快速涌现，催生了全新的能效仿真、排放核算与运营优化需求。</w:t>
      </w:r>
    </w:p>
    <w:p>
      <w:pPr>
        <w:spacing w:lineRule="exact" w:line="440" w:before="60" w:after="0"/>
      </w:pPr>
      <w:r>
        <w:rPr>
          <w:rFonts w:ascii="黑体" w:hAnsi="黑体" w:eastAsia="黑体" w:cs="黑体"/>
          <w:sz w:val="24"/>
        </w:rPr>
        <w:t>2.2 全生命周期视角下的核心技术需求</w:t>
      </w:r>
    </w:p>
    <w:p>
      <w:pPr>
        <w:spacing w:lineRule="exact" w:line="440" w:before="0" w:after="0"/>
        <w:ind w:firstLineChars="200"/>
      </w:pPr>
      <w:r>
        <w:rPr>
          <w:rFonts w:ascii="Times New Roman" w:hAnsi="Times New Roman" w:eastAsia="宋体" w:cs="Times New Roman"/>
          <w:sz w:val="24"/>
        </w:rPr>
        <w:t>设计阶段的核心需求可概括为"仿真前移与智能加速"。传统计算流体力学与有限元分析计算成本高、周期长，难以支撑多方案快速迭代与多学科协同优化。行业迫切需要以代理模型、降阶模型、物理信息神经网络等数据驱动方法构建的智能仿真能力，把小时级乃至天级的性能预报压缩到分钟级甚至秒级，从而在方案空间中进行大规模寻优。</w:t>
      </w:r>
    </w:p>
    <w:p>
      <w:pPr>
        <w:spacing w:lineRule="exact" w:line="440" w:before="0" w:after="0"/>
        <w:ind w:firstLineChars="200"/>
      </w:pPr>
      <w:r>
        <w:rPr>
          <w:rFonts w:ascii="Times New Roman" w:hAnsi="Times New Roman" w:eastAsia="宋体" w:cs="Times New Roman"/>
          <w:sz w:val="24"/>
        </w:rPr>
        <w:t>建造阶段的核心需求可概括为"虚实同步与以虚控实"。船厂需要在分段制造、涂装、总组、搭载和舾装等环节建立生产过程数字孪生，实现排产计划、物流配送、精度控制与质量追溯的动态优化；对焊接机器人、薄板智能产线等新型装备，则需借助仿真进行虚拟调试以缩短投产周期。</w:t>
      </w:r>
    </w:p>
    <w:p>
      <w:pPr>
        <w:spacing w:lineRule="exact" w:line="440" w:before="0" w:after="0"/>
        <w:ind w:firstLineChars="200"/>
      </w:pPr>
      <w:r>
        <w:rPr>
          <w:rFonts w:ascii="Times New Roman" w:hAnsi="Times New Roman" w:eastAsia="宋体" w:cs="Times New Roman"/>
          <w:sz w:val="24"/>
        </w:rPr>
        <w:t>运营阶段的核心需求可概括为"智能运维与能效优化"。需要对主机、推进、电力和船体结构等关键系统建立运行数字孪生，支撑状态监测、故障预测与健康管理、航线与能效优化以及碳排放核算；对于自主航行船舶，还需高保真虚拟测试环境来验证决策算法的安全性。</w:t>
      </w:r>
    </w:p>
    <w:p>
      <w:pPr>
        <w:spacing w:lineRule="exact" w:line="440" w:before="0" w:after="0"/>
        <w:ind w:firstLineChars="200"/>
      </w:pPr>
      <w:r>
        <w:rPr>
          <w:rFonts w:ascii="Times New Roman" w:hAnsi="Times New Roman" w:eastAsia="宋体" w:cs="Times New Roman"/>
          <w:sz w:val="24"/>
        </w:rPr>
        <w:t>贯穿全生命周期的共性需求则是"数据贯通与可信智能"：设计模型、建造数据与营运数据必须在同一孪生体上持续迭代才能真正形成闭环，而应用于安全攸关场景的人工智能模型必须具备行业知识约束、结果可解释性与整体安全可控性。</w:t>
      </w:r>
    </w:p>
    <w:p>
      <w:pPr>
        <w:spacing w:lineRule="exact" w:line="440" w:before="60" w:after="0"/>
      </w:pPr>
      <w:r>
        <w:rPr>
          <w:rFonts w:ascii="黑体" w:hAnsi="黑体" w:eastAsia="黑体" w:cs="黑体"/>
          <w:sz w:val="24"/>
        </w:rPr>
        <w:t>2.3 智能仿真与数字孪生的内在联系</w:t>
      </w:r>
    </w:p>
    <w:p>
      <w:pPr>
        <w:spacing w:lineRule="exact" w:line="440" w:before="0" w:after="0"/>
        <w:ind w:firstLineChars="200"/>
      </w:pPr>
      <w:r>
        <w:rPr>
          <w:rFonts w:ascii="Times New Roman" w:hAnsi="Times New Roman" w:eastAsia="宋体" w:cs="Times New Roman"/>
          <w:sz w:val="24"/>
        </w:rPr>
        <w:t>数字孪生的基本构成是物理实体、虚拟实体及二者间的双向数据连接。陶飞等在此基础上提出了包含物理实体、虚拟实体、服务、孪生数据和连接的五维模型，为工业数字孪生落地提供了通用框架[5]。杨少龙等较早将该理念系统引入船舶领域，论述了数字孪生服务船舶全生命周期的技术路径[6]；Mauro与Kana则对船舶全寿期数字孪生研究进行了批判性系统综述，梳理了该技术在船舶设计、建造与营运各阶段的应用边界[7]。中国船级社2022年发布的《船舶与海上设施数字孪生系统指南》，则从检验视角把数字孪生应用场景明确界定为精细化设计、智能建造检验与营运优化管理三大类[8]。</w:t>
      </w:r>
    </w:p>
    <w:p>
      <w:pPr>
        <w:spacing w:lineRule="exact" w:line="440" w:before="0" w:after="0"/>
        <w:ind w:firstLineChars="200"/>
      </w:pPr>
      <w:r>
        <w:rPr>
          <w:rFonts w:ascii="Times New Roman" w:hAnsi="Times New Roman" w:eastAsia="宋体" w:cs="Times New Roman"/>
          <w:sz w:val="24"/>
        </w:rPr>
        <w:t>从计算机科学的角度审视，虚拟实体的内核是"模型"：机理模型保证物理一致性但计算昂贵，数据驱动模型具备实时性与自适应能力但缺乏外推保证，而智能仿真正是二者的融合——通过代理模型与降阶模型把高保真仿真"压缩"为可实时运行的孪生模型，通过数据同化用实测数据持续校正模型偏差，再通过大模型把复杂的仿真工具链封装为可由自然语言调用的智能体。因此可以说，智能仿真是数字孪生的"计算引擎"，数字孪生是智能仿真的"运行载体"，而人工智能大模型正在成为连接二者的"交互层与调度层"。</w:t>
      </w:r>
    </w:p>
    <w:p>
      <w:pPr>
        <w:spacing w:lineRule="exact" w:line="440" w:before="160" w:after="0"/>
      </w:pPr>
      <w:r>
        <w:rPr>
          <w:rFonts w:ascii="黑体" w:hAnsi="黑体" w:eastAsia="黑体" w:cs="黑体"/>
          <w:sz w:val="24"/>
        </w:rPr>
        <w:t>3 技术应用现状（2024—2026年）</w:t>
      </w:r>
    </w:p>
    <w:p>
      <w:pPr>
        <w:spacing w:lineRule="exact" w:line="440" w:before="60" w:after="0"/>
      </w:pPr>
      <w:r>
        <w:rPr>
          <w:rFonts w:ascii="黑体" w:hAnsi="黑体" w:eastAsia="黑体" w:cs="黑体"/>
          <w:sz w:val="24"/>
        </w:rPr>
        <w:t>3.1 设计阶段：国产CAE一体化平台"浪花"</w:t>
      </w:r>
    </w:p>
    <w:p>
      <w:pPr>
        <w:spacing w:lineRule="exact" w:line="440" w:before="0" w:after="0"/>
        <w:ind w:firstLineChars="200"/>
      </w:pPr>
      <w:r>
        <w:rPr>
          <w:rFonts w:ascii="Times New Roman" w:hAnsi="Times New Roman" w:eastAsia="宋体" w:cs="Times New Roman"/>
          <w:sz w:val="24"/>
        </w:rPr>
        <w:t>长期以来，我国船舶设计仿真高度依赖国外通用商业软件，自主可控风险突出。2025年12月2日，在2025年中国国际海事会展上，中国船舶集团第七〇二研究所与哈尔滨工程大学联合二十余家国内优势单位共同研发的船舶计算机辅助工程一体化工业软件"浪花"平台正式亮相[9]。该平台被定位为国际首创的集船舶性能仿真、合同设计、数字化送退审于一体的船舶工业软件，构建了统一的数智底座与求解器底座，深度集成结构、流体、海工、智能预报、合同设计、数字化送退审等功能域，共计七十八个功能模块，历经三年攻关并依托七〇二所海量试验数据完成优化验证。</w:t>
      </w:r>
    </w:p>
    <w:p>
      <w:pPr>
        <w:spacing w:lineRule="exact" w:line="440" w:before="0" w:after="0"/>
        <w:ind w:firstLineChars="200"/>
      </w:pPr>
      <w:r>
        <w:rPr>
          <w:rFonts w:ascii="Times New Roman" w:hAnsi="Times New Roman" w:eastAsia="宋体" w:cs="Times New Roman"/>
          <w:sz w:val="24"/>
        </w:rPr>
        <w:t>"浪花"平台的工程价值已在实船项目中得到检验：截至发布时，平台已在十五家以上设计院所和造船企业验证，并在"爱达·魔都"号邮轮、超大型油船、LNG运输船等十余项实船工程中成功应用，实现合同设计周期从数月缩短至数周，船舶设计送退审流程效率提升超过50%[9]。值得注意的是，该平台已引入基于知识图谱的船型与规范智选、集装箱船快速性能评估等特色模块，并提供拖拽式低代码集成环境，这实质上是把"智能"嵌入到仿真流程编排层面。与之相呼应，Htein等对船舶水动力与结构设计中人工智能优化方法的综述表明，代理模型与深度学习正在显著改变传统设计寻优范式[10]。哈尔滨工程大学与七〇二所等单位共建的"兴海"船海学科专有大模型，借助物理信息神经网络技术，把以往需要一周甚至一个月的性能测算压缩至毫秒级实时预报，为"高保真仿真—数据—代理模型"的智能仿真闭环提供了直观例证。</w:t>
      </w:r>
    </w:p>
    <w:p>
      <w:pPr>
        <w:spacing w:lineRule="exact" w:line="440" w:before="60" w:after="0"/>
      </w:pPr>
      <w:r>
        <w:rPr>
          <w:rFonts w:ascii="黑体" w:hAnsi="黑体" w:eastAsia="黑体" w:cs="黑体"/>
          <w:sz w:val="24"/>
        </w:rPr>
        <w:t>3.2 知识赋能：船海行业大模型的崛起</w:t>
      </w:r>
    </w:p>
    <w:p>
      <w:pPr>
        <w:spacing w:lineRule="exact" w:line="440" w:before="0" w:after="0"/>
        <w:ind w:firstLineChars="200"/>
      </w:pPr>
      <w:r>
        <w:rPr>
          <w:rFonts w:ascii="Times New Roman" w:hAnsi="Times New Roman" w:eastAsia="宋体" w:cs="Times New Roman"/>
          <w:sz w:val="24"/>
        </w:rPr>
        <w:t>2024年11月10日，由厦门理工学院、众数（厦门）信息科技有限公司、福建省船舶工业集团等十一家政产学研机构联合研制的"文鳐"大模型在厦门发布，被认定为我国首个船舶与海洋工程行业大模型[11]。该模型采用自反思链、多模态融合与多智能体协同三项核心技术，整合了船舶设计、船舶法规、船型工艺、海洋工程规范、港航气象服务、海洋政务、教学科研七大类行业知识库。在应用侧，公开资料显示其已将船舶设计场景的方案生成周期由传统的两到三周缩短至半小时量级，在船舶故障预测性检修场景中方案采纳率达到92%；至2026年中，"文鳐"已在约八十家企业投用，覆盖船舶设计、设备运维、船舶监管、培训教学、政务办公五大场景，并推出面向设计、轮机与航行的三类专家智能体。</w:t>
      </w:r>
    </w:p>
    <w:p>
      <w:pPr>
        <w:spacing w:lineRule="exact" w:line="440" w:before="0" w:after="0"/>
        <w:ind w:firstLineChars="200"/>
      </w:pPr>
      <w:r>
        <w:rPr>
          <w:rFonts w:ascii="Times New Roman" w:hAnsi="Times New Roman" w:eastAsia="宋体" w:cs="Times New Roman"/>
          <w:sz w:val="24"/>
        </w:rPr>
        <w:t>在中国船舶集团内部，同样形成了以行业知识服务为切入口的大模型应用格局。2025年2月，集团自主研发的船舶行业大模型"百舸"完成与推理大模型的深度集成，面向经济运行分析、市场研判与情报分析提供智能问答、研报写作与文档解读能力，情报全流程效率提升超过60%；外高桥造船同期上线本地化部署的大模型应用平台，首批智能助手聚焦制度解读、中英技术文档翻译与国际海事组织法规解读。可以看出，船厂与研究院所落地大模型的首选场景普遍是低风险、高频次的知识密集型任务，尚未直接进入设计计算与工艺决策的核心环节。</w:t>
      </w:r>
    </w:p>
    <w:p>
      <w:pPr>
        <w:spacing w:lineRule="exact" w:line="440" w:before="0" w:after="0"/>
        <w:ind w:firstLineChars="200"/>
      </w:pPr>
      <w:r>
        <w:rPr>
          <w:rFonts w:ascii="Times New Roman" w:hAnsi="Times New Roman" w:eastAsia="宋体" w:cs="Times New Roman"/>
          <w:sz w:val="24"/>
        </w:rPr>
        <w:t>白敬波等对大模型赋能船舶工业全周期进行了系统论述，提出了引入船舶行业知识作为约束、将大模型作为规划引擎、基于大模型构建智能体系统三条应用原则，并明确指出数据质量、实时性与可解释性是落地的核心瓶颈[12]。黄永裕等则探索了三维生成式大模型在船型概念设计中的可行性，代表了大模型向几何生成这一更深层设计环节的推进[13]。</w:t>
      </w:r>
    </w:p>
    <w:p>
      <w:pPr>
        <w:spacing w:lineRule="exact" w:line="440" w:before="60" w:after="0"/>
      </w:pPr>
      <w:r>
        <w:rPr>
          <w:rFonts w:ascii="黑体" w:hAnsi="黑体" w:eastAsia="黑体" w:cs="黑体"/>
          <w:sz w:val="24"/>
        </w:rPr>
        <w:t>3.3 建造阶段：从数字样船到数字船厂</w:t>
      </w:r>
    </w:p>
    <w:p>
      <w:pPr>
        <w:spacing w:lineRule="exact" w:line="440" w:before="0" w:after="0"/>
        <w:ind w:firstLineChars="200"/>
      </w:pPr>
      <w:r>
        <w:rPr>
          <w:rFonts w:ascii="Times New Roman" w:hAnsi="Times New Roman" w:eastAsia="宋体" w:cs="Times New Roman"/>
          <w:sz w:val="24"/>
        </w:rPr>
        <w:t>数字样船是建造阶段数字孪生最具代表性的载体。2026年4月24日，沪东中华造船发布了全球最大的二十七万立方米级LNG运输船数字样船2.0：该成果依托自主研发的全三维设计系统与沉浸式虚拟仿真系统，集成计算机辅助工程、计算机辅助工艺规划与计算机辅助制造三大仿真技术，把静态三维模型升级为覆盖研发设计、工艺规划与制造仿真的一体化虚拟仿真系统，实现了从1.0版"看得见"到2.0版"算得准"的跨越[14]。从数字孪生的术语体系看，这标志着虚拟实体的角色已从"几何镜像"转变为"虚拟试验场"。</w:t>
      </w:r>
    </w:p>
    <w:p>
      <w:pPr>
        <w:spacing w:lineRule="exact" w:line="440" w:before="0" w:after="0"/>
        <w:ind w:firstLineChars="200"/>
      </w:pPr>
      <w:r>
        <w:rPr>
          <w:rFonts w:ascii="Times New Roman" w:hAnsi="Times New Roman" w:eastAsia="宋体" w:cs="Times New Roman"/>
          <w:sz w:val="24"/>
        </w:rPr>
        <w:t>在车间与厂区层面，国内船厂形成了多层次的实践。江南造船通过"一个型号一个台阶"的数字化转型策略，实现了全球首艘无纸化总装建造船舶，其建造周期较原计划缩短近三个月、差错率较同物量船舶降低约60%、单船节约成本五百万元。外高桥造船建成5G全覆盖、实现二十七型设备物联的智能薄板车间，并把智能造船云平台应用到全部在建船舶；受益于此，第二艘国产大型邮轮"爱达·花城号"的整体建造效率较首制船提升20%。中船黄埔文冲的数模驱动智能焊接装备把三维设计模型直接转化为机器人焊接路径，复杂船体分段零件重构建模完整率达98%以上，单次可提取焊缝路径一千条。2026年6月，北海造船厂区级数字孪生平台上线运行，构建了覆盖人、车、物、设备、场地全要素的三维虚拟镜像，实现物理厂区与数字空间的实时映射。</w:t>
      </w:r>
    </w:p>
    <w:p>
      <w:pPr>
        <w:spacing w:lineRule="exact" w:line="440" w:before="0" w:after="0"/>
        <w:ind w:firstLineChars="200"/>
      </w:pPr>
      <w:r>
        <w:rPr>
          <w:rFonts w:ascii="Times New Roman" w:hAnsi="Times New Roman" w:eastAsia="宋体" w:cs="Times New Roman"/>
          <w:sz w:val="24"/>
        </w:rPr>
        <w:t>上述实践与国际研究的方向高度一致。Bordbar等对2010—2025年船厂生产计划数字化的综述系统归纳了仿真、优化、人工智能与数字孪生四类方法的演进脉络[15]；Sánchez-Fernández等依据ISO 23247框架，在机器人小组立工位上构建了完整的过程数字孪生，为车间级孪生提供了可复用的参考架构[16]。国内方面，肖嘉豪等面向船舶制造车间设计了数字孪生管理系统，验证了虚实映射在生产管控中的可行性[17]。</w:t>
      </w:r>
    </w:p>
    <w:p>
      <w:pPr>
        <w:spacing w:lineRule="exact" w:line="440" w:before="60" w:after="0"/>
      </w:pPr>
      <w:r>
        <w:rPr>
          <w:rFonts w:ascii="黑体" w:hAnsi="黑体" w:eastAsia="黑体" w:cs="黑体"/>
          <w:sz w:val="24"/>
        </w:rPr>
        <w:t>3.4 运营阶段：运维数字孪生与数字化交付</w:t>
      </w:r>
    </w:p>
    <w:p>
      <w:pPr>
        <w:spacing w:lineRule="exact" w:line="440" w:before="0" w:after="0"/>
        <w:ind w:firstLineChars="200"/>
      </w:pPr>
      <w:r>
        <w:rPr>
          <w:rFonts w:ascii="Times New Roman" w:hAnsi="Times New Roman" w:eastAsia="宋体" w:cs="Times New Roman"/>
          <w:sz w:val="24"/>
        </w:rPr>
        <w:t>建造期孪生要延伸为营运期孪生，前提是数据能够跨越交付这道制度门槛。中国船级社于2025年7月1日起施行《船舶数字化交付指南》，明确以数字化手段向船东完整、准确移交船舶及船用产品数据，目标正是打通设计、建造与营运阶段的数据通道[18]。这一规范为全生命周期数字孪生提供了关键的制度接口。</w:t>
      </w:r>
    </w:p>
    <w:p>
      <w:pPr>
        <w:spacing w:lineRule="exact" w:line="440" w:before="0" w:after="0"/>
        <w:ind w:firstLineChars="200"/>
      </w:pPr>
      <w:r>
        <w:rPr>
          <w:rFonts w:ascii="Times New Roman" w:hAnsi="Times New Roman" w:eastAsia="宋体" w:cs="Times New Roman"/>
          <w:sz w:val="24"/>
        </w:rPr>
        <w:t>在具体技术方向上，船体结构健康监测与设备预测性维护是当前最活跃的两个场景。杨泽文等综述了大模型驱动的船舶结构健康监测系统关键技术[19]；Wei等基于逆有限元方法构建了船体结构变形场的实时数字孪生，展示了以稀疏应变测点重构全场响应的技术路线[20]。在航行决策层面，马枫等提出了由双大语言模型核心驱动的自适应船舶航行智能体架构，代表了大模型与航行数字孪生的深度结合[21]。工程侧亦有进展：公开报道显示，基于"文鳐"构建的轮机智能体已在长江干流营运油轮上通过实时研判主机上百项运行参数，成功识别出主机燃油系统核心部件的早期异常。此外，Ye等的综述指出，面向脱碳目标的船舶设计与生产一体化数字孪生正成为新的研究热点，能效与排放已成为孪生体必须承载的核心指标[22]。</w:t>
      </w:r>
    </w:p>
    <w:p>
      <w:pPr>
        <w:spacing w:lineRule="exact" w:line="440" w:before="160" w:after="0"/>
      </w:pPr>
      <w:r>
        <w:rPr>
          <w:rFonts w:ascii="黑体" w:hAnsi="黑体" w:eastAsia="黑体" w:cs="黑体"/>
          <w:sz w:val="24"/>
        </w:rPr>
        <w:t>4 现存技术瓶颈</w:t>
      </w:r>
    </w:p>
    <w:p>
      <w:pPr>
        <w:spacing w:lineRule="exact" w:line="440" w:before="60" w:after="0"/>
      </w:pPr>
      <w:r>
        <w:rPr>
          <w:rFonts w:ascii="黑体" w:hAnsi="黑体" w:eastAsia="黑体" w:cs="黑体"/>
          <w:sz w:val="24"/>
        </w:rPr>
        <w:t>4.1 数据层：孤岛化与质量不足</w:t>
      </w:r>
    </w:p>
    <w:p>
      <w:pPr>
        <w:spacing w:lineRule="exact" w:line="440" w:before="0" w:after="0"/>
        <w:ind w:firstLineChars="200"/>
      </w:pPr>
      <w:r>
        <w:rPr>
          <w:rFonts w:ascii="Times New Roman" w:hAnsi="Times New Roman" w:eastAsia="宋体" w:cs="Times New Roman"/>
          <w:sz w:val="24"/>
        </w:rPr>
        <w:t>数字孪生的生命力源于数据闭环，而船舶行业的数据恰恰被分割在设计院所、船厂、船东、船级社与设备商之间。数据权属界定不清、共享意愿偏低，使得营运数据难以回流用于设计模型的迭代修正。同时，船舶属于典型的小样本场景，故障样本尤其稀缺，数据标注成本高昂，制约了数据驱动模型的泛化能力。中国船舶集团旗下多家单位联合发起智能船舶可信数据空间倡议、江南造船的自主航行数据集入选国家级高质量数据集，正是行业对这一瓶颈的回应。</w:t>
      </w:r>
    </w:p>
    <w:p>
      <w:pPr>
        <w:spacing w:lineRule="exact" w:line="440" w:before="60" w:after="0"/>
      </w:pPr>
      <w:r>
        <w:rPr>
          <w:rFonts w:ascii="黑体" w:hAnsi="黑体" w:eastAsia="黑体" w:cs="黑体"/>
          <w:sz w:val="24"/>
        </w:rPr>
        <w:t>4.2 模型层：保真度与实时性的矛盾</w:t>
      </w:r>
    </w:p>
    <w:p>
      <w:pPr>
        <w:spacing w:lineRule="exact" w:line="440" w:before="0" w:after="0"/>
        <w:ind w:firstLineChars="200"/>
      </w:pPr>
      <w:r>
        <w:rPr>
          <w:rFonts w:ascii="Times New Roman" w:hAnsi="Times New Roman" w:eastAsia="宋体" w:cs="Times New Roman"/>
          <w:sz w:val="24"/>
        </w:rPr>
        <w:t>高保真计算流体力学与有限元模型难以满足孪生体的实时性要求，而降阶模型与代理模型在工况外推时精度衰减明显。多物理场耦合（如LNG液舱晃荡与船体运动的双向耦合）进一步加剧了这一矛盾。如何在保真度、实时性与泛化能力之间取得工程可接受的平衡，仍是智能仿真最核心的科学问题。此外，孪生模型缺乏统一的置信度评估方法，导致仿真结果难以直接用于安全攸关的决策。</w:t>
      </w:r>
    </w:p>
    <w:p>
      <w:pPr>
        <w:spacing w:lineRule="exact" w:line="440" w:before="60" w:after="0"/>
      </w:pPr>
      <w:r>
        <w:rPr>
          <w:rFonts w:ascii="黑体" w:hAnsi="黑体" w:eastAsia="黑体" w:cs="黑体"/>
          <w:sz w:val="24"/>
        </w:rPr>
        <w:t>4.3 智能层：大模型的可信性约束</w:t>
      </w:r>
    </w:p>
    <w:p>
      <w:pPr>
        <w:spacing w:lineRule="exact" w:line="440" w:before="0" w:after="0"/>
        <w:ind w:firstLineChars="200"/>
      </w:pPr>
      <w:r>
        <w:rPr>
          <w:rFonts w:ascii="Times New Roman" w:hAnsi="Times New Roman" w:eastAsia="宋体" w:cs="Times New Roman"/>
          <w:sz w:val="24"/>
        </w:rPr>
        <w:t>大模型的幻觉问题在强规范约束的船舶行业尤为致命：一条错误的规范引用可能直接导致设计返工乃至安全隐患。目前公开的量化成效数据多来自企业自述或合作方宣传，缺乏第三方审计与统一的评测基准。此外，大模型的推理过程难以追溯，与船级社审图所要求的可追溯性存在结构性张力。这也正是白敬波等强调必须以行业知识作为硬约束的原因[12]。</w:t>
      </w:r>
    </w:p>
    <w:p>
      <w:pPr>
        <w:spacing w:lineRule="exact" w:line="440" w:before="60" w:after="0"/>
      </w:pPr>
      <w:r>
        <w:rPr>
          <w:rFonts w:ascii="黑体" w:hAnsi="黑体" w:eastAsia="黑体" w:cs="黑体"/>
          <w:sz w:val="24"/>
        </w:rPr>
        <w:t>4.4 平台层：工业软件自主可控</w:t>
      </w:r>
    </w:p>
    <w:p>
      <w:pPr>
        <w:spacing w:lineRule="exact" w:line="440" w:before="0" w:after="0"/>
        <w:ind w:firstLineChars="200"/>
      </w:pPr>
      <w:r>
        <w:rPr>
          <w:rFonts w:ascii="Times New Roman" w:hAnsi="Times New Roman" w:eastAsia="宋体" w:cs="Times New Roman"/>
          <w:sz w:val="24"/>
        </w:rPr>
        <w:t>尽管"浪花"平台在计算机辅助工程环节取得突破，但计算机辅助设计几何内核、产品全生命周期管理主数据管理等基础环节的自主化程度仍然不足，各类软件之间的数据交换标准不统一，模型在设计、工艺、制造与运维各环节之间传递时存在语义丢失。孪生体一旦需要跨软件、跨企业组装，其一致性便难以保证。</w:t>
      </w:r>
    </w:p>
    <w:p>
      <w:pPr>
        <w:spacing w:lineRule="exact" w:line="440" w:before="160" w:after="0"/>
      </w:pPr>
      <w:r>
        <w:rPr>
          <w:rFonts w:ascii="黑体" w:hAnsi="黑体" w:eastAsia="黑体" w:cs="黑体"/>
          <w:sz w:val="24"/>
        </w:rPr>
        <w:t>5 未来3—5年发展展望与建议</w:t>
      </w:r>
    </w:p>
    <w:p>
      <w:pPr>
        <w:spacing w:lineRule="exact" w:line="440" w:before="60" w:after="0"/>
      </w:pPr>
      <w:r>
        <w:rPr>
          <w:rFonts w:ascii="黑体" w:hAnsi="黑体" w:eastAsia="黑体" w:cs="黑体"/>
          <w:sz w:val="24"/>
        </w:rPr>
        <w:t>5.1 主要发展方向</w:t>
      </w:r>
    </w:p>
    <w:p>
      <w:pPr>
        <w:spacing w:lineRule="exact" w:line="440" w:before="0" w:after="0"/>
        <w:ind w:firstLineChars="200"/>
      </w:pPr>
      <w:r>
        <w:rPr>
          <w:rFonts w:ascii="Times New Roman" w:hAnsi="Times New Roman" w:eastAsia="宋体" w:cs="Times New Roman"/>
          <w:sz w:val="24"/>
        </w:rPr>
        <w:t>一是高保真仿真的智能轻量化。物理信息神经网络、算子学习与图神经网络等方法将进一步嵌入船舶水动力与结构求解，使高保真仿真在保持物理约束的前提下实现数量级加速，"兴海"大模型的毫秒级性能预报已经展示了这一方向的可行性。</w:t>
      </w:r>
    </w:p>
    <w:p>
      <w:pPr>
        <w:spacing w:lineRule="exact" w:line="440" w:before="0" w:after="0"/>
        <w:ind w:firstLineChars="200"/>
      </w:pPr>
      <w:r>
        <w:rPr>
          <w:rFonts w:ascii="Times New Roman" w:hAnsi="Times New Roman" w:eastAsia="宋体" w:cs="Times New Roman"/>
          <w:sz w:val="24"/>
        </w:rPr>
        <w:t>二是孪生体的标准化与全生命周期贯通。以中国船级社数字孪生系统指南与数字化交付指南为制度基础，孪生体的模型格式、接口协议与置信度评估方法有望逐步标准化，使建造期孪生能够平滑移交为营运期孪生。</w:t>
      </w:r>
    </w:p>
    <w:p>
      <w:pPr>
        <w:spacing w:lineRule="exact" w:line="440" w:before="0" w:after="0"/>
        <w:ind w:firstLineChars="200"/>
      </w:pPr>
      <w:r>
        <w:rPr>
          <w:rFonts w:ascii="Times New Roman" w:hAnsi="Times New Roman" w:eastAsia="宋体" w:cs="Times New Roman"/>
          <w:sz w:val="24"/>
        </w:rPr>
        <w:t>三是大模型由知识问答走向规划引擎与工具调用。未来的行业大模型不会自己去解偏微分方程，而是作为智能体的"大脑"，理解工程意图、编排仿真工具链、调用计算机辅助工程求解器并解释结果，从而真正打通"自然语言—仿真计算—工程决策"的链路。国家层面提出到2027年形成特色化、全覆盖的行业大模型并推出一千个高水平工业智能体，为这一方向提供了明确的政策牵引[4]。</w:t>
      </w:r>
    </w:p>
    <w:p>
      <w:pPr>
        <w:spacing w:lineRule="exact" w:line="440" w:before="0" w:after="0"/>
        <w:ind w:firstLineChars="200"/>
      </w:pPr>
      <w:r>
        <w:rPr>
          <w:rFonts w:ascii="Times New Roman" w:hAnsi="Times New Roman" w:eastAsia="宋体" w:cs="Times New Roman"/>
          <w:sz w:val="24"/>
        </w:rPr>
        <w:t>四是虚实闭环由"可视"走向"可控"。目前多数船厂数字孪生仍以三维可视化与设备联网为主，未来将向在线精度补偿、动态排产调度、能耗实时优化等真正的反向控制演进，即从"数字影子"升级为完整意义上的"数字孪生"。</w:t>
      </w:r>
    </w:p>
    <w:p>
      <w:pPr>
        <w:spacing w:lineRule="exact" w:line="440" w:before="0" w:after="0"/>
        <w:ind w:firstLineChars="200"/>
      </w:pPr>
      <w:r>
        <w:rPr>
          <w:rFonts w:ascii="Times New Roman" w:hAnsi="Times New Roman" w:eastAsia="宋体" w:cs="Times New Roman"/>
          <w:sz w:val="24"/>
        </w:rPr>
        <w:t>五是绿色低碳与数字孪生的深度耦合。碳足迹核算、替代燃料动力系统仿真与能效优化将成为孪生体的内生功能，服务于船舶制造业绿色发展的阶段性目标[23]。</w:t>
      </w:r>
    </w:p>
    <w:p>
      <w:pPr>
        <w:spacing w:lineRule="exact" w:line="440" w:before="60" w:after="0"/>
      </w:pPr>
      <w:r>
        <w:rPr>
          <w:rFonts w:ascii="黑体" w:hAnsi="黑体" w:eastAsia="黑体" w:cs="黑体"/>
          <w:sz w:val="24"/>
        </w:rPr>
        <w:t>5.2 面向海洋强国战略的建议</w:t>
      </w:r>
    </w:p>
    <w:p>
      <w:pPr>
        <w:spacing w:lineRule="exact" w:line="440" w:before="0" w:after="0"/>
        <w:ind w:firstLineChars="200"/>
      </w:pPr>
      <w:r>
        <w:rPr>
          <w:rFonts w:ascii="Times New Roman" w:hAnsi="Times New Roman" w:eastAsia="宋体" w:cs="Times New Roman"/>
          <w:sz w:val="24"/>
        </w:rPr>
        <w:t>第一，坚持"国产底座先行"。建议以"浪花"平台等国产计算机辅助工程软件为内核，向上打通计算机辅助设计几何内核与产品全生命周期管理，向下对接船厂制造执行系统，形成自主可控的船海工业软件生态，避免孪生体建立在受制于人的地基之上。</w:t>
      </w:r>
    </w:p>
    <w:p>
      <w:pPr>
        <w:spacing w:lineRule="exact" w:line="440" w:before="0" w:after="0"/>
        <w:ind w:firstLineChars="200"/>
      </w:pPr>
      <w:r>
        <w:rPr>
          <w:rFonts w:ascii="Times New Roman" w:hAnsi="Times New Roman" w:eastAsia="宋体" w:cs="Times New Roman"/>
          <w:sz w:val="24"/>
        </w:rPr>
        <w:t>第二，加快构建行业级可信数据空间。建议依托船舶行业数字化转型促进中心等平台，推动设计、建造、营运数据在权属清晰、安全可控前提下有序流通，并建立船舶行业大模型与孪生模型的第三方评测基准，用可比的指标替代宣传口径。</w:t>
      </w:r>
    </w:p>
    <w:p>
      <w:pPr>
        <w:spacing w:lineRule="exact" w:line="440" w:before="0" w:after="0"/>
        <w:ind w:firstLineChars="200"/>
      </w:pPr>
      <w:r>
        <w:rPr>
          <w:rFonts w:ascii="Times New Roman" w:hAnsi="Times New Roman" w:eastAsia="宋体" w:cs="Times New Roman"/>
          <w:sz w:val="24"/>
        </w:rPr>
        <w:t>第三，推动"仿真—孪生—大模型"三层架构落地示范。建议在大型邮轮、大型LNG运输船等国家重点船型上开展全生命周期数字孪生示范工程，把智能仿真作为计算内核、数字孪生作为运行载体、行业大模型作为交互与调度层，形成可复制的技术范式。上海长兴岛世界级现代化造船基地实施方案已提出开发船舶设计大模型与复杂系统数字孪生体系，可作为首批示范载体[24]。</w:t>
      </w:r>
    </w:p>
    <w:p>
      <w:pPr>
        <w:spacing w:lineRule="exact" w:line="440" w:before="0" w:after="0"/>
        <w:ind w:firstLineChars="200"/>
      </w:pPr>
      <w:r>
        <w:rPr>
          <w:rFonts w:ascii="Times New Roman" w:hAnsi="Times New Roman" w:eastAsia="宋体" w:cs="Times New Roman"/>
          <w:sz w:val="24"/>
        </w:rPr>
        <w:t>第四，重视复合型人才培养。船海数字孪生需要既懂船舶专业又懂数据与算法的复合型人才。作为计算机科学与技术专业的学生，笔者深切体会到跨学科知识壁垒的现实存在；建议高校进一步推动"人工智能+船海"微专业与联合培养机制，把课程、平台与真实工程数据打通。</w:t>
      </w:r>
    </w:p>
    <w:p>
      <w:pPr>
        <w:spacing w:lineRule="exact" w:line="440" w:before="160" w:after="0"/>
      </w:pPr>
      <w:r>
        <w:rPr>
          <w:rFonts w:ascii="黑体" w:hAnsi="黑体" w:eastAsia="黑体" w:cs="黑体"/>
          <w:sz w:val="24"/>
        </w:rPr>
        <w:t>6 结语</w:t>
      </w:r>
    </w:p>
    <w:p>
      <w:pPr>
        <w:spacing w:lineRule="exact" w:line="440" w:before="0" w:after="0"/>
        <w:ind w:firstLineChars="200"/>
      </w:pPr>
      <w:r>
        <w:rPr>
          <w:rFonts w:ascii="Times New Roman" w:hAnsi="Times New Roman" w:eastAsia="宋体" w:cs="Times New Roman"/>
          <w:sz w:val="24"/>
        </w:rPr>
        <w:t>从"浪花"平台把仿真能力沉淀为国产工业软件底座，到"文鳐"大模型把行业知识转化为可调用的智能服务，再到二十七万立方米级LNG运输船数字样船与船厂级数字孪生平台把虚拟空间变成真实的试验场与管控中枢，2024—2026年我国船舶装备领域的智能仿真与数字孪生实践已经从概念演示走向规模化工程应用。但也必须清醒认识到，数据孤岛、模型保真度与实时性的矛盾、大模型可信性以及工业软件自主可控等瓶颈依然存在，真正意义上覆盖全生命周期、实现闭环控制的船舶数字孪生尚未建成。未来三到五年，随着智能仿真持续轻量化、孪生体标准逐步统一、行业大模型由知识问答升级为规划引擎，数字孪生有望成为船舶装备研发建造与运维的基础设施，为海洋强国建设提供坚实的数字底座。</w:t>
      </w:r>
    </w:p>
    <w:p>
      <w:pPr>
        <w:spacing w:lineRule="exact" w:line="440" w:before="0" w:after="0"/>
      </w:pPr>
    </w:p>
    <w:p>
      <w:pPr>
        <w:spacing w:lineRule="exact" w:line="440" w:before="0" w:after="0"/>
        <w:jc w:val="center"/>
      </w:pPr>
      <w:r>
        <w:rPr>
          <w:rFonts w:ascii="黑体" w:hAnsi="黑体" w:eastAsia="黑体" w:cs="黑体"/>
          <w:sz w:val="21"/>
        </w:rPr>
        <w:t>参考文献</w:t>
      </w:r>
    </w:p>
    <w:p>
      <w:pPr>
        <w:spacing w:lineRule="exact" w:line="440" w:before="0" w:after="0"/>
        <w:jc w:val="left"/>
        <w:ind w:left="520" w:hanging="520"/>
      </w:pPr>
      <w:r>
        <w:rPr>
          <w:rFonts w:ascii="Times New Roman" w:hAnsi="Times New Roman" w:eastAsia="宋体" w:cs="Times New Roman"/>
          <w:sz w:val="21"/>
        </w:rPr>
        <w:t>[1] 吴有生, 赵羿羽, 刘浩, 等. 我国船舶与海洋工程装备发展现状及展望[J]. 中国工程科学, 2026, 28(1): 170-180.</w:t>
      </w:r>
    </w:p>
    <w:p>
      <w:pPr>
        <w:spacing w:lineRule="exact" w:line="440" w:before="0" w:after="0"/>
        <w:jc w:val="left"/>
        <w:ind w:left="520" w:hanging="520"/>
      </w:pPr>
      <w:r>
        <w:rPr>
          <w:rFonts w:ascii="Times New Roman" w:hAnsi="Times New Roman" w:eastAsia="宋体" w:cs="Times New Roman"/>
          <w:sz w:val="21"/>
        </w:rPr>
        <w:t>[2] 蔡鹏, 柳存根, 林忠钦, 等. 海洋强国目标下我国海洋装备关键基础性技术发展战略研究[J]. 中国工程科学, 2024, 26(5): 91-103.</w:t>
      </w:r>
    </w:p>
    <w:p>
      <w:pPr>
        <w:spacing w:lineRule="exact" w:line="440" w:before="0" w:after="0"/>
        <w:jc w:val="left"/>
        <w:ind w:left="520" w:hanging="520"/>
      </w:pPr>
      <w:r>
        <w:rPr>
          <w:rFonts w:ascii="Times New Roman" w:hAnsi="Times New Roman" w:eastAsia="宋体" w:cs="Times New Roman"/>
          <w:sz w:val="21"/>
        </w:rPr>
        <w:t>[3] 国务院. 关于深入实施"人工智能+"行动的意见: 国发〔2025〕11号[EB/OL]. (2025-08-21)[2026-09-16]. https://www.gov.cn/.</w:t>
      </w:r>
    </w:p>
    <w:p>
      <w:pPr>
        <w:spacing w:lineRule="exact" w:line="440" w:before="0" w:after="0"/>
        <w:jc w:val="left"/>
        <w:ind w:left="520" w:hanging="520"/>
      </w:pPr>
      <w:r>
        <w:rPr>
          <w:rFonts w:ascii="Times New Roman" w:hAnsi="Times New Roman" w:eastAsia="宋体" w:cs="Times New Roman"/>
          <w:sz w:val="21"/>
        </w:rPr>
        <w:t>[4] 工业和信息化部, 国家发展改革委, 教育部, 等. "人工智能+制造"专项行动实施意见: 工信部联科〔2025〕279号[EB/OL]. (2025-12-25)[2026-09-16]. https://www.nda.gov.cn/.</w:t>
      </w:r>
    </w:p>
    <w:p>
      <w:pPr>
        <w:spacing w:lineRule="exact" w:line="440" w:before="0" w:after="0"/>
        <w:jc w:val="left"/>
        <w:ind w:left="520" w:hanging="520"/>
      </w:pPr>
      <w:r>
        <w:rPr>
          <w:rFonts w:ascii="Times New Roman" w:hAnsi="Times New Roman" w:eastAsia="宋体" w:cs="Times New Roman"/>
          <w:sz w:val="21"/>
        </w:rPr>
        <w:t>[5] 陶飞, 刘蔚然, 张萌, 等. 数字孪生五维模型及十大领域应用[J]. 计算机集成制造系统, 2019, 25(1): 1-18.</w:t>
      </w:r>
    </w:p>
    <w:p>
      <w:pPr>
        <w:spacing w:lineRule="exact" w:line="440" w:before="0" w:after="0"/>
        <w:jc w:val="left"/>
        <w:ind w:left="520" w:hanging="520"/>
      </w:pPr>
      <w:r>
        <w:rPr>
          <w:rFonts w:ascii="Times New Roman" w:hAnsi="Times New Roman" w:eastAsia="宋体" w:cs="Times New Roman"/>
          <w:sz w:val="21"/>
        </w:rPr>
        <w:t>[6] 杨少龙, 孙延浩, 向先波, 等. 船舶数字孪生及其服务全生命周期研究综述[J]. 舰船科学技术, 2020, 42(11): 1-8.</w:t>
      </w:r>
    </w:p>
    <w:p>
      <w:pPr>
        <w:spacing w:lineRule="exact" w:line="440" w:before="0" w:after="0"/>
        <w:jc w:val="left"/>
        <w:ind w:left="520" w:hanging="520"/>
      </w:pPr>
      <w:r>
        <w:rPr>
          <w:rFonts w:ascii="Times New Roman" w:hAnsi="Times New Roman" w:eastAsia="宋体" w:cs="Times New Roman"/>
          <w:sz w:val="21"/>
        </w:rPr>
        <w:t>[7] MAURO F, KANA A A. Digital twin for ship life-cycle: a critical systematic review[J]. Ocean Engineering, 2023, 269: 113479.</w:t>
      </w:r>
    </w:p>
    <w:p>
      <w:pPr>
        <w:spacing w:lineRule="exact" w:line="440" w:before="0" w:after="0"/>
        <w:jc w:val="left"/>
        <w:ind w:left="520" w:hanging="520"/>
      </w:pPr>
      <w:r>
        <w:rPr>
          <w:rFonts w:ascii="Times New Roman" w:hAnsi="Times New Roman" w:eastAsia="宋体" w:cs="Times New Roman"/>
          <w:sz w:val="21"/>
        </w:rPr>
        <w:t>[8] 中国船级社. 船舶与海上设施数字孪生系统指南[S]. 北京: 中国船级社, 2022.</w:t>
      </w:r>
    </w:p>
    <w:p>
      <w:pPr>
        <w:spacing w:lineRule="exact" w:line="440" w:before="0" w:after="0"/>
        <w:jc w:val="left"/>
        <w:ind w:left="520" w:hanging="520"/>
      </w:pPr>
      <w:r>
        <w:rPr>
          <w:rFonts w:ascii="Times New Roman" w:hAnsi="Times New Roman" w:eastAsia="宋体" w:cs="Times New Roman"/>
          <w:sz w:val="21"/>
        </w:rPr>
        <w:t>[9] 哈尔滨工程大学新闻中心. 国际首创！船舶CAE工业软件浪花平台正式亮相[EB/OL]. (2025-12-03)[2026-09-16]. http://news.hrbeu.edu.cn/info/1141/87683.htm.</w:t>
      </w:r>
    </w:p>
    <w:p>
      <w:pPr>
        <w:spacing w:lineRule="exact" w:line="440" w:before="0" w:after="0"/>
        <w:jc w:val="left"/>
        <w:ind w:left="520" w:hanging="520"/>
      </w:pPr>
      <w:r>
        <w:rPr>
          <w:rFonts w:ascii="Times New Roman" w:hAnsi="Times New Roman" w:eastAsia="宋体" w:cs="Times New Roman"/>
          <w:sz w:val="21"/>
        </w:rPr>
        <w:t>[10] HTEIN N M, LOUVROS P, STEFANOU E, et al. AI-based optimization techniques for hydrodynamic and structural design in ships: a review[J]. Journal of Marine Science and Engineering, 2025, 13(9): 1719.</w:t>
      </w:r>
    </w:p>
    <w:p>
      <w:pPr>
        <w:spacing w:lineRule="exact" w:line="440" w:before="0" w:after="0"/>
        <w:jc w:val="left"/>
        <w:ind w:left="520" w:hanging="520"/>
      </w:pPr>
      <w:r>
        <w:rPr>
          <w:rFonts w:ascii="Times New Roman" w:hAnsi="Times New Roman" w:eastAsia="宋体" w:cs="Times New Roman"/>
          <w:sz w:val="21"/>
        </w:rPr>
        <w:t>[11] 福建省工业和信息化厅. 全国首个船舶与海洋工程行业大模型发布[EB/OL]. (2024-11-13)[2026-09-16]. https://gxt.fujian.gov.cn/zwgk/xw/jxyw/202411/t20241113_6565488.htm.</w:t>
      </w:r>
    </w:p>
    <w:p>
      <w:pPr>
        <w:spacing w:lineRule="exact" w:line="440" w:before="0" w:after="0"/>
        <w:jc w:val="left"/>
        <w:ind w:left="520" w:hanging="520"/>
      </w:pPr>
      <w:r>
        <w:rPr>
          <w:rFonts w:ascii="Times New Roman" w:hAnsi="Times New Roman" w:eastAsia="宋体" w:cs="Times New Roman"/>
          <w:sz w:val="21"/>
        </w:rPr>
        <w:t>[12] 白敬波, 陈宇, 胡锴. 大模型赋能船舶工业全周期: 技术原理、应用原则和案例分析[J]. 中国舰船研究, 2026, 21(4): 40-60.</w:t>
      </w:r>
    </w:p>
    <w:p>
      <w:pPr>
        <w:spacing w:lineRule="exact" w:line="440" w:before="0" w:after="0"/>
        <w:jc w:val="left"/>
        <w:ind w:left="520" w:hanging="520"/>
      </w:pPr>
      <w:r>
        <w:rPr>
          <w:rFonts w:ascii="Times New Roman" w:hAnsi="Times New Roman" w:eastAsia="宋体" w:cs="Times New Roman"/>
          <w:sz w:val="21"/>
        </w:rPr>
        <w:t>[13] 黄永裕, 何灵伟, 杨沂铮, 等. 三维生成式大模型在船型概念设计中的可行性研究[J]. 中国舰船研究, 2025, 20(6): 53-66.</w:t>
      </w:r>
    </w:p>
    <w:p>
      <w:pPr>
        <w:spacing w:lineRule="exact" w:line="440" w:before="0" w:after="0"/>
        <w:jc w:val="left"/>
        <w:ind w:left="520" w:hanging="520"/>
      </w:pPr>
      <w:r>
        <w:rPr>
          <w:rFonts w:ascii="Times New Roman" w:hAnsi="Times New Roman" w:eastAsia="宋体" w:cs="Times New Roman"/>
          <w:sz w:val="21"/>
        </w:rPr>
        <w:t>[14] 中国水运报. 全球最大27万立方米LNG船数字样船2.0发布[EB/OL]. (2026-04-29)[2026-09-16]. https://info.chineseshipping.com.cn/cninfo/News/202604/t20260429_1415359.shtml.</w:t>
      </w:r>
    </w:p>
    <w:p>
      <w:pPr>
        <w:spacing w:lineRule="exact" w:line="440" w:before="0" w:after="0"/>
        <w:jc w:val="left"/>
        <w:ind w:left="520" w:hanging="520"/>
      </w:pPr>
      <w:r>
        <w:rPr>
          <w:rFonts w:ascii="Times New Roman" w:hAnsi="Times New Roman" w:eastAsia="宋体" w:cs="Times New Roman"/>
          <w:sz w:val="21"/>
        </w:rPr>
        <w:t>[15] BORDBAR A, TADROS M, NAZEMIAN A, et al. Digitalisation of shipyard production planning: a review of simulation, optimisation, AI, and digital twin methods (2010-2025)[J]. Journal of Marine Science and Engineering, 2026, 14(4): 396.</w:t>
      </w:r>
    </w:p>
    <w:p>
      <w:pPr>
        <w:spacing w:lineRule="exact" w:line="440" w:before="0" w:after="0"/>
        <w:jc w:val="left"/>
        <w:ind w:left="520" w:hanging="520"/>
      </w:pPr>
      <w:r>
        <w:rPr>
          <w:rFonts w:ascii="Times New Roman" w:hAnsi="Times New Roman" w:eastAsia="宋体" w:cs="Times New Roman"/>
          <w:sz w:val="21"/>
        </w:rPr>
        <w:t>[16] SANCHEZ-FERNANDEZ A, VLAD-VOINEA E D, PERNAS-ALVAREZ J, et al. Framework for the development of a process digital twin in shipbuilding: a case study in a robotized minor pre-assembly workstation[J]. Journal of Marine Science and Engineering, 2026, 14(1): 106.</w:t>
      </w:r>
    </w:p>
    <w:p>
      <w:pPr>
        <w:spacing w:lineRule="exact" w:line="440" w:before="0" w:after="0"/>
        <w:jc w:val="left"/>
        <w:ind w:left="520" w:hanging="520"/>
      </w:pPr>
      <w:r>
        <w:rPr>
          <w:rFonts w:ascii="Times New Roman" w:hAnsi="Times New Roman" w:eastAsia="宋体" w:cs="Times New Roman"/>
          <w:sz w:val="21"/>
        </w:rPr>
        <w:t>[17] 肖嘉豪, 富威, 刘鑫宇, 等. 基于数字孪生的船舶制造车间管理系统[J]. 应用科技, 2024, 51(3): 7-14.</w:t>
      </w:r>
    </w:p>
    <w:p>
      <w:pPr>
        <w:spacing w:lineRule="exact" w:line="440" w:before="0" w:after="0"/>
        <w:jc w:val="left"/>
        <w:ind w:left="520" w:hanging="520"/>
      </w:pPr>
      <w:r>
        <w:rPr>
          <w:rFonts w:ascii="Times New Roman" w:hAnsi="Times New Roman" w:eastAsia="宋体" w:cs="Times New Roman"/>
          <w:sz w:val="21"/>
        </w:rPr>
        <w:t>[18] 中国船级社. 船舶数字化交付指南[S]. 北京: 中国船级社, 2025.</w:t>
      </w:r>
    </w:p>
    <w:p>
      <w:pPr>
        <w:spacing w:lineRule="exact" w:line="440" w:before="0" w:after="0"/>
        <w:jc w:val="left"/>
        <w:ind w:left="520" w:hanging="520"/>
      </w:pPr>
      <w:r>
        <w:rPr>
          <w:rFonts w:ascii="Times New Roman" w:hAnsi="Times New Roman" w:eastAsia="宋体" w:cs="Times New Roman"/>
          <w:sz w:val="21"/>
        </w:rPr>
        <w:t>[19] 杨泽文, 郭力, 袁昱超, 等. 大模型驱动的船舶结构健康监测系统关键技术研究综述及展望[J]. 中国舰船研究, 2025, 20(6): 3-18.</w:t>
      </w:r>
    </w:p>
    <w:p>
      <w:pPr>
        <w:spacing w:lineRule="exact" w:line="440" w:before="0" w:after="0"/>
        <w:jc w:val="left"/>
        <w:ind w:left="520" w:hanging="520"/>
      </w:pPr>
      <w:r>
        <w:rPr>
          <w:rFonts w:ascii="Times New Roman" w:hAnsi="Times New Roman" w:eastAsia="宋体" w:cs="Times New Roman"/>
          <w:sz w:val="21"/>
        </w:rPr>
        <w:t>[20] WEI P Y, LI C T, JIANG Z, et al. Real-time digital twin of ship structure deformation field based on the inverse finite element method[J]. Journal of Marine Science and Engineering, 2024, 12(2): 257.</w:t>
      </w:r>
    </w:p>
    <w:p>
      <w:pPr>
        <w:spacing w:lineRule="exact" w:line="440" w:before="0" w:after="0"/>
        <w:jc w:val="left"/>
        <w:ind w:left="520" w:hanging="520"/>
      </w:pPr>
      <w:r>
        <w:rPr>
          <w:rFonts w:ascii="Times New Roman" w:hAnsi="Times New Roman" w:eastAsia="宋体" w:cs="Times New Roman"/>
          <w:sz w:val="21"/>
        </w:rPr>
        <w:t>[21] 马枫, 王秀敏, 陈晨, 等. 双大语言模型核心驱动的自适应船舶航行智能体架构[J]. 中国舰船研究, 2025, 20(6): 101-125.</w:t>
      </w:r>
    </w:p>
    <w:p>
      <w:pPr>
        <w:spacing w:lineRule="exact" w:line="440" w:before="0" w:after="0"/>
        <w:jc w:val="left"/>
        <w:ind w:left="520" w:hanging="520"/>
      </w:pPr>
      <w:r>
        <w:rPr>
          <w:rFonts w:ascii="Times New Roman" w:hAnsi="Times New Roman" w:eastAsia="宋体" w:cs="Times New Roman"/>
          <w:sz w:val="21"/>
        </w:rPr>
        <w:t>[22] YE C, DASHTIMANESH A, JEONG Y, et al. A review on digital twin application in integrated ship design and production for decarbonisation[J]. Ocean Engineering, 2026, 359: 125925.</w:t>
      </w:r>
    </w:p>
    <w:p>
      <w:pPr>
        <w:spacing w:lineRule="exact" w:line="440" w:before="0" w:after="0"/>
        <w:jc w:val="left"/>
        <w:ind w:left="520" w:hanging="520"/>
      </w:pPr>
      <w:r>
        <w:rPr>
          <w:rFonts w:ascii="Times New Roman" w:hAnsi="Times New Roman" w:eastAsia="宋体" w:cs="Times New Roman"/>
          <w:sz w:val="21"/>
        </w:rPr>
        <w:t>[23] 工业和信息化部, 国家发展改革委, 财政部, 等. 船舶制造业绿色发展行动纲要(2024-2030年): 工信部联重装〔2023〕254号[EB/OL]. (2023-12-26)[2026-09-16]. https://www.gov.cn/zhengce/zhengceku/202312/content_6923175.htm.</w:t>
      </w:r>
    </w:p>
    <w:p>
      <w:pPr>
        <w:spacing w:lineRule="exact" w:line="440" w:before="0" w:after="0"/>
        <w:jc w:val="left"/>
        <w:ind w:left="520" w:hanging="520"/>
      </w:pPr>
      <w:r>
        <w:rPr>
          <w:rFonts w:ascii="Times New Roman" w:hAnsi="Times New Roman" w:eastAsia="宋体" w:cs="Times New Roman"/>
          <w:sz w:val="21"/>
        </w:rPr>
        <w:t>[24] 上海市人民政府办公厅. 上海市建设长兴岛世界级现代化造船基地的实施方案(2025-2027年): 沪府办发〔2025〕12号[EB/OL]. (2025-06-17)[2026-09-16]. https://www.shanghai.gov.cn/nw12344/20250716/15a17c33f5904896ab5c9e16cee2e955.html.</w:t>
      </w:r>
    </w:p>
    <w:sectPr w:rsidR="00FC693F" w:rsidRPr="0006063C" w:rsidSect="00034616">
      <w:pgSz w:w="11906" w:h="16838"/>
      <w:pgMar w:top="1440" w:right="1800" w:bottom="1440" w:left="180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jc w:val="both"/>
    </w:pPr>
    <w:rPr>
      <w:rFonts w:ascii="Times New Roman" w:hAnsi="Times New Roman" w:cs="Times New Roman" w:eastAsia="宋体"/>
      <w:sz w:val="24"/>
      <w:lang w:val="en-US"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