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40" w:before="0" w:after="120"/>
        <w:jc w:val="center"/>
      </w:pPr>
    </w:p>
    <w:p>
      <w:pPr>
        <w:spacing w:lineRule="exact" w:line="440" w:before="0" w:after="120"/>
        <w:jc w:val="center"/>
      </w:pPr>
      <w:r>
        <w:rPr>
          <w:rFonts w:ascii="Times New Roman" w:hAnsi="Times New Roman" w:eastAsia="宋体" w:cs="Times New Roman"/>
          <w:sz w:val="44"/>
        </w:rPr>
        <w:t>船舶工程学院</w:t>
      </w:r>
    </w:p>
    <w:p>
      <w:pPr>
        <w:spacing w:lineRule="exact" w:line="440" w:before="0" w:after="120"/>
        <w:jc w:val="center"/>
      </w:pPr>
    </w:p>
    <w:p>
      <w:pPr>
        <w:spacing w:lineRule="exact" w:line="440" w:before="0" w:after="120"/>
        <w:jc w:val="center"/>
      </w:pPr>
    </w:p>
    <w:p>
      <w:pPr>
        <w:spacing w:lineRule="exact" w:line="440" w:before="0" w:after="120"/>
        <w:jc w:val="center"/>
      </w:pPr>
    </w:p>
    <w:p>
      <w:pPr>
        <w:spacing w:lineRule="exact" w:line="520" w:before="0" w:after="120"/>
        <w:jc w:val="center"/>
      </w:pPr>
      <w:r>
        <w:rPr>
          <w:rFonts w:ascii="黑体" w:hAnsi="黑体" w:eastAsia="黑体" w:cs="黑体"/>
          <w:sz w:val="48"/>
        </w:rPr>
        <w:t>船海智能仿真与数字孪生</w:t>
      </w:r>
    </w:p>
    <w:p>
      <w:pPr>
        <w:spacing w:lineRule="exact" w:line="440" w:before="0" w:after="120"/>
        <w:jc w:val="center"/>
      </w:pPr>
      <w:r>
        <w:rPr>
          <w:rFonts w:ascii="黑体" w:hAnsi="黑体" w:eastAsia="黑体" w:cs="黑体"/>
          <w:sz w:val="30"/>
        </w:rPr>
        <w:t>（大作业）</w:t>
      </w:r>
    </w:p>
    <w:p>
      <w:pPr>
        <w:spacing w:lineRule="exact" w:line="440" w:before="0" w:after="120"/>
      </w:pPr>
    </w:p>
    <w:p>
      <w:pPr>
        <w:spacing w:lineRule="exact" w:line="440" w:before="0" w:after="120"/>
      </w:pPr>
    </w:p>
    <w:p>
      <w:pPr>
        <w:spacing w:lineRule="exact" w:line="440" w:before="156" w:after="0"/>
        <w:ind w:firstLine="2642"/>
      </w:pPr>
      <w:r>
        <w:rPr>
          <w:rFonts w:ascii="Times New Roman" w:hAnsi="Times New Roman" w:eastAsia="宋体" w:cs="Times New Roman"/>
          <w:sz w:val="28"/>
        </w:rPr>
        <w:t>学    号：2024065420</w:t>
      </w:r>
    </w:p>
    <w:p>
      <w:pPr>
        <w:spacing w:lineRule="exact" w:line="440" w:before="156" w:after="0"/>
        <w:ind w:firstLine="2642"/>
      </w:pPr>
      <w:r>
        <w:rPr>
          <w:rFonts w:ascii="Times New Roman" w:hAnsi="Times New Roman" w:eastAsia="宋体" w:cs="Times New Roman"/>
          <w:sz w:val="28"/>
        </w:rPr>
        <w:t>专    业：计算机科学与技术</w:t>
      </w:r>
    </w:p>
    <w:p>
      <w:pPr>
        <w:spacing w:lineRule="exact" w:line="440" w:before="156" w:after="0"/>
        <w:ind w:firstLine="2642"/>
      </w:pPr>
      <w:r>
        <w:rPr>
          <w:rFonts w:ascii="Times New Roman" w:hAnsi="Times New Roman" w:eastAsia="宋体" w:cs="Times New Roman"/>
          <w:sz w:val="28"/>
        </w:rPr>
        <w:t>学生姓名：晁政</w:t>
      </w:r>
    </w:p>
    <w:p>
      <w:pPr>
        <w:spacing w:lineRule="exact" w:line="440" w:before="156" w:after="0"/>
        <w:ind w:firstLine="2642"/>
      </w:pPr>
      <w:r>
        <w:rPr>
          <w:rFonts w:ascii="Times New Roman" w:hAnsi="Times New Roman" w:eastAsia="宋体" w:cs="Times New Roman"/>
          <w:sz w:val="28"/>
        </w:rPr>
        <w:t>任课教师：昝英飞  刘旸   李新飞</w:t>
      </w:r>
    </w:p>
    <w:p>
      <w:pPr>
        <w:spacing w:lineRule="exact" w:line="440" w:before="0" w:after="120"/>
      </w:pPr>
    </w:p>
    <w:p>
      <w:pPr>
        <w:spacing w:lineRule="exact" w:line="440" w:before="156" w:after="0"/>
      </w:pPr>
      <w:r>
        <w:rPr>
          <w:rFonts w:ascii="Times New Roman" w:hAnsi="Times New Roman" w:eastAsia="宋体" w:cs="Times New Roman"/>
          <w:sz w:val="28"/>
        </w:rPr>
        <w:t>教师评价：</w:t>
      </w:r>
    </w:p>
    <w:tbl>
      <w:tblPr>
        <w:tblW w:type="dxa" w:w="8046"/>
        <w:jc w:val="left"/>
        <w:tblLayout w:type="fixed"/>
        <w:tblLook w:firstColumn="1" w:firstRow="1" w:lastColumn="0" w:lastRow="0" w:noHBand="0" w:noVBand="1" w:val="04A0"/>
        <w:tblInd w:w="300" w:type="dxa"/>
        <w:tblLayout w:type="fixed"/>
      </w:tblPr>
      <w:tblGrid>
        <w:gridCol w:w="2700"/>
        <w:gridCol w:w="5346"/>
      </w:tblGrid>
      <w:tr>
        <w:trPr>
          <w:trHeight w:val="440" w:hRule="exact"/>
        </w:trPr>
        <w:tc>
          <w:tcPr>
            <w:tcW w:type="dxa" w:w="2700"/>
          </w:tcPr>
          <w:p>
            <w:pPr>
              <w:spacing w:lineRule="exact" w:line="440" w:before="0" w:after="0"/>
              <w:jc w:val="left"/>
            </w:pPr>
            <w:r>
              <w:rPr>
                <w:rFonts w:ascii="Times New Roman" w:hAnsi="Times New Roman" w:eastAsia="宋体" w:cs="Times New Roman"/>
                <w:sz w:val="24"/>
              </w:rPr>
              <w:t>选题符合作业要求：</w:t>
            </w:r>
          </w:p>
        </w:tc>
        <w:tc>
          <w:tcPr>
            <w:tcW w:type="dxa" w:w="5346"/>
          </w:tcPr>
          <w:p>
            <w:pPr>
              <w:spacing w:lineRule="exact" w:line="440" w:before="0" w:after="0"/>
              <w:jc w:val="left"/>
            </w:pPr>
            <w:r>
              <w:rPr>
                <w:rFonts w:ascii="Times New Roman" w:hAnsi="Times New Roman" w:eastAsia="宋体" w:cs="Times New Roman"/>
                <w:sz w:val="24"/>
              </w:rPr>
              <w:t>优秀□   良好□   中等□   及格□   不及格□</w:t>
            </w:r>
          </w:p>
        </w:tc>
      </w:tr>
      <w:tr>
        <w:trPr>
          <w:trHeight w:val="440" w:hRule="exact"/>
        </w:trPr>
        <w:tc>
          <w:tcPr>
            <w:tcW w:type="dxa" w:w="2700"/>
          </w:tcPr>
          <w:p>
            <w:pPr>
              <w:spacing w:lineRule="exact" w:line="440" w:before="0" w:after="0"/>
              <w:jc w:val="left"/>
            </w:pPr>
            <w:r>
              <w:rPr>
                <w:rFonts w:ascii="Times New Roman" w:hAnsi="Times New Roman" w:eastAsia="宋体" w:cs="Times New Roman"/>
                <w:sz w:val="24"/>
              </w:rPr>
              <w:t>学术价值/现实意义：</w:t>
            </w:r>
          </w:p>
        </w:tc>
        <w:tc>
          <w:tcPr>
            <w:tcW w:type="dxa" w:w="5346"/>
          </w:tcPr>
          <w:p>
            <w:pPr>
              <w:spacing w:lineRule="exact" w:line="440" w:before="0" w:after="0"/>
              <w:jc w:val="left"/>
            </w:pPr>
            <w:r>
              <w:rPr>
                <w:rFonts w:ascii="Times New Roman" w:hAnsi="Times New Roman" w:eastAsia="宋体" w:cs="Times New Roman"/>
                <w:sz w:val="24"/>
              </w:rPr>
              <w:t>优秀□   良好□   中等□   及格□   不及格□</w:t>
            </w:r>
          </w:p>
        </w:tc>
      </w:tr>
      <w:tr>
        <w:trPr>
          <w:trHeight w:val="440" w:hRule="exact"/>
        </w:trPr>
        <w:tc>
          <w:tcPr>
            <w:tcW w:type="dxa" w:w="2700"/>
          </w:tcPr>
          <w:p>
            <w:pPr>
              <w:spacing w:lineRule="exact" w:line="440" w:before="0" w:after="0"/>
              <w:jc w:val="left"/>
            </w:pPr>
            <w:r>
              <w:rPr>
                <w:rFonts w:ascii="Times New Roman" w:hAnsi="Times New Roman" w:eastAsia="宋体" w:cs="Times New Roman"/>
                <w:sz w:val="24"/>
              </w:rPr>
              <w:t>观点鲜明/论证充分：</w:t>
            </w:r>
          </w:p>
        </w:tc>
        <w:tc>
          <w:tcPr>
            <w:tcW w:type="dxa" w:w="5346"/>
          </w:tcPr>
          <w:p>
            <w:pPr>
              <w:spacing w:lineRule="exact" w:line="440" w:before="0" w:after="0"/>
              <w:jc w:val="left"/>
            </w:pPr>
            <w:r>
              <w:rPr>
                <w:rFonts w:ascii="Times New Roman" w:hAnsi="Times New Roman" w:eastAsia="宋体" w:cs="Times New Roman"/>
                <w:sz w:val="24"/>
              </w:rPr>
              <w:t>优秀□   良好□   中等□   及格□   不及格□</w:t>
            </w:r>
          </w:p>
        </w:tc>
      </w:tr>
      <w:tr>
        <w:trPr>
          <w:trHeight w:val="440" w:hRule="exact"/>
        </w:trPr>
        <w:tc>
          <w:tcPr>
            <w:tcW w:type="dxa" w:w="2700"/>
          </w:tcPr>
          <w:p>
            <w:pPr>
              <w:spacing w:lineRule="exact" w:line="440" w:before="0" w:after="0"/>
              <w:jc w:val="left"/>
            </w:pPr>
            <w:r>
              <w:rPr>
                <w:rFonts w:ascii="Times New Roman" w:hAnsi="Times New Roman" w:eastAsia="宋体" w:cs="Times New Roman"/>
                <w:sz w:val="24"/>
              </w:rPr>
              <w:t>结构合理/重点突出：</w:t>
            </w:r>
          </w:p>
        </w:tc>
        <w:tc>
          <w:tcPr>
            <w:tcW w:type="dxa" w:w="5346"/>
          </w:tcPr>
          <w:p>
            <w:pPr>
              <w:spacing w:lineRule="exact" w:line="440" w:before="0" w:after="0"/>
              <w:jc w:val="left"/>
            </w:pPr>
            <w:r>
              <w:rPr>
                <w:rFonts w:ascii="Times New Roman" w:hAnsi="Times New Roman" w:eastAsia="宋体" w:cs="Times New Roman"/>
                <w:sz w:val="24"/>
              </w:rPr>
              <w:t>优秀□   良好□   中等□   及格□   不及格□</w:t>
            </w:r>
          </w:p>
        </w:tc>
      </w:tr>
      <w:tr>
        <w:trPr>
          <w:trHeight w:val="440" w:hRule="exact"/>
        </w:trPr>
        <w:tc>
          <w:tcPr>
            <w:tcW w:type="dxa" w:w="2700"/>
          </w:tcPr>
          <w:p>
            <w:pPr>
              <w:spacing w:lineRule="exact" w:line="440" w:before="0" w:after="0"/>
              <w:jc w:val="left"/>
            </w:pPr>
            <w:r>
              <w:rPr>
                <w:rFonts w:ascii="Times New Roman" w:hAnsi="Times New Roman" w:eastAsia="宋体" w:cs="Times New Roman"/>
                <w:sz w:val="24"/>
              </w:rPr>
              <w:t>理论与实际相结合：</w:t>
            </w:r>
          </w:p>
        </w:tc>
        <w:tc>
          <w:tcPr>
            <w:tcW w:type="dxa" w:w="5346"/>
          </w:tcPr>
          <w:p>
            <w:pPr>
              <w:spacing w:lineRule="exact" w:line="440" w:before="0" w:after="0"/>
              <w:jc w:val="left"/>
            </w:pPr>
            <w:r>
              <w:rPr>
                <w:rFonts w:ascii="Times New Roman" w:hAnsi="Times New Roman" w:eastAsia="宋体" w:cs="Times New Roman"/>
                <w:sz w:val="24"/>
              </w:rPr>
              <w:t>优秀□   良好□   中等□   及格□   不及格□</w:t>
            </w:r>
          </w:p>
        </w:tc>
      </w:tr>
      <w:tr>
        <w:trPr>
          <w:trHeight w:val="440" w:hRule="exact"/>
        </w:trPr>
        <w:tc>
          <w:tcPr>
            <w:tcW w:type="dxa" w:w="2700"/>
          </w:tcPr>
          <w:p>
            <w:pPr>
              <w:spacing w:lineRule="exact" w:line="440" w:before="0" w:after="0"/>
              <w:jc w:val="left"/>
            </w:pPr>
            <w:r>
              <w:rPr>
                <w:rFonts w:ascii="Times New Roman" w:hAnsi="Times New Roman" w:eastAsia="宋体" w:cs="Times New Roman"/>
                <w:sz w:val="24"/>
              </w:rPr>
              <w:t>文献资料的丰富性：</w:t>
            </w:r>
          </w:p>
        </w:tc>
        <w:tc>
          <w:tcPr>
            <w:tcW w:type="dxa" w:w="5346"/>
          </w:tcPr>
          <w:p>
            <w:pPr>
              <w:spacing w:lineRule="exact" w:line="440" w:before="0" w:after="0"/>
              <w:jc w:val="left"/>
            </w:pPr>
            <w:r>
              <w:rPr>
                <w:rFonts w:ascii="Times New Roman" w:hAnsi="Times New Roman" w:eastAsia="宋体" w:cs="Times New Roman"/>
                <w:sz w:val="24"/>
              </w:rPr>
              <w:t>优秀□   良好□   中等□   及格□   不及格□</w:t>
            </w:r>
          </w:p>
        </w:tc>
      </w:tr>
      <w:tr>
        <w:trPr>
          <w:trHeight w:val="440" w:hRule="exact"/>
        </w:trPr>
        <w:tc>
          <w:tcPr>
            <w:tcW w:type="dxa" w:w="2700"/>
          </w:tcPr>
          <w:p>
            <w:pPr>
              <w:spacing w:lineRule="exact" w:line="440" w:before="0" w:after="0"/>
              <w:jc w:val="left"/>
            </w:pPr>
            <w:r>
              <w:rPr>
                <w:rFonts w:ascii="Times New Roman" w:hAnsi="Times New Roman" w:eastAsia="宋体" w:cs="Times New Roman"/>
                <w:sz w:val="24"/>
              </w:rPr>
              <w:t>论文格式的规范性：</w:t>
            </w:r>
          </w:p>
        </w:tc>
        <w:tc>
          <w:tcPr>
            <w:tcW w:type="dxa" w:w="5346"/>
          </w:tcPr>
          <w:p>
            <w:pPr>
              <w:spacing w:lineRule="exact" w:line="440" w:before="0" w:after="0"/>
              <w:jc w:val="left"/>
            </w:pPr>
            <w:r>
              <w:rPr>
                <w:rFonts w:ascii="Times New Roman" w:hAnsi="Times New Roman" w:eastAsia="宋体" w:cs="Times New Roman"/>
                <w:sz w:val="24"/>
              </w:rPr>
              <w:t>优秀□   良好□   中等□   及格□   不及格□</w:t>
            </w:r>
          </w:p>
        </w:tc>
      </w:tr>
    </w:tbl>
    <w:p>
      <w:pPr>
        <w:spacing w:lineRule="exact" w:line="440" w:before="156" w:after="0"/>
        <w:ind w:firstLine="240"/>
      </w:pPr>
      <w:r>
        <w:rPr>
          <w:rFonts w:ascii="Times New Roman" w:hAnsi="Times New Roman" w:eastAsia="宋体" w:cs="Times New Roman"/>
          <w:sz w:val="24"/>
        </w:rPr>
        <w:t xml:space="preserve">其他：　　　　　　　　　　　　　　　　　　　　</w:t>
      </w:r>
    </w:p>
    <w:p>
      <w:pPr>
        <w:spacing w:lineRule="exact" w:line="440" w:before="0" w:after="0"/>
      </w:pPr>
    </w:p>
    <w:p>
      <w:pPr>
        <w:spacing w:lineRule="exact" w:line="440" w:before="0" w:after="0"/>
      </w:pPr>
      <w:r>
        <w:rPr>
          <w:rFonts w:ascii="Times New Roman" w:hAnsi="Times New Roman" w:eastAsia="宋体" w:cs="Times New Roman"/>
          <w:sz w:val="28"/>
        </w:rPr>
        <w:t>综合成绩：</w:t>
      </w:r>
    </w:p>
    <w:p>
      <w:pPr>
        <w:spacing w:lineRule="exact" w:line="440" w:before="0" w:after="0"/>
      </w:pPr>
    </w:p>
    <w:p>
      <w:pPr>
        <w:spacing w:lineRule="exact" w:line="520" w:before="0" w:after="0"/>
        <w:jc w:val="center"/>
      </w:pPr>
      <w:r>
        <w:rPr>
          <w:rFonts w:ascii="Times New Roman" w:hAnsi="Times New Roman" w:eastAsia="宋体" w:cs="Times New Roman"/>
          <w:sz w:val="36"/>
        </w:rPr>
        <w:t>2026年10月</w:t>
      </w:r>
    </w:p>
    <w:p>
      <w:pPr>
        <w:pageBreakBefore/>
        <w:spacing w:lineRule="exact" w:line="440" w:before="0" w:after="0"/>
        <w:jc w:val="center"/>
      </w:pPr>
      <w:r>
        <w:rPr>
          <w:rFonts w:ascii="黑体" w:hAnsi="黑体" w:eastAsia="黑体" w:cs="黑体"/>
          <w:sz w:val="36"/>
        </w:rPr>
        <w:t>面向船舶装备全生命周期的智能仿真与数字孪生技术研究——以大型邮轮和大型LNG运输船为例</w:t>
      </w:r>
    </w:p>
    <w:p>
      <w:pPr>
        <w:spacing w:lineRule="exact" w:line="440" w:before="0" w:after="0"/>
      </w:pPr>
    </w:p>
    <w:p>
      <w:pPr>
        <w:spacing w:lineRule="exact" w:line="440" w:before="0" w:after="0"/>
        <w:ind w:left="840" w:hanging="840"/>
      </w:pPr>
      <w:r>
        <w:rPr>
          <w:rFonts w:ascii="黑体" w:hAnsi="黑体" w:eastAsia="黑体" w:cs="黑体"/>
          <w:sz w:val="21"/>
        </w:rPr>
        <w:t>摘  要：</w:t>
      </w:r>
      <w:r>
        <w:rPr>
          <w:rFonts w:ascii="Times New Roman" w:hAnsi="Times New Roman" w:eastAsia="宋体" w:cs="Times New Roman"/>
          <w:sz w:val="21"/>
        </w:rPr>
        <w:t>智能仿真与数字孪生是船舶与海洋工程装备数字化转型的核心使能技术。本文以大型邮轮和大型液化天然气（LNG）运输船两类高技术船舶装备为对象，从计算机科学"数据—模型—算法—平台"的层次视角，分析了两类装备的技术特征及其在设计、建造、运营各阶段对智能仿真与数字孪生的差异化需求，讨论了机理模型与数据驱动模型的融合关系。结合2024—2026年国内工程实践，从国产CAE一体化平台"浪花"、第二艘国产大型邮轮与27万立方米级LNG运输船数字样船的建造数字化、运营阶段的运维数字孪生与数字化交付规范、以"文鳐"为代表的船海行业大模型四个方面梳理了应用现状，并按生命周期阶段、船型、成熟度和智能化层级对典型案例作了归类评估。研究表明，设计与建造阶段已形成可用的"仿真—孪生"工具链并取得可量化的效率收益，但运营阶段孪生尚未闭环，大模型应用仍以知识服务为主；制约因素集中在数据贯通、模型保真度与实时性的平衡、大模型可信性以及工业软件自主可控四个层面。面向未来3—5年，本文提出了高保真仿真轻量化、孪生体标准化贯通、大模型由知识问答走向规划引擎、虚实闭环由"可视"走向"可控"等方向，并从国产软件底座、可信数据空间、重点船型示范工程和复合型人才四个方面提出建议。</w:t>
      </w:r>
    </w:p>
    <w:p>
      <w:pPr>
        <w:spacing w:lineRule="exact" w:line="440" w:before="0" w:after="0"/>
        <w:ind w:left="840" w:hanging="840"/>
      </w:pPr>
      <w:r>
        <w:rPr>
          <w:rFonts w:ascii="黑体" w:hAnsi="黑体" w:eastAsia="黑体" w:cs="黑体"/>
          <w:sz w:val="21"/>
        </w:rPr>
        <w:t>关键词：</w:t>
      </w:r>
      <w:r>
        <w:rPr>
          <w:rFonts w:ascii="Times New Roman" w:hAnsi="Times New Roman" w:eastAsia="宋体" w:cs="Times New Roman"/>
          <w:sz w:val="21"/>
        </w:rPr>
        <w:t>数字孪生  智能仿真  行业大模型  大型邮轮  LNG运输船  全生命周期</w:t>
      </w:r>
    </w:p>
    <w:p>
      <w:pPr>
        <w:spacing w:lineRule="exact" w:line="440" w:before="0" w:after="0"/>
      </w:pPr>
    </w:p>
    <w:p>
      <w:pPr>
        <w:spacing w:lineRule="exact" w:line="440" w:before="160" w:after="0"/>
      </w:pPr>
      <w:r>
        <w:rPr>
          <w:rFonts w:ascii="黑体" w:hAnsi="黑体" w:eastAsia="黑体" w:cs="黑体"/>
          <w:sz w:val="24"/>
        </w:rPr>
        <w:t>1 引言</w:t>
      </w:r>
    </w:p>
    <w:p>
      <w:pPr>
        <w:spacing w:lineRule="exact" w:line="440" w:before="0" w:after="0"/>
        <w:ind w:firstLineChars="200"/>
      </w:pPr>
      <w:r>
        <w:rPr>
          <w:rFonts w:ascii="Times New Roman" w:hAnsi="Times New Roman" w:eastAsia="宋体" w:cs="Times New Roman"/>
          <w:sz w:val="24"/>
        </w:rPr>
        <w:t>建设海洋强国是我国的重大战略部署，船舶与海洋工程装备是经略海洋的物质基础，也是衡量高端制造能力的重要标尺。我国造船业已连续16年保持国际市场份额全球第一，2026年上半年新承接订单量达到1.21亿载重吨，同比增长173.1%，半年即刷新了以往任何一年的全年纪录[1]。规模领先并不等于能力领先。吴有生等对行业发展现状的战略研判指出，研发模式正向数字化打底、智能化设计为核心的方向转变，船岸一体化、数字孪生与大模型应用是亟待突破的关键技术[2]；蔡鹏等则指出，船舶数字化、智能化的成败在很大程度上取决于工业软件，而国产软件在功能广度、仿真深度和稳定性上仍有明显差距[3]。与此同时，国务院2025年8月印发的《关于深入实施"人工智能+"行动的意见》要求人工智能覆盖从设计、中试到生产、服务、运营的每一个环节[4]；工业和信息化部等八部门同年12月印发的《"人工智能+制造"专项行动实施意见》更为船舶行业单列条款，把建设行业大模型、革新研发设计模式列为明确任务[5]。</w:t>
      </w:r>
    </w:p>
    <w:p>
      <w:pPr>
        <w:spacing w:lineRule="exact" w:line="440" w:before="0" w:after="0"/>
        <w:ind w:firstLineChars="200"/>
      </w:pPr>
      <w:r>
        <w:rPr>
          <w:rFonts w:ascii="Times New Roman" w:hAnsi="Times New Roman" w:eastAsia="宋体" w:cs="Times New Roman"/>
          <w:sz w:val="24"/>
        </w:rPr>
        <w:t>笔者的专业是计算机科学与技术，因而更习惯用"数据—模型—算法—平台"的层次结构来理解船海装备的数字孪生：它以物理装备为映射对象，以多源异构数据为纽带，以机理仿真模型和人工智能算法为内核，以软件平台为承载，本质上是一个信息物理融合系统。本文选取大型邮轮与大型LNG运输船这两类我国近年取得突破的高技术船舶作为对象，依次讨论其技术特征与孪生需求、2024—2026年的应用现状、现存瓶颈，以及未来3—5年的发展方向与建议。</w:t>
      </w:r>
    </w:p>
    <w:p>
      <w:pPr>
        <w:spacing w:lineRule="exact" w:line="440" w:before="160" w:after="0"/>
      </w:pPr>
      <w:r>
        <w:rPr>
          <w:rFonts w:ascii="黑体" w:hAnsi="黑体" w:eastAsia="黑体" w:cs="黑体"/>
          <w:sz w:val="24"/>
        </w:rPr>
        <w:t>2 大型邮轮与LNG运输船的特点及其技术需求</w:t>
      </w:r>
    </w:p>
    <w:p>
      <w:pPr>
        <w:spacing w:lineRule="exact" w:line="440" w:before="60" w:after="0"/>
      </w:pPr>
      <w:r>
        <w:rPr>
          <w:rFonts w:ascii="黑体" w:hAnsi="黑体" w:eastAsia="黑体" w:cs="黑体"/>
          <w:sz w:val="24"/>
        </w:rPr>
        <w:t>2.1 两类装备的技术特征</w:t>
      </w:r>
    </w:p>
    <w:p>
      <w:pPr>
        <w:spacing w:lineRule="exact" w:line="440" w:before="0" w:after="0"/>
        <w:ind w:firstLineChars="200"/>
      </w:pPr>
      <w:r>
        <w:rPr>
          <w:rFonts w:ascii="Times New Roman" w:hAnsi="Times New Roman" w:eastAsia="宋体" w:cs="Times New Roman"/>
          <w:sz w:val="24"/>
        </w:rPr>
        <w:t>第一，超大规模、高度定制的离散制造产品。第二艘国产大型邮轮"爱达·花城号"总吨14.19万，全船零部件超过2500万个、线缆总长超过4700 km[6]，其复杂度主要来自公共区域、客房和数千套设备的密集集成，设计变更极易沿工艺链放大。大型LNG运输船的复杂度则集中在货物围护系统：薄膜型围护系统（如NO96型采用殷瓦钢薄膜）对焊接质量和精度控制的要求极为苛刻，单艘船的液货舱焊缝长达数万米[7]。两者都是单件小批量生产，周期长达数年，几十个专业并行协同。</w:t>
      </w:r>
    </w:p>
    <w:p>
      <w:pPr>
        <w:spacing w:lineRule="exact" w:line="440" w:before="0" w:after="0"/>
        <w:ind w:firstLineChars="200"/>
      </w:pPr>
      <w:r>
        <w:rPr>
          <w:rFonts w:ascii="Times New Roman" w:hAnsi="Times New Roman" w:eastAsia="宋体" w:cs="Times New Roman"/>
          <w:sz w:val="24"/>
        </w:rPr>
        <w:t>第二，多物理场强耦合的服役环境。船舶性能由水动力、结构、推进、振动噪声等多个物理场共同决定。对邮轮而言，振动噪声和乘客舒适度是硬约束，需要在设计早期完成全船振动特性预报；对LNG船而言，液舱晃荡与船体运动之间存在双向流固耦合，还要考虑深冷条件下的材料与温度场问题。这类装备对高保真数值仿真的依赖是与生俱来的。</w:t>
      </w:r>
    </w:p>
    <w:p>
      <w:pPr>
        <w:spacing w:lineRule="exact" w:line="440" w:before="0" w:after="0"/>
        <w:ind w:firstLineChars="200"/>
      </w:pPr>
      <w:r>
        <w:rPr>
          <w:rFonts w:ascii="Times New Roman" w:hAnsi="Times New Roman" w:eastAsia="宋体" w:cs="Times New Roman"/>
          <w:sz w:val="24"/>
        </w:rPr>
        <w:t>第三，服役期长而运行空间分散。船舶设计寿命通常在25年左右，航行于全球海域，设计、建造与营运数据分别掌握在设计院所、船厂、船东、船级社和设备商手中。数据在主体之间难以流动，是全生命周期数字孪生难以闭环的直接原因。</w:t>
      </w:r>
    </w:p>
    <w:p>
      <w:pPr>
        <w:spacing w:lineRule="exact" w:line="440" w:before="0" w:after="0"/>
        <w:ind w:firstLineChars="200"/>
      </w:pPr>
      <w:r>
        <w:rPr>
          <w:rFonts w:ascii="Times New Roman" w:hAnsi="Times New Roman" w:eastAsia="宋体" w:cs="Times New Roman"/>
          <w:sz w:val="24"/>
        </w:rPr>
        <w:t>第四，强规范约束与知识密集。设计建造须满足国际海事组织公约、船级社规范和大量行业标准，工程知识主要以规范文本、图纸和专家经验的形式离散存在。邮轮还叠加了安全返港、消防分区等特殊规范。这一特征既是行业痛点，也是大模型知识工程最具价值的切入点。</w:t>
      </w:r>
    </w:p>
    <w:p>
      <w:pPr>
        <w:spacing w:lineRule="exact" w:line="440" w:before="0" w:after="0"/>
        <w:ind w:firstLineChars="200"/>
      </w:pPr>
      <w:r>
        <w:rPr>
          <w:rFonts w:ascii="Times New Roman" w:hAnsi="Times New Roman" w:eastAsia="宋体" w:cs="Times New Roman"/>
          <w:sz w:val="24"/>
        </w:rPr>
        <w:t>第五，绿色低碳带来新增需求。国际海事组织温室气体减排战略以及现有船舶能效指数、碳强度指标的实施，使能效仿真、排放核算与运营优化成为孪生体必须承载的功能；LNG船本身也是绿色船型的主力，"爱达·花城号"则加装了脱硫和选择性催化还原系统以满足更严格的排放标准。</w:t>
      </w:r>
    </w:p>
    <w:p>
      <w:pPr>
        <w:spacing w:lineRule="exact" w:line="440" w:before="60" w:after="0"/>
      </w:pPr>
      <w:r>
        <w:rPr>
          <w:rFonts w:ascii="黑体" w:hAnsi="黑体" w:eastAsia="黑体" w:cs="黑体"/>
          <w:sz w:val="24"/>
        </w:rPr>
        <w:t>2.2 全生命周期的核心技术需求</w:t>
      </w:r>
    </w:p>
    <w:p>
      <w:pPr>
        <w:spacing w:lineRule="exact" w:line="440" w:before="0" w:after="0"/>
        <w:ind w:firstLineChars="200"/>
      </w:pPr>
      <w:r>
        <w:rPr>
          <w:rFonts w:ascii="Times New Roman" w:hAnsi="Times New Roman" w:eastAsia="宋体" w:cs="Times New Roman"/>
          <w:sz w:val="24"/>
        </w:rPr>
        <w:t>设计阶段的需求可概括为"仿真前移与智能加速"。传统计算流体力学（CFD）与有限元分析（FEA）计算成本高、周期长，难以支撑多方案迭代和多学科协同优化。行业需要以代理模型、降阶模型、物理信息神经网络等数据驱动方法构建智能仿真能力，把小时级乃至天级的性能预报压缩到分钟级甚至秒级，从而在更大的方案空间中寻优。</w:t>
      </w:r>
    </w:p>
    <w:p>
      <w:pPr>
        <w:spacing w:lineRule="exact" w:line="440" w:before="0" w:after="0"/>
        <w:ind w:firstLineChars="200"/>
      </w:pPr>
      <w:r>
        <w:rPr>
          <w:rFonts w:ascii="Times New Roman" w:hAnsi="Times New Roman" w:eastAsia="宋体" w:cs="Times New Roman"/>
          <w:sz w:val="24"/>
        </w:rPr>
        <w:t>建造阶段的需求可概括为"虚实同步与以虚控实"。船厂需要在分段制造、涂装、总组、搭载和舾装等环节建立生产过程数字孪生，实现排产、物流、精度控制和质量追溯的动态优化。对邮轮这样以内装和系统集成为主的产品，需求重心在于设计模型与现场施工的实时比对以及海量修改单的管理；对LNG船，需求重心在于围护系统焊接质量的在线监控与工艺仿真。</w:t>
      </w:r>
    </w:p>
    <w:p>
      <w:pPr>
        <w:spacing w:lineRule="exact" w:line="440" w:before="0" w:after="0"/>
        <w:ind w:firstLineChars="200"/>
      </w:pPr>
      <w:r>
        <w:rPr>
          <w:rFonts w:ascii="Times New Roman" w:hAnsi="Times New Roman" w:eastAsia="宋体" w:cs="Times New Roman"/>
          <w:sz w:val="24"/>
        </w:rPr>
        <w:t>运营阶段的需求可概括为"智能运维与能效优化"。需要对主机、推进、电力和船体结构等关键系统建立运行数字孪生，支撑状态监测、故障预测与健康管理、航线与能效优化以及碳排放核算。邮轮的重点是暖通空调（HVAC）等酒店负荷的能耗优化与数千套设备的预测性维护，LNG船的重点是围护系统状态评估与蒸发气处理系统的能效管理。</w:t>
      </w:r>
    </w:p>
    <w:p>
      <w:pPr>
        <w:spacing w:lineRule="exact" w:line="440" w:before="0" w:after="0"/>
        <w:ind w:firstLineChars="200"/>
      </w:pPr>
      <w:r>
        <w:rPr>
          <w:rFonts w:ascii="Times New Roman" w:hAnsi="Times New Roman" w:eastAsia="宋体" w:cs="Times New Roman"/>
          <w:sz w:val="24"/>
        </w:rPr>
        <w:t>贯穿全生命周期的共性需求是"数据贯通与可信智能"：设计模型、建造数据与营运数据必须在同一孪生体上持续迭代才能闭环，而应用于安全攸关场景的人工智能模型必须受行业知识约束、结果可解释、整体安全可控。</w:t>
      </w:r>
    </w:p>
    <w:p>
      <w:pPr>
        <w:spacing w:lineRule="exact" w:line="440" w:before="60" w:after="0"/>
      </w:pPr>
      <w:r>
        <w:rPr>
          <w:rFonts w:ascii="黑体" w:hAnsi="黑体" w:eastAsia="黑体" w:cs="黑体"/>
          <w:sz w:val="24"/>
        </w:rPr>
        <w:t>2.3 智能仿真与数字孪生的内在联系</w:t>
      </w:r>
    </w:p>
    <w:p>
      <w:pPr>
        <w:spacing w:lineRule="exact" w:line="440" w:before="0" w:after="0"/>
        <w:ind w:firstLineChars="200"/>
      </w:pPr>
      <w:r>
        <w:rPr>
          <w:rFonts w:ascii="Times New Roman" w:hAnsi="Times New Roman" w:eastAsia="宋体" w:cs="Times New Roman"/>
          <w:sz w:val="24"/>
        </w:rPr>
        <w:t>数字孪生的基本构成是物理实体、虚拟实体及二者间的双向数据连接。陶飞等在此基础上提出了包含物理实体、虚拟实体、服务、孪生数据和连接的五维模型，为工业数字孪生提供了通用框架[8]。杨少龙等较早将该理念引入船舶领域，论述了数字孪生服务船舶全生命周期的技术路径[9]；Mauro与Kana对船舶全寿期数字孪生研究作了批判性系统综述，梳理了该技术在设计、建造与营运各阶段的应用边界[10]。中国船级社2022年发布的《船舶与海上设施数字孪生系统指南》，则从检验视角把应用场景界定为精细化设计、智能建造检验与营运优化管理三类[11]。</w:t>
      </w:r>
    </w:p>
    <w:p>
      <w:pPr>
        <w:spacing w:lineRule="exact" w:line="440" w:before="0" w:after="0"/>
        <w:ind w:firstLineChars="200"/>
      </w:pPr>
      <w:r>
        <w:rPr>
          <w:rFonts w:ascii="Times New Roman" w:hAnsi="Times New Roman" w:eastAsia="宋体" w:cs="Times New Roman"/>
          <w:sz w:val="24"/>
        </w:rPr>
        <w:t>从计算机科学的角度看，虚拟实体的内核是"模型"。机理模型保证物理一致性但计算昂贵，数据驱动模型具备实时性与自适应能力但缺乏外推保证，智能仿真正是二者的融合：通过代理模型与降阶模型把高保真仿真压缩为可实时运行的孪生模型，通过数据同化用实测数据持续校正模型偏差，再通过大模型把复杂的仿真工具链封装为可由自然语言调用的智能体。这一判断可以从后文的案例得到印证——沪东中华的LNG船数字样船之所以能从"看得见"升级为"算得准"，正是因为在三维模型中嵌入了工程、工艺和制造三类仿真。因此可以说，智能仿真是数字孪生的"计算引擎"，数字孪生是智能仿真的"运行载体"，而行业大模型正在成为连接二者的"交互层与调度层"。</w:t>
      </w:r>
    </w:p>
    <w:p>
      <w:pPr>
        <w:spacing w:lineRule="exact" w:line="440" w:before="160" w:after="0"/>
      </w:pPr>
      <w:r>
        <w:rPr>
          <w:rFonts w:ascii="黑体" w:hAnsi="黑体" w:eastAsia="黑体" w:cs="黑体"/>
          <w:sz w:val="24"/>
        </w:rPr>
        <w:t>3 技术应用现状（2024—2026年）</w:t>
      </w:r>
    </w:p>
    <w:p>
      <w:pPr>
        <w:spacing w:lineRule="exact" w:line="440" w:before="60" w:after="0"/>
      </w:pPr>
      <w:r>
        <w:rPr>
          <w:rFonts w:ascii="黑体" w:hAnsi="黑体" w:eastAsia="黑体" w:cs="黑体"/>
          <w:sz w:val="24"/>
        </w:rPr>
        <w:t>3.1 设计阶段：国产CAE一体化平台与智能预报</w:t>
      </w:r>
    </w:p>
    <w:p>
      <w:pPr>
        <w:spacing w:lineRule="exact" w:line="440" w:before="0" w:after="0"/>
        <w:ind w:firstLineChars="200"/>
      </w:pPr>
      <w:r>
        <w:rPr>
          <w:rFonts w:ascii="Times New Roman" w:hAnsi="Times New Roman" w:eastAsia="宋体" w:cs="Times New Roman"/>
          <w:sz w:val="24"/>
        </w:rPr>
        <w:t>我国船舶设计仿真长期依赖国外通用软件，自主可控风险突出。2025年12月初的中国国际海事会展上，由中国船舶集团第七〇二研究所和哈尔滨工程大学牵头、20多家国内单位参与研制的船舶计算机辅助工程（CAE）一体化工业软件"浪花"平台首次公开亮相[12]。与国外通用仿真软件不同，该平台把性能仿真、合同设计和面向船级社的数字化送审、退审放进同一套软件里完成。它在统一的数据智能底座和求解器底座之上集成了78个功能模块，覆盖流体、结构、海工、智能预报和合同设计等领域，前后攻关3年，并用七〇二所积累的大量试验数据校准了各模块的预报精度。截至发布时，已有15家以上设计院所和船厂参与验证，"爱达·魔都"号邮轮、超大型油船、LNG运输船等10余个实船项目使用了该平台，合同设计时间由数月压缩到数周，送审退审效率提高一半以上[12]。需要说明的是，公开资料尚未披露平台在邮轮和LNG船项目中具体承担的仿真环节，上述效率数据也来自发布方口径。</w:t>
      </w:r>
    </w:p>
    <w:p>
      <w:pPr>
        <w:spacing w:lineRule="exact" w:line="440" w:before="0" w:after="0"/>
        <w:ind w:firstLineChars="200"/>
      </w:pPr>
      <w:r>
        <w:rPr>
          <w:rFonts w:ascii="Times New Roman" w:hAnsi="Times New Roman" w:eastAsia="宋体" w:cs="Times New Roman"/>
          <w:sz w:val="24"/>
        </w:rPr>
        <w:t>平台内置了依托知识图谱自动匹配船型与适用规范、快速评估集装箱船性能等特色模块，并允许用户以拖拽方式低代码地编排仿真流程，这实质上是把"智能"嵌入了流程编排层面。在模型层面，哈尔滨工程大学与七〇二所等单位共建的"兴海"船海学科专有模型采用物理信息神经网络作为代理模型，把以往需要一周甚至一个月的船舶流体与结构性能测算压缩至毫秒级[13]——它与后文的大语言模型属于不同技术路线，是"高保真仿真—数据—代理模型"闭环的直观例证。Htein等对船舶水动力与结构设计中人工智能优化方法的综述表明，代理模型与深度学习正在改变传统的设计寻优范式[14]。邮轮设计侧的仿真加速则更早出现：外高桥造船在首制邮轮上打通三维设计与有限元的模型转换后，由全船三维模型生成三舱段有限元模型的时间从2—3周缩短到2—3天[15]。</w:t>
      </w:r>
    </w:p>
    <w:p>
      <w:pPr>
        <w:spacing w:lineRule="exact" w:line="440" w:before="60" w:after="0"/>
      </w:pPr>
      <w:r>
        <w:rPr>
          <w:rFonts w:ascii="黑体" w:hAnsi="黑体" w:eastAsia="黑体" w:cs="黑体"/>
          <w:sz w:val="24"/>
        </w:rPr>
        <w:t>3.2 建造阶段：从数字样船到数字化船厂</w:t>
      </w:r>
    </w:p>
    <w:p>
      <w:pPr>
        <w:spacing w:lineRule="exact" w:line="440" w:before="0" w:after="0"/>
        <w:ind w:firstLineChars="200"/>
      </w:pPr>
      <w:r>
        <w:rPr>
          <w:rFonts w:ascii="Times New Roman" w:hAnsi="Times New Roman" w:eastAsia="宋体" w:cs="Times New Roman"/>
          <w:sz w:val="24"/>
        </w:rPr>
        <w:t>建造阶段是当前数字孪生收益最可量化的环节，两艘国产大型邮轮的对比提供了少见的官方口径数据。首制船"爱达·魔都号"建造期间依托Smart 3D建立了超过1000 GB的全船三维模型，构建了邮轮数据服务平台，并以新一代造船云平台SWS TIME对设计、计划、质量、完工等要素实施全生命周期数字化管控；专为邮轮薄板分段建设的智能车间实现5G全覆盖和27型设备的物联集中管控，集配物流系统也采用了数字孪生技术[16]。易国伟等把这一体系概括为"以三维模型为核心的数据中心并集成工艺仿真资源"[17]。在此基础上，第二艘邮轮"爱达·花城号"在开工前就依托高精度三维模型完成了绝大部分"虚拟建造"和"数字合龙"，把管线碰撞等问题消灭在设计阶段：据科技日报报道，现场修改量比首制船减少约80%，修改单从近5.8万份降至7000余份；由人工智能排定的生产计划使车间产能提高25%；1100多个客房单元在工厂预制后整体吊装，单舱安装工时从约200小时降到不足50小时；设计建造总周期缩短8个月，建造工时压缩20%以上[18]。这组数据说明，产品级数字孪生（全船模型与虚拟建造）、工艺级数字孪生（薄板车间与集配物流）和管理级数字孪生（SWS TIME）三个层次的叠加，是效率提升的真正来源，而不是单一技术的功劳。外高桥造船在"十四五"总结中把这一体系称为"数字孪生船厂"，并成为船舶行业首家通过数字化转型贯标四星级评估的企业[19]。</w:t>
      </w:r>
    </w:p>
    <w:p>
      <w:pPr>
        <w:spacing w:lineRule="exact" w:line="440" w:before="0" w:after="0"/>
        <w:ind w:firstLineChars="200"/>
      </w:pPr>
      <w:r>
        <w:rPr>
          <w:rFonts w:ascii="Times New Roman" w:hAnsi="Times New Roman" w:eastAsia="宋体" w:cs="Times New Roman"/>
          <w:sz w:val="24"/>
        </w:rPr>
        <w:t>LNG船的建造数字化聚焦于数字样船与围护系统工艺。2026年4月，沪东中华发布了27万立方米级LNG运输船数字样船2.0：它依托自主研发的全三维设计系统和沉浸式虚拟仿真环境，把CAE、计算机辅助工艺规划（CAPP）和计算机辅助制造（CAM）三类仿真集成到同一模型上，使原本只能"看"的静态三维模型变成了能在设计、工艺规划和制造三个环节上"算"的虚拟试验场[20]。在产线层面，沪东中华长兴基地同时在建的LNG船达19艘，自动化焊接率超过95%，液货舱单舱4万米焊缝的一次合格率达到99%以上，模块化建造使码头周期缩短2—3个月[7]。国内其他船厂也在推进类似实践：江南造船实现了无纸化总装建造并将数字造船方案推广到20余型船舶[21]，北海造船于2026年6月上线了覆盖人、车、物、设备、场地的厂区级数字孪生平台[22]。这些实践与国际研究方向一致：Bordbar等对2010—2025年船厂生产计划数字化的综述归纳了仿真、优化、人工智能与数字孪生四类方法的演进[23]；Sánchez-Fernández等依据ISO 23247框架在机器人小组立工位上构建了完整的过程数字孪生[24]；国内肖嘉豪等也面向船舶制造车间设计了数字孪生管理系统[25]。</w:t>
      </w:r>
    </w:p>
    <w:p>
      <w:pPr>
        <w:spacing w:lineRule="exact" w:line="440" w:before="60" w:after="0"/>
      </w:pPr>
      <w:r>
        <w:rPr>
          <w:rFonts w:ascii="黑体" w:hAnsi="黑体" w:eastAsia="黑体" w:cs="黑体"/>
          <w:sz w:val="24"/>
        </w:rPr>
        <w:t>3.3 运营阶段：运维数字孪生与数据交付</w:t>
      </w:r>
    </w:p>
    <w:p>
      <w:pPr>
        <w:spacing w:lineRule="exact" w:line="440" w:before="0" w:after="0"/>
        <w:ind w:firstLineChars="200"/>
      </w:pPr>
      <w:r>
        <w:rPr>
          <w:rFonts w:ascii="Times New Roman" w:hAnsi="Times New Roman" w:eastAsia="宋体" w:cs="Times New Roman"/>
          <w:sz w:val="24"/>
        </w:rPr>
        <w:t>建造期孪生延伸为营运期孪生的前提，是数据能够跨越交付这一环节。中国船级社2025年7月起施行的《船舶数字化交付指南》要求船厂把船舶及船用产品数据完整、准确地以数字形式交给船东，目的正是让设计、建造阶段的数据进入营运阶段[26]；同年施行的《智能船舶规范》新增了"船体结构监测及辅助决策"附加标志，并对甲醇、氨等低闪点燃料系统的智能机舱监测提出要求[27]；2025年10月，中国远洋海运集团与中国船级社联合发布《数字船舶白皮书》，提出以统一语义、唯一数字身份和可信数据空间构建跨主体的"数字船舶"数据底座[28]。这三份文件共同构成了运营期数字孪生的制度接口。</w:t>
      </w:r>
    </w:p>
    <w:p>
      <w:pPr>
        <w:spacing w:lineRule="exact" w:line="440" w:before="0" w:after="0"/>
        <w:ind w:firstLineChars="200"/>
      </w:pPr>
      <w:r>
        <w:rPr>
          <w:rFonts w:ascii="Times New Roman" w:hAnsi="Times New Roman" w:eastAsia="宋体" w:cs="Times New Roman"/>
          <w:sz w:val="24"/>
        </w:rPr>
        <w:t>就两类船型而言，LNG船的运营孪生已出现实船级尝试：上海海事大学2025年12月启用的LNG船舶智能与创新实验室提出数字孪生船与新建LNG船同步交付，用于运维管理和船员培训[29]。邮轮方面，国际学术界已用中型邮轮验证了HVAC系统的数字孪生能效优化[30]，但国内两艘邮轮公开的运营数字化仍以旅客服务智能化和运营数据反馈设计为主，例如运营方把首制船收集的消费者偏好直接反馈到第二艘船的设计中[6]，能效数字孪生尚无公开的落地数据。在技术方向上，船体结构健康监测与设备预测性维护最为活跃：杨泽文等综述了大模型驱动的船舶结构健康监测关键技术[31]；Wei等基于逆有限元方法构建了船体结构变形场的实时数字孪生，展示了用稀疏应变测点重构全场响应的路线[32]；马枫等提出了由双大语言模型驱动的自适应航行智能体架构[33]。工程侧的一个例证来自其他船型：据厦门日报报道，基于"文鳐"构建的轮机智能体2026年5月在长江干流一艘营运油轮上通过实时研判主机上百项参数，识别出燃油系统核心部件的早期异常[34]。Ye等的综述进一步指出，面向脱碳目标的设计与生产一体化数字孪生正成为新热点[35]。</w:t>
      </w:r>
    </w:p>
    <w:p>
      <w:pPr>
        <w:spacing w:lineRule="exact" w:line="440" w:before="60" w:after="0"/>
      </w:pPr>
      <w:r>
        <w:rPr>
          <w:rFonts w:ascii="黑体" w:hAnsi="黑体" w:eastAsia="黑体" w:cs="黑体"/>
          <w:sz w:val="24"/>
        </w:rPr>
        <w:t>3.4 贯穿全周期：船海行业大模型</w:t>
      </w:r>
    </w:p>
    <w:p>
      <w:pPr>
        <w:spacing w:lineRule="exact" w:line="440" w:before="0" w:after="0"/>
        <w:ind w:firstLineChars="200"/>
      </w:pPr>
      <w:r>
        <w:rPr>
          <w:rFonts w:ascii="Times New Roman" w:hAnsi="Times New Roman" w:eastAsia="宋体" w:cs="Times New Roman"/>
          <w:sz w:val="24"/>
        </w:rPr>
        <w:t>2024年11月10日，厦门理工学院联合众数信科、福建省船舶工业集团等11家政产学研单位在厦门发布了"文鳐"大模型，发布方称其为我国首个船舶与海洋工程行业大模型[36]。其技术路线可概括为三点：用自反思链提高检索与推理可靠性，用多模态融合处理图纸与文本，用多智能体协同分解复杂任务；知识层面整合了涵盖设计、法规、船型工艺、海工规范、港航气象、海洋政务和教学科研的七类专业知识库。据合作方百度智能云披露，该模型将船舶设计场景的方案生成周期由2—3周缩短至半小时量级，故障预测性检修方案采纳率达到92%[37]；到2026年年中，据发布方统计，使用企业已接近80家，应用范围从设计、运维延伸到监管、培训和政务办公，并推出了分别扮演船舶设计师、轮机长和船长角色的三类专家智能体[38]。这些数据均为发布方或合作方口径，其中"方案采纳率"的统计口径并未公开。</w:t>
      </w:r>
    </w:p>
    <w:p>
      <w:pPr>
        <w:spacing w:lineRule="exact" w:line="440" w:before="0" w:after="0"/>
        <w:ind w:firstLineChars="200"/>
      </w:pPr>
      <w:r>
        <w:rPr>
          <w:rFonts w:ascii="Times New Roman" w:hAnsi="Times New Roman" w:eastAsia="宋体" w:cs="Times New Roman"/>
          <w:sz w:val="24"/>
        </w:rPr>
        <w:t>中国船舶集团内部的大模型应用同样以知识服务为切入口：2025年2月，集团经济研究中心研制的"百舸"大模型接入国产推理模型，面向市场研判与情报分析提供研报写作和文档解读[39]；外高桥造船同期上线本地化部署的大模型平台，首批助手聚焦制度解读、技术文档翻译和法规解读[40]。可以看出，船厂与院所落地大模型的首选场景普遍是低风险、高频次的知识密集型任务，尚未进入设计计算与工艺决策的核心环节。白敬波等对大模型赋能船舶工业全周期的系统论述归纳出三条原则：行业知识必须作为硬约束嵌入模型，大模型应承担任务规划而非直接求解的角色，最终形态应是围绕大模型组织的智能体系统；他们同时指出数据质量、实时性与可解释性是落地的三大瓶颈[41]。黄永裕等则探索了三维生成式模型在船型概念设计中的可行性，代表了大模型向几何生成这一更深层环节的推进[42]。</w:t>
      </w:r>
    </w:p>
    <w:p>
      <w:pPr>
        <w:spacing w:lineRule="exact" w:line="440" w:before="60" w:after="0"/>
      </w:pPr>
      <w:r>
        <w:rPr>
          <w:rFonts w:ascii="黑体" w:hAnsi="黑体" w:eastAsia="黑体" w:cs="黑体"/>
          <w:sz w:val="24"/>
        </w:rPr>
        <w:t>3.5 现状小结</w:t>
      </w:r>
    </w:p>
    <w:p>
      <w:pPr>
        <w:spacing w:lineRule="exact" w:line="440" w:before="0" w:after="0"/>
        <w:ind w:firstLineChars="200"/>
      </w:pPr>
      <w:r>
        <w:rPr>
          <w:rFonts w:ascii="Times New Roman" w:hAnsi="Times New Roman" w:eastAsia="宋体" w:cs="Times New Roman"/>
          <w:sz w:val="24"/>
        </w:rPr>
        <w:t>为了把上述案例放在同一标尺下比较，表1按生命周期阶段、船型、成熟度和智能化层级对典型案例作了归类。成熟度分为三级：数字模型（仅有三维模型或可视化）、数字影子（数据由物到虚单向同步）、数字孪生（虚实双向闭环，虚拟空间的结果反向作用于物理过程）；智能化层级分为知识问答、代理模型/智能预报和规划引擎三级。</w:t>
      </w:r>
    </w:p>
    <w:p>
      <w:pPr>
        <w:keepNext/>
        <w:spacing w:lineRule="exact" w:line="440" w:before="120" w:after="0"/>
        <w:jc w:val="center"/>
      </w:pPr>
      <w:r>
        <w:rPr>
          <w:rFonts w:ascii="黑体" w:hAnsi="黑体" w:eastAsia="黑体" w:cs="黑体"/>
          <w:sz w:val="21"/>
        </w:rPr>
        <w:t>表1 2024—2026年典型案例的归类评估</w:t>
      </w:r>
    </w:p>
    <w:tbl>
      <w:tblPr>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1662"/>
            <w:tcBorders>
              <w:top w:val="single" w:sz="12" w:color="000000"/>
              <w:bottom w:val="single" w:sz="6" w:color="000000"/>
              <w:left w:val="nil"/>
              <w:right w:val="nil"/>
            </w:tcBorders>
          </w:tcPr>
          <w:p>
            <w:pPr>
              <w:keepNext/>
              <w:spacing w:lineRule="exact" w:line="320" w:before="0" w:after="0"/>
              <w:jc w:val="center"/>
            </w:pPr>
            <w:r>
              <w:rPr>
                <w:rFonts w:ascii="Times New Roman" w:hAnsi="Times New Roman" w:eastAsia="宋体" w:cs="Times New Roman"/>
                <w:sz w:val="18"/>
              </w:rPr>
              <w:t>案例</w:t>
            </w:r>
          </w:p>
        </w:tc>
        <w:tc>
          <w:tcPr>
            <w:tcW w:type="dxa" w:w="1662"/>
            <w:tcBorders>
              <w:top w:val="single" w:sz="12" w:color="000000"/>
              <w:bottom w:val="single" w:sz="6" w:color="000000"/>
              <w:left w:val="nil"/>
              <w:right w:val="nil"/>
            </w:tcBorders>
          </w:tcPr>
          <w:p>
            <w:pPr>
              <w:keepNext/>
              <w:spacing w:lineRule="exact" w:line="320" w:before="0" w:after="0"/>
              <w:jc w:val="center"/>
            </w:pPr>
            <w:r>
              <w:rPr>
                <w:rFonts w:ascii="Times New Roman" w:hAnsi="Times New Roman" w:eastAsia="宋体" w:cs="Times New Roman"/>
                <w:sz w:val="18"/>
              </w:rPr>
              <w:t>阶段</w:t>
            </w:r>
          </w:p>
        </w:tc>
        <w:tc>
          <w:tcPr>
            <w:tcW w:type="dxa" w:w="1662"/>
            <w:tcBorders>
              <w:top w:val="single" w:sz="12" w:color="000000"/>
              <w:bottom w:val="single" w:sz="6" w:color="000000"/>
              <w:left w:val="nil"/>
              <w:right w:val="nil"/>
            </w:tcBorders>
          </w:tcPr>
          <w:p>
            <w:pPr>
              <w:keepNext/>
              <w:spacing w:lineRule="exact" w:line="320" w:before="0" w:after="0"/>
              <w:jc w:val="center"/>
            </w:pPr>
            <w:r>
              <w:rPr>
                <w:rFonts w:ascii="Times New Roman" w:hAnsi="Times New Roman" w:eastAsia="宋体" w:cs="Times New Roman"/>
                <w:sz w:val="18"/>
              </w:rPr>
              <w:t>船型</w:t>
            </w:r>
          </w:p>
        </w:tc>
        <w:tc>
          <w:tcPr>
            <w:tcW w:type="dxa" w:w="1662"/>
            <w:tcBorders>
              <w:top w:val="single" w:sz="12" w:color="000000"/>
              <w:bottom w:val="single" w:sz="6" w:color="000000"/>
              <w:left w:val="nil"/>
              <w:right w:val="nil"/>
            </w:tcBorders>
          </w:tcPr>
          <w:p>
            <w:pPr>
              <w:keepNext/>
              <w:spacing w:lineRule="exact" w:line="320" w:before="0" w:after="0"/>
              <w:jc w:val="center"/>
            </w:pPr>
            <w:r>
              <w:rPr>
                <w:rFonts w:ascii="Times New Roman" w:hAnsi="Times New Roman" w:eastAsia="宋体" w:cs="Times New Roman"/>
                <w:sz w:val="18"/>
              </w:rPr>
              <w:t>成熟度</w:t>
            </w:r>
          </w:p>
        </w:tc>
        <w:tc>
          <w:tcPr>
            <w:tcW w:type="dxa" w:w="1662"/>
            <w:tcBorders>
              <w:top w:val="single" w:sz="12" w:color="000000"/>
              <w:bottom w:val="single" w:sz="6" w:color="000000"/>
              <w:left w:val="nil"/>
              <w:right w:val="nil"/>
            </w:tcBorders>
          </w:tcPr>
          <w:p>
            <w:pPr>
              <w:keepNext/>
              <w:spacing w:lineRule="exact" w:line="320" w:before="0" w:after="0"/>
              <w:jc w:val="center"/>
            </w:pPr>
            <w:r>
              <w:rPr>
                <w:rFonts w:ascii="Times New Roman" w:hAnsi="Times New Roman" w:eastAsia="宋体" w:cs="Times New Roman"/>
                <w:sz w:val="18"/>
              </w:rPr>
              <w:t>智能化层级</w:t>
            </w:r>
          </w:p>
        </w:tc>
      </w:tr>
      <w:tr>
        <w:tc>
          <w:tcPr>
            <w:tcW w:type="dxa" w:w="1662"/>
            <w:tcBorders>
              <w:top w:val="nil"/>
              <w:bottom w:val="nil"/>
              <w:left w:val="nil"/>
              <w:right w:val="nil"/>
            </w:tcBorders>
          </w:tcPr>
          <w:p>
            <w:pPr>
              <w:keepNext/>
              <w:spacing w:lineRule="exact" w:line="320" w:before="0" w:after="0"/>
              <w:jc w:val="left"/>
            </w:pPr>
            <w:r>
              <w:rPr>
                <w:rFonts w:ascii="Times New Roman" w:hAnsi="Times New Roman" w:eastAsia="宋体" w:cs="Times New Roman"/>
                <w:sz w:val="18"/>
              </w:rPr>
              <w:t>"浪花"CAE平台</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设计</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邮轮、LNG船等</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仿真工具链</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智能预报、知识图谱选型</w:t>
            </w:r>
          </w:p>
        </w:tc>
      </w:tr>
      <w:tr>
        <w:tc>
          <w:tcPr>
            <w:tcW w:type="dxa" w:w="1662"/>
            <w:tcBorders>
              <w:top w:val="nil"/>
              <w:bottom w:val="nil"/>
              <w:left w:val="nil"/>
              <w:right w:val="nil"/>
            </w:tcBorders>
          </w:tcPr>
          <w:p>
            <w:pPr>
              <w:keepNext/>
              <w:spacing w:lineRule="exact" w:line="320" w:before="0" w:after="0"/>
              <w:jc w:val="left"/>
            </w:pPr>
            <w:r>
              <w:rPr>
                <w:rFonts w:ascii="Times New Roman" w:hAnsi="Times New Roman" w:eastAsia="宋体" w:cs="Times New Roman"/>
                <w:sz w:val="18"/>
              </w:rPr>
              <w:t>"兴海"性能预报模型</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设计</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通用</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代理模型</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代理模型</w:t>
            </w:r>
          </w:p>
        </w:tc>
      </w:tr>
      <w:tr>
        <w:tc>
          <w:tcPr>
            <w:tcW w:type="dxa" w:w="1662"/>
            <w:tcBorders>
              <w:top w:val="nil"/>
              <w:bottom w:val="nil"/>
              <w:left w:val="nil"/>
              <w:right w:val="nil"/>
            </w:tcBorders>
          </w:tcPr>
          <w:p>
            <w:pPr>
              <w:keepNext/>
              <w:spacing w:lineRule="exact" w:line="320" w:before="0" w:after="0"/>
              <w:jc w:val="left"/>
            </w:pPr>
            <w:r>
              <w:rPr>
                <w:rFonts w:ascii="Times New Roman" w:hAnsi="Times New Roman" w:eastAsia="宋体" w:cs="Times New Roman"/>
                <w:sz w:val="18"/>
              </w:rPr>
              <w:t>"爱达·花城号"虚拟建造与SWS TIME</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建造</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大型邮轮</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数字影子为主，局部闭环</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AI排产</w:t>
            </w:r>
          </w:p>
        </w:tc>
      </w:tr>
      <w:tr>
        <w:tc>
          <w:tcPr>
            <w:tcW w:type="dxa" w:w="1662"/>
            <w:tcBorders>
              <w:top w:val="nil"/>
              <w:bottom w:val="nil"/>
              <w:left w:val="nil"/>
              <w:right w:val="nil"/>
            </w:tcBorders>
          </w:tcPr>
          <w:p>
            <w:pPr>
              <w:keepNext/>
              <w:spacing w:lineRule="exact" w:line="320" w:before="0" w:after="0"/>
              <w:jc w:val="left"/>
            </w:pPr>
            <w:r>
              <w:rPr>
                <w:rFonts w:ascii="Times New Roman" w:hAnsi="Times New Roman" w:eastAsia="宋体" w:cs="Times New Roman"/>
                <w:sz w:val="18"/>
              </w:rPr>
              <w:t>27万立方米级LNG船数字样船2.0</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设计—建造</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LNG船</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虚拟试验场</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工艺仿真</w:t>
            </w:r>
          </w:p>
        </w:tc>
      </w:tr>
      <w:tr>
        <w:tc>
          <w:tcPr>
            <w:tcW w:type="dxa" w:w="1662"/>
            <w:tcBorders>
              <w:top w:val="nil"/>
              <w:bottom w:val="nil"/>
              <w:left w:val="nil"/>
              <w:right w:val="nil"/>
            </w:tcBorders>
          </w:tcPr>
          <w:p>
            <w:pPr>
              <w:keepNext/>
              <w:spacing w:lineRule="exact" w:line="320" w:before="0" w:after="0"/>
              <w:jc w:val="left"/>
            </w:pPr>
            <w:r>
              <w:rPr>
                <w:rFonts w:ascii="Times New Roman" w:hAnsi="Times New Roman" w:eastAsia="宋体" w:cs="Times New Roman"/>
                <w:sz w:val="18"/>
              </w:rPr>
              <w:t>北海造船厂区数字孪生平台</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建造</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通用</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数字影子</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无</w:t>
            </w:r>
          </w:p>
        </w:tc>
      </w:tr>
      <w:tr>
        <w:tc>
          <w:tcPr>
            <w:tcW w:type="dxa" w:w="1662"/>
            <w:tcBorders>
              <w:top w:val="nil"/>
              <w:bottom w:val="nil"/>
              <w:left w:val="nil"/>
              <w:right w:val="nil"/>
            </w:tcBorders>
          </w:tcPr>
          <w:p>
            <w:pPr>
              <w:keepNext/>
              <w:spacing w:lineRule="exact" w:line="320" w:before="0" w:after="0"/>
              <w:jc w:val="left"/>
            </w:pPr>
            <w:r>
              <w:rPr>
                <w:rFonts w:ascii="Times New Roman" w:hAnsi="Times New Roman" w:eastAsia="宋体" w:cs="Times New Roman"/>
                <w:sz w:val="18"/>
              </w:rPr>
              <w:t>LNG数字孪生船（上海海事大学）</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运营</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LNG船</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数字影子</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无（培训、运维）</w:t>
            </w:r>
          </w:p>
        </w:tc>
      </w:tr>
      <w:tr>
        <w:tc>
          <w:tcPr>
            <w:tcW w:type="dxa" w:w="1662"/>
            <w:tcBorders>
              <w:top w:val="nil"/>
              <w:bottom w:val="nil"/>
              <w:left w:val="nil"/>
              <w:right w:val="nil"/>
            </w:tcBorders>
          </w:tcPr>
          <w:p>
            <w:pPr>
              <w:keepNext/>
              <w:spacing w:lineRule="exact" w:line="320" w:before="0" w:after="0"/>
              <w:jc w:val="left"/>
            </w:pPr>
            <w:r>
              <w:rPr>
                <w:rFonts w:ascii="Times New Roman" w:hAnsi="Times New Roman" w:eastAsia="宋体" w:cs="Times New Roman"/>
                <w:sz w:val="18"/>
              </w:rPr>
              <w:t>"文鳐"轮机智能体</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运营</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油轮（非本文船型）</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数字影子</w:t>
            </w:r>
          </w:p>
        </w:tc>
        <w:tc>
          <w:tcPr>
            <w:tcW w:type="dxa" w:w="1662"/>
            <w:tcBorders>
              <w:top w:val="nil"/>
              <w:bottom w:val="nil"/>
              <w:left w:val="nil"/>
              <w:right w:val="nil"/>
            </w:tcBorders>
          </w:tcPr>
          <w:p>
            <w:pPr>
              <w:keepNext/>
              <w:spacing w:lineRule="exact" w:line="320" w:before="0" w:after="0"/>
              <w:jc w:val="center"/>
            </w:pPr>
            <w:r>
              <w:rPr>
                <w:rFonts w:ascii="Times New Roman" w:hAnsi="Times New Roman" w:eastAsia="宋体" w:cs="Times New Roman"/>
                <w:sz w:val="18"/>
              </w:rPr>
              <w:t>知识问答+异常识别</w:t>
            </w:r>
          </w:p>
        </w:tc>
      </w:tr>
      <w:tr>
        <w:tc>
          <w:tcPr>
            <w:tcW w:type="dxa" w:w="1662"/>
            <w:tcBorders>
              <w:top w:val="nil"/>
              <w:bottom w:val="single" w:sz="12" w:color="000000"/>
              <w:left w:val="nil"/>
              <w:right w:val="nil"/>
            </w:tcBorders>
          </w:tcPr>
          <w:p>
            <w:pPr>
              <w:spacing w:lineRule="exact" w:line="320" w:before="0" w:after="0"/>
              <w:jc w:val="left"/>
            </w:pPr>
            <w:r>
              <w:rPr>
                <w:rFonts w:ascii="Times New Roman" w:hAnsi="Times New Roman" w:eastAsia="宋体" w:cs="Times New Roman"/>
                <w:sz w:val="18"/>
              </w:rPr>
              <w:t>"文鳐""百舸"知识服务</w:t>
            </w:r>
          </w:p>
        </w:tc>
        <w:tc>
          <w:tcPr>
            <w:tcW w:type="dxa" w:w="1662"/>
            <w:tcBorders>
              <w:top w:val="nil"/>
              <w:bottom w:val="single" w:sz="12" w:color="000000"/>
              <w:left w:val="nil"/>
              <w:right w:val="nil"/>
            </w:tcBorders>
          </w:tcPr>
          <w:p>
            <w:pPr>
              <w:spacing w:lineRule="exact" w:line="320" w:before="0" w:after="0"/>
              <w:jc w:val="center"/>
            </w:pPr>
            <w:r>
              <w:rPr>
                <w:rFonts w:ascii="Times New Roman" w:hAnsi="Times New Roman" w:eastAsia="宋体" w:cs="Times New Roman"/>
                <w:sz w:val="18"/>
              </w:rPr>
              <w:t>全周期</w:t>
            </w:r>
          </w:p>
        </w:tc>
        <w:tc>
          <w:tcPr>
            <w:tcW w:type="dxa" w:w="1662"/>
            <w:tcBorders>
              <w:top w:val="nil"/>
              <w:bottom w:val="single" w:sz="12" w:color="000000"/>
              <w:left w:val="nil"/>
              <w:right w:val="nil"/>
            </w:tcBorders>
          </w:tcPr>
          <w:p>
            <w:pPr>
              <w:spacing w:lineRule="exact" w:line="320" w:before="0" w:after="0"/>
              <w:jc w:val="center"/>
            </w:pPr>
            <w:r>
              <w:rPr>
                <w:rFonts w:ascii="Times New Roman" w:hAnsi="Times New Roman" w:eastAsia="宋体" w:cs="Times New Roman"/>
                <w:sz w:val="18"/>
              </w:rPr>
              <w:t>通用</w:t>
            </w:r>
          </w:p>
        </w:tc>
        <w:tc>
          <w:tcPr>
            <w:tcW w:type="dxa" w:w="1662"/>
            <w:tcBorders>
              <w:top w:val="nil"/>
              <w:bottom w:val="single" w:sz="12" w:color="000000"/>
              <w:left w:val="nil"/>
              <w:right w:val="nil"/>
            </w:tcBorders>
          </w:tcPr>
          <w:p>
            <w:pPr>
              <w:spacing w:lineRule="exact" w:line="320" w:before="0" w:after="0"/>
              <w:jc w:val="center"/>
            </w:pPr>
            <w:r>
              <w:rPr>
                <w:rFonts w:ascii="Times New Roman" w:hAnsi="Times New Roman" w:eastAsia="宋体" w:cs="Times New Roman"/>
                <w:sz w:val="18"/>
              </w:rPr>
              <w:t>无孪生体</w:t>
            </w:r>
          </w:p>
        </w:tc>
        <w:tc>
          <w:tcPr>
            <w:tcW w:type="dxa" w:w="1662"/>
            <w:tcBorders>
              <w:top w:val="nil"/>
              <w:bottom w:val="single" w:sz="12" w:color="000000"/>
              <w:left w:val="nil"/>
              <w:right w:val="nil"/>
            </w:tcBorders>
          </w:tcPr>
          <w:p>
            <w:pPr>
              <w:spacing w:lineRule="exact" w:line="320" w:before="0" w:after="0"/>
              <w:jc w:val="center"/>
            </w:pPr>
            <w:r>
              <w:rPr>
                <w:rFonts w:ascii="Times New Roman" w:hAnsi="Times New Roman" w:eastAsia="宋体" w:cs="Times New Roman"/>
                <w:sz w:val="18"/>
              </w:rPr>
              <w:t>知识问答</w:t>
            </w:r>
          </w:p>
        </w:tc>
      </w:tr>
    </w:tbl>
    <w:p>
      <w:pPr>
        <w:spacing w:lineRule="exact" w:line="160" w:before="0" w:after="0"/>
      </w:pPr>
    </w:p>
    <w:p>
      <w:pPr>
        <w:spacing w:lineRule="exact" w:line="440" w:before="0" w:after="0"/>
        <w:ind w:firstLineChars="200"/>
      </w:pPr>
      <w:r>
        <w:rPr>
          <w:rFonts w:ascii="Times New Roman" w:hAnsi="Times New Roman" w:eastAsia="宋体" w:cs="Times New Roman"/>
          <w:sz w:val="24"/>
        </w:rPr>
        <w:t>从表1可以得到三点判断。其一，真正达到双向闭环的案例极少，多数船厂级平台仍处于"数字影子"阶段，尚未实现在线精度补偿或动态调度等反向控制。其二，设计与建造阶段的工具链已经相对完整且收益可量化，而运营阶段在两类船型上都还缺少公开的闭环案例。其三，行业大模型与数字孪生目前基本是"两张皮"：大模型停留在知识服务层，还没有作为规划引擎去调度仿真与孪生工具。这三点判断直接引出第4章的瓶颈分析。</w:t>
      </w:r>
    </w:p>
    <w:p>
      <w:pPr>
        <w:spacing w:lineRule="exact" w:line="440" w:before="160" w:after="0"/>
      </w:pPr>
      <w:r>
        <w:rPr>
          <w:rFonts w:ascii="黑体" w:hAnsi="黑体" w:eastAsia="黑体" w:cs="黑体"/>
          <w:sz w:val="24"/>
        </w:rPr>
        <w:t>4 现存技术瓶颈</w:t>
      </w:r>
    </w:p>
    <w:p>
      <w:pPr>
        <w:spacing w:lineRule="exact" w:line="440" w:before="60" w:after="0"/>
      </w:pPr>
      <w:r>
        <w:rPr>
          <w:rFonts w:ascii="黑体" w:hAnsi="黑体" w:eastAsia="黑体" w:cs="黑体"/>
          <w:sz w:val="24"/>
        </w:rPr>
        <w:t>4.1 数据层：孤岛化与质量不足</w:t>
      </w:r>
    </w:p>
    <w:p>
      <w:pPr>
        <w:spacing w:lineRule="exact" w:line="440" w:before="0" w:after="0"/>
        <w:ind w:firstLineChars="200"/>
      </w:pPr>
      <w:r>
        <w:rPr>
          <w:rFonts w:ascii="Times New Roman" w:hAnsi="Times New Roman" w:eastAsia="宋体" w:cs="Times New Roman"/>
          <w:sz w:val="24"/>
        </w:rPr>
        <w:t>数字孪生的生命力源于数据闭环，而船舶行业的数据恰恰被分割在不同主体之间。以邮轮为例，设计模型在船厂，运营数据在邮轮公司，设备运行数据在数百家供应商手中，数据权属不清、共享意愿偏低，营运数据难以回流用于设计模型迭代。船舶又是典型的小样本场景：一艘LNG船的围护系统失效样本极少，故障数据标注成本高昂，制约了数据驱动模型的泛化能力。2025年中船集团旗下12家单位联合发起智能船舶可信数据空间倡议[43]，江南造船的自主航行数据集入选国务院国资委央企高质量数据集[44]，以及前述《数字船舶白皮书》，都是行业对这一瓶颈的回应，但制度层面的数据流通机制仍未建立。</w:t>
      </w:r>
    </w:p>
    <w:p>
      <w:pPr>
        <w:spacing w:lineRule="exact" w:line="440" w:before="60" w:after="0"/>
      </w:pPr>
      <w:r>
        <w:rPr>
          <w:rFonts w:ascii="黑体" w:hAnsi="黑体" w:eastAsia="黑体" w:cs="黑体"/>
          <w:sz w:val="24"/>
        </w:rPr>
        <w:t>4.2 模型层：保真度与实时性的矛盾</w:t>
      </w:r>
    </w:p>
    <w:p>
      <w:pPr>
        <w:spacing w:lineRule="exact" w:line="440" w:before="0" w:after="0"/>
        <w:ind w:firstLineChars="200"/>
      </w:pPr>
      <w:r>
        <w:rPr>
          <w:rFonts w:ascii="Times New Roman" w:hAnsi="Times New Roman" w:eastAsia="宋体" w:cs="Times New Roman"/>
          <w:sz w:val="24"/>
        </w:rPr>
        <w:t>高保真CFD与FEA难以满足孪生体的实时性要求，而降阶模型与代理模型在工况外推时精度衰减明显。LNG船液舱晃荡与船体运动的双向耦合仿真，单一工况的高保真计算就需要数小时至数天，无法直接嵌入实时孪生体；邮轮全船振动噪声预报涉及数百万自由度，同样面临算力瓶颈。用代理模型替代后，又会遇到训练工况之外可信度无法保证的问题。如何在保真度、实时性与泛化能力之间取得工程可接受的平衡，仍是智能仿真最核心的科学问题。此外，孪生模型缺乏统一的置信度评估方法，仿真结果难以直接进入安全攸关的决策链。</w:t>
      </w:r>
    </w:p>
    <w:p>
      <w:pPr>
        <w:spacing w:lineRule="exact" w:line="440" w:before="60" w:after="0"/>
      </w:pPr>
      <w:r>
        <w:rPr>
          <w:rFonts w:ascii="黑体" w:hAnsi="黑体" w:eastAsia="黑体" w:cs="黑体"/>
          <w:sz w:val="24"/>
        </w:rPr>
        <w:t>4.3 智能层：大模型的可信性约束</w:t>
      </w:r>
    </w:p>
    <w:p>
      <w:pPr>
        <w:spacing w:lineRule="exact" w:line="440" w:before="0" w:after="0"/>
        <w:ind w:firstLineChars="200"/>
      </w:pPr>
      <w:r>
        <w:rPr>
          <w:rFonts w:ascii="Times New Roman" w:hAnsi="Times New Roman" w:eastAsia="宋体" w:cs="Times New Roman"/>
          <w:sz w:val="24"/>
        </w:rPr>
        <w:t>大模型的幻觉问题在强规范约束的船舶行业后果尤为严重：一条错误的规范引用可能直接导致设计返工乃至安全隐患。船级社审图要求每一项设计依据都可追溯到具体的规范条款，而大模型的推理过程难以复现，两者之间存在结构性张力。目前公开的量化成效多为企业自述或合作方宣传，缺乏第三方审计与统一的评测基准，本文第3章引用的多项数据也只能作为参考。这正是白敬波等强调必须以行业知识作为硬约束、并让大模型承担规划而非直接求解角色的原因[41]。</w:t>
      </w:r>
    </w:p>
    <w:p>
      <w:pPr>
        <w:spacing w:lineRule="exact" w:line="440" w:before="60" w:after="0"/>
      </w:pPr>
      <w:r>
        <w:rPr>
          <w:rFonts w:ascii="黑体" w:hAnsi="黑体" w:eastAsia="黑体" w:cs="黑体"/>
          <w:sz w:val="24"/>
        </w:rPr>
        <w:t>4.4 平台层：工业软件自主可控</w:t>
      </w:r>
    </w:p>
    <w:p>
      <w:pPr>
        <w:spacing w:lineRule="exact" w:line="440" w:before="0" w:after="0"/>
        <w:ind w:firstLineChars="200"/>
      </w:pPr>
      <w:r>
        <w:rPr>
          <w:rFonts w:ascii="Times New Roman" w:hAnsi="Times New Roman" w:eastAsia="宋体" w:cs="Times New Roman"/>
          <w:sz w:val="24"/>
        </w:rPr>
        <w:t>"浪花"平台在CAE环节取得了突破，但计算机辅助设计（CAD）几何内核、产品全生命周期管理（PLM）中的主数据管理等基础环节的自主化程度仍然不足，各类软件之间的数据交换标准不统一，模型在设计、工艺、制造与运维各环节之间传递时存在语义丢失。孪生体一旦需要跨软件、跨企业组装，其一致性就难以保证；外高桥造船在总结邮轮数字化经验时也把"缺乏合适的技术平台支撑"列为主要困难。</w:t>
      </w:r>
    </w:p>
    <w:p>
      <w:pPr>
        <w:spacing w:lineRule="exact" w:line="440" w:before="160" w:after="0"/>
      </w:pPr>
      <w:r>
        <w:rPr>
          <w:rFonts w:ascii="黑体" w:hAnsi="黑体" w:eastAsia="黑体" w:cs="黑体"/>
          <w:sz w:val="24"/>
        </w:rPr>
        <w:t>5 未来3—5年发展展望与建议</w:t>
      </w:r>
    </w:p>
    <w:p>
      <w:pPr>
        <w:spacing w:lineRule="exact" w:line="440" w:before="60" w:after="0"/>
      </w:pPr>
      <w:r>
        <w:rPr>
          <w:rFonts w:ascii="黑体" w:hAnsi="黑体" w:eastAsia="黑体" w:cs="黑体"/>
          <w:sz w:val="24"/>
        </w:rPr>
        <w:t>5.1 主要发展方向</w:t>
      </w:r>
    </w:p>
    <w:p>
      <w:pPr>
        <w:spacing w:lineRule="exact" w:line="440" w:before="0" w:after="0"/>
        <w:ind w:firstLineChars="200"/>
      </w:pPr>
      <w:r>
        <w:rPr>
          <w:rFonts w:ascii="Times New Roman" w:hAnsi="Times New Roman" w:eastAsia="宋体" w:cs="Times New Roman"/>
          <w:sz w:val="24"/>
        </w:rPr>
        <w:t>一是高保真仿真的智能轻量化。物理信息神经网络、算子学习与图神经网络等方法将进一步嵌入船舶水动力与结构求解，在保持物理约束的前提下实现数量级加速；"兴海"模型的毫秒级预报已经展示了这一方向的可行性，下一步是把它从教学场景推向设计流程。</w:t>
      </w:r>
    </w:p>
    <w:p>
      <w:pPr>
        <w:spacing w:lineRule="exact" w:line="440" w:before="0" w:after="0"/>
        <w:ind w:firstLineChars="200"/>
      </w:pPr>
      <w:r>
        <w:rPr>
          <w:rFonts w:ascii="Times New Roman" w:hAnsi="Times New Roman" w:eastAsia="宋体" w:cs="Times New Roman"/>
          <w:sz w:val="24"/>
        </w:rPr>
        <w:t>二是孪生体的标准化与全生命周期贯通。以中国船级社数字孪生系统指南、数字化交付指南和《数字船舶白皮书》为基础，孪生体的模型格式、接口协议与置信度评估方法有望逐步统一，使建造期孪生能够平滑移交为营运期孪生。交通运输部等四部门2026年印发的《智能航运2030行动计划》已把"航海数字孪生"和"航运大模型"列为需要突破的关键技术[45]，为运营阶段的闭环提供了政策牵引。</w:t>
      </w:r>
    </w:p>
    <w:p>
      <w:pPr>
        <w:spacing w:lineRule="exact" w:line="440" w:before="0" w:after="0"/>
        <w:ind w:firstLineChars="200"/>
      </w:pPr>
      <w:r>
        <w:rPr>
          <w:rFonts w:ascii="Times New Roman" w:hAnsi="Times New Roman" w:eastAsia="宋体" w:cs="Times New Roman"/>
          <w:sz w:val="24"/>
        </w:rPr>
        <w:t>三是大模型由知识问答走向规划引擎。未来的行业大模型不应直接求解物理方程，而应作为智能体的"大脑"理解工程意图、编排仿真工具链、调用CAE求解器并解释结果。从计算机专业的角度看，这需要四项工程机制：统一的工具调用协议、对求解器的标准化封装接口、对模型输出的自动校验，以及以规范知识库为硬约束的检索增强推理。后者同时也是应对4.3节所述可信性问题的技术出路——让每一条结论都能回溯到规范条款，从而与船级社的审图逻辑对接。国家层面已给出时间表：2027年前建成各具特色的行业大模型并培育1000个高水平工业智能体[5]。</w:t>
      </w:r>
    </w:p>
    <w:p>
      <w:pPr>
        <w:spacing w:lineRule="exact" w:line="440" w:before="0" w:after="0"/>
        <w:ind w:firstLineChars="200"/>
      </w:pPr>
      <w:r>
        <w:rPr>
          <w:rFonts w:ascii="Times New Roman" w:hAnsi="Times New Roman" w:eastAsia="宋体" w:cs="Times New Roman"/>
          <w:sz w:val="24"/>
        </w:rPr>
        <w:t>四是虚实闭环由"可视"走向"可控"。多数船厂数字孪生仍以三维可视化与设备联网为主，未来将向在线精度补偿、动态排产、能耗实时优化等反向控制演进，即从"数字影子"升级为完整意义上的数字孪生。"爱达·花城号"上人工智能排产带来的产能提升，可以视为这一方向的早期信号。</w:t>
      </w:r>
    </w:p>
    <w:p>
      <w:pPr>
        <w:spacing w:lineRule="exact" w:line="440" w:before="0" w:after="0"/>
        <w:ind w:firstLineChars="200"/>
      </w:pPr>
      <w:r>
        <w:rPr>
          <w:rFonts w:ascii="Times New Roman" w:hAnsi="Times New Roman" w:eastAsia="宋体" w:cs="Times New Roman"/>
          <w:sz w:val="24"/>
        </w:rPr>
        <w:t>五是绿色低碳与数字孪生的深度耦合。碳足迹核算、替代燃料动力系统仿真与能效优化将成为孪生体的内生功能，服务于《船舶制造业绿色发展行动纲要（2024—2030年）》提出的阶段目标[46]。</w:t>
      </w:r>
    </w:p>
    <w:p>
      <w:pPr>
        <w:spacing w:lineRule="exact" w:line="440" w:before="60" w:after="0"/>
      </w:pPr>
      <w:r>
        <w:rPr>
          <w:rFonts w:ascii="黑体" w:hAnsi="黑体" w:eastAsia="黑体" w:cs="黑体"/>
          <w:sz w:val="24"/>
        </w:rPr>
        <w:t>5.2 面向海洋强国战略的建议</w:t>
      </w:r>
    </w:p>
    <w:p>
      <w:pPr>
        <w:spacing w:lineRule="exact" w:line="440" w:before="0" w:after="0"/>
        <w:ind w:firstLineChars="200"/>
      </w:pPr>
      <w:r>
        <w:rPr>
          <w:rFonts w:ascii="Times New Roman" w:hAnsi="Times New Roman" w:eastAsia="宋体" w:cs="Times New Roman"/>
          <w:sz w:val="24"/>
        </w:rPr>
        <w:t>第一，坚持国产底座先行。以"浪花"等国产CAE软件为内核，向上打通CAD几何内核与PLM，向下对接船厂制造执行系统（MES），形成自主可控的船海工业软件生态，避免孪生体建立在受制于人的地基之上。</w:t>
      </w:r>
    </w:p>
    <w:p>
      <w:pPr>
        <w:spacing w:lineRule="exact" w:line="440" w:before="0" w:after="0"/>
        <w:ind w:firstLineChars="200"/>
      </w:pPr>
      <w:r>
        <w:rPr>
          <w:rFonts w:ascii="Times New Roman" w:hAnsi="Times New Roman" w:eastAsia="宋体" w:cs="Times New Roman"/>
          <w:sz w:val="24"/>
        </w:rPr>
        <w:t>第二，加快构建行业级可信数据空间。依托2025年成立的船舶行业数字化转型促进中心等平台，推动设计、建造、营运数据在权属清晰、安全可控的前提下有序流通，并建立船舶行业大模型与孪生模型的第三方评测基准，用可比的指标替代宣传口径。</w:t>
      </w:r>
    </w:p>
    <w:p>
      <w:pPr>
        <w:spacing w:lineRule="exact" w:line="440" w:before="0" w:after="0"/>
        <w:ind w:firstLineChars="200"/>
      </w:pPr>
      <w:r>
        <w:rPr>
          <w:rFonts w:ascii="Times New Roman" w:hAnsi="Times New Roman" w:eastAsia="宋体" w:cs="Times New Roman"/>
          <w:sz w:val="24"/>
        </w:rPr>
        <w:t>第三，在重点船型上开展"仿真—孪生—大模型"三层架构示范。建议以大型邮轮和大型LNG运输船为载体开展全生命周期数字孪生示范工程，把智能仿真作为计算内核、数字孪生作为运行载体、行业大模型作为交互与调度层，并利用邮轮"2+1"后续订单和LNG船批量建造的机会，在系列船上验证"从1到N"的数字化收益。上海长兴岛世界级现代化造船基地实施方案已提出开发船舶设计大模型与复杂系统数字孪生体系，可作为首批示范载体[47]。</w:t>
      </w:r>
    </w:p>
    <w:p>
      <w:pPr>
        <w:spacing w:lineRule="exact" w:line="440" w:before="0" w:after="0"/>
        <w:ind w:firstLineChars="200"/>
      </w:pPr>
      <w:r>
        <w:rPr>
          <w:rFonts w:ascii="Times New Roman" w:hAnsi="Times New Roman" w:eastAsia="宋体" w:cs="Times New Roman"/>
          <w:sz w:val="24"/>
        </w:rPr>
        <w:t>第四，培养既懂船舶又懂数据与算法的复合型人才。建议高校推动"人工智能+船海"微专业与联合培养机制，把课程、仿真平台与真实工程数据打通，让计算机专业学生能够在船海场景中训练，让船舶专业学生能够掌握数据与模型工具。</w:t>
      </w:r>
    </w:p>
    <w:p>
      <w:pPr>
        <w:spacing w:lineRule="exact" w:line="440" w:before="160" w:after="0"/>
      </w:pPr>
      <w:r>
        <w:rPr>
          <w:rFonts w:ascii="黑体" w:hAnsi="黑体" w:eastAsia="黑体" w:cs="黑体"/>
          <w:sz w:val="24"/>
        </w:rPr>
        <w:t>6 结语</w:t>
      </w:r>
    </w:p>
    <w:p>
      <w:pPr>
        <w:spacing w:lineRule="exact" w:line="440" w:before="0" w:after="0"/>
        <w:ind w:firstLineChars="200"/>
      </w:pPr>
      <w:r>
        <w:rPr>
          <w:rFonts w:ascii="Times New Roman" w:hAnsi="Times New Roman" w:eastAsia="宋体" w:cs="Times New Roman"/>
          <w:sz w:val="24"/>
        </w:rPr>
        <w:t>本文的核心判断是：在大型邮轮与大型LNG运输船这两类最复杂的船舶装备上，我国2024—2026年的实践已经证明，智能仿真与数字孪生在设计和建造阶段能够带来可量化的效率收益，"从1到N"的系列化建造正是这种收益兑现的窗口；但运营阶段的孪生尚未闭环，行业大模型与孪生体仍是"两张皮"，数据、模型、可信性与软件底座四个层面的瓶颈决定了未来3—5年的主攻方向。对于计算机专业而言，这一领域最有价值的贡献不在于再造一个通用大模型，而在于把仿真求解器、孪生数据与规范知识组织成可被大模型调度、可被船级社追溯的工程系统。当这套系统在重点船型上跑通时，数字孪生才会真正成为船舶装备研发建造与运维的基础设施，为海洋强国建设提供坚实的数字底座。</w:t>
      </w:r>
    </w:p>
    <w:p>
      <w:pPr>
        <w:spacing w:lineRule="exact" w:line="440" w:before="0" w:after="0"/>
      </w:pPr>
    </w:p>
    <w:p>
      <w:pPr>
        <w:spacing w:lineRule="exact" w:line="440" w:before="0" w:after="0"/>
        <w:jc w:val="center"/>
      </w:pPr>
      <w:r>
        <w:rPr>
          <w:rFonts w:ascii="黑体" w:hAnsi="黑体" w:eastAsia="黑体" w:cs="黑体"/>
          <w:sz w:val="21"/>
        </w:rPr>
        <w:t>参考文献</w:t>
      </w:r>
    </w:p>
    <w:p>
      <w:pPr>
        <w:spacing w:lineRule="exact" w:line="440" w:before="0" w:after="0"/>
        <w:jc w:val="left"/>
        <w:ind w:left="520" w:hanging="520"/>
      </w:pPr>
      <w:r>
        <w:rPr>
          <w:rFonts w:ascii="Times New Roman" w:hAnsi="Times New Roman" w:eastAsia="宋体" w:cs="Times New Roman"/>
          <w:sz w:val="21"/>
        </w:rPr>
        <w:t>[1] 中国新闻网. 工信部: 三大指标全面增长 中国造船业份额领跑国际市场[EB/OL]. (2026-07-23)[2026-09-16]. https://www.chinanews.com.cn/cj/2026/07-23/10664693.shtml.</w:t>
      </w:r>
    </w:p>
    <w:p>
      <w:pPr>
        <w:spacing w:lineRule="exact" w:line="440" w:before="0" w:after="0"/>
        <w:jc w:val="left"/>
        <w:ind w:left="520" w:hanging="520"/>
      </w:pPr>
      <w:r>
        <w:rPr>
          <w:rFonts w:ascii="Times New Roman" w:hAnsi="Times New Roman" w:eastAsia="宋体" w:cs="Times New Roman"/>
          <w:sz w:val="21"/>
        </w:rPr>
        <w:t>[2] 吴有生, 赵羿羽, 刘浩, 等. 我国船舶与海洋工程装备发展现状及展望[J]. 中国工程科学, 2026, 28(1): 170-180. DOI:10.15302/J-SSCAE-2025.12.028.</w:t>
      </w:r>
    </w:p>
    <w:p>
      <w:pPr>
        <w:spacing w:lineRule="exact" w:line="440" w:before="0" w:after="0"/>
        <w:jc w:val="left"/>
        <w:ind w:left="520" w:hanging="520"/>
      </w:pPr>
      <w:r>
        <w:rPr>
          <w:rFonts w:ascii="Times New Roman" w:hAnsi="Times New Roman" w:eastAsia="宋体" w:cs="Times New Roman"/>
          <w:sz w:val="21"/>
        </w:rPr>
        <w:t>[3] 蔡鹏, 柳存根, 林忠钦, 等. 海洋强国目标下我国海洋装备关键基础性技术发展战略研究[J]. 中国工程科学, 2024, 26(5): 91-103. DOI:10.15302/J-SSCAE-2024.05.010.</w:t>
      </w:r>
    </w:p>
    <w:p>
      <w:pPr>
        <w:spacing w:lineRule="exact" w:line="440" w:before="0" w:after="0"/>
        <w:jc w:val="left"/>
        <w:ind w:left="520" w:hanging="520"/>
      </w:pPr>
      <w:r>
        <w:rPr>
          <w:rFonts w:ascii="Times New Roman" w:hAnsi="Times New Roman" w:eastAsia="宋体" w:cs="Times New Roman"/>
          <w:sz w:val="21"/>
        </w:rPr>
        <w:t>[4] 国务院. 国务院关于深入实施"人工智能+"行动的意见: 国发〔2025〕11号[EB/OL]. (2025-08-21)[2026-09-16]. https://www.cac.gov.cn/2025-08/27/c_1758018277755538.htm.</w:t>
      </w:r>
    </w:p>
    <w:p>
      <w:pPr>
        <w:spacing w:lineRule="exact" w:line="440" w:before="0" w:after="0"/>
        <w:jc w:val="left"/>
        <w:ind w:left="520" w:hanging="520"/>
      </w:pPr>
      <w:r>
        <w:rPr>
          <w:rFonts w:ascii="Times New Roman" w:hAnsi="Times New Roman" w:eastAsia="宋体" w:cs="Times New Roman"/>
          <w:sz w:val="21"/>
        </w:rPr>
        <w:t>[5] 工业和信息化部, 国家发展改革委, 教育部, 等. "人工智能+制造"专项行动实施意见: 工信部联科〔2025〕279号[EB/OL]. (2025-12-25)[2026-09-16]. https://www.nda.gov.cn/sjj/zwgk/zcfb/0112/20260107214358696030895_pc.html.</w:t>
      </w:r>
    </w:p>
    <w:p>
      <w:pPr>
        <w:spacing w:lineRule="exact" w:line="440" w:before="0" w:after="0"/>
        <w:jc w:val="left"/>
        <w:ind w:left="520" w:hanging="520"/>
      </w:pPr>
      <w:r>
        <w:rPr>
          <w:rFonts w:ascii="Times New Roman" w:hAnsi="Times New Roman" w:eastAsia="宋体" w:cs="Times New Roman"/>
          <w:sz w:val="21"/>
        </w:rPr>
        <w:t>[6] 观察者网. 第三、第四艘国产大型邮轮基本确定要造了[EB/OL]. (2026-03-21)[2026-09-16]. https://www.guancha.cn/economy/2026_03_21_810868.shtml.</w:t>
      </w:r>
    </w:p>
    <w:p>
      <w:pPr>
        <w:spacing w:lineRule="exact" w:line="440" w:before="0" w:after="0"/>
        <w:jc w:val="left"/>
        <w:ind w:left="520" w:hanging="520"/>
      </w:pPr>
      <w:r>
        <w:rPr>
          <w:rFonts w:ascii="Times New Roman" w:hAnsi="Times New Roman" w:eastAsia="宋体" w:cs="Times New Roman"/>
          <w:sz w:val="21"/>
        </w:rPr>
        <w:t>[7] 解放日报. 竞争中屡获大单, 24艘船同步在建: 沪东中华推产能倍增计划[EB/OL]. (2025-02-16)[2026-09-16]. https://www.shanghai.gov.cn/nw4411/20250216/924cdfc1b9964a0b8fc6b8bf95bd3828.html.</w:t>
      </w:r>
    </w:p>
    <w:p>
      <w:pPr>
        <w:spacing w:lineRule="exact" w:line="440" w:before="0" w:after="0"/>
        <w:jc w:val="left"/>
        <w:ind w:left="520" w:hanging="520"/>
      </w:pPr>
      <w:r>
        <w:rPr>
          <w:rFonts w:ascii="Times New Roman" w:hAnsi="Times New Roman" w:eastAsia="宋体" w:cs="Times New Roman"/>
          <w:sz w:val="21"/>
        </w:rPr>
        <w:t>[8] 陶飞, 刘蔚然, 张萌, 等. 数字孪生五维模型及十大领域应用[J]. 计算机集成制造系统, 2019, 25(1): 1-18.</w:t>
      </w:r>
    </w:p>
    <w:p>
      <w:pPr>
        <w:spacing w:lineRule="exact" w:line="440" w:before="0" w:after="0"/>
        <w:jc w:val="left"/>
        <w:ind w:left="520" w:hanging="520"/>
      </w:pPr>
      <w:r>
        <w:rPr>
          <w:rFonts w:ascii="Times New Roman" w:hAnsi="Times New Roman" w:eastAsia="宋体" w:cs="Times New Roman"/>
          <w:sz w:val="21"/>
        </w:rPr>
        <w:t>[9] 杨少龙, 孙延浩, 向先波, 等. 船舶数字孪生及其服务全生命周期研究综述[J]. 舰船科学技术, 2020, 42(11): 1-8. DOI:10.3404/j.issn.1672-7649.2020.11.001.</w:t>
      </w:r>
    </w:p>
    <w:p>
      <w:pPr>
        <w:spacing w:lineRule="exact" w:line="440" w:before="0" w:after="0"/>
        <w:jc w:val="left"/>
        <w:ind w:left="520" w:hanging="520"/>
      </w:pPr>
      <w:r>
        <w:rPr>
          <w:rFonts w:ascii="Times New Roman" w:hAnsi="Times New Roman" w:eastAsia="宋体" w:cs="Times New Roman"/>
          <w:sz w:val="21"/>
        </w:rPr>
        <w:t>[10] MAURO F, KANA A A. Digital twin for ship life-cycle: a critical systematic review[J]. Ocean Engineering, 2023, 269: 113479. DOI:10.1016/j.oceaneng.2022.113479.</w:t>
      </w:r>
    </w:p>
    <w:p>
      <w:pPr>
        <w:spacing w:lineRule="exact" w:line="440" w:before="0" w:after="0"/>
        <w:jc w:val="left"/>
        <w:ind w:left="520" w:hanging="520"/>
      </w:pPr>
      <w:r>
        <w:rPr>
          <w:rFonts w:ascii="Times New Roman" w:hAnsi="Times New Roman" w:eastAsia="宋体" w:cs="Times New Roman"/>
          <w:sz w:val="21"/>
        </w:rPr>
        <w:t>[11] 中国船级社. 船舶与海上设施数字孪生系统指南(2022)[EB/OL]. (2022-08-12)[2026-09-16]. https://www.ccs.org.cn/ccswz/specialDetail?id=202208121073342192.</w:t>
      </w:r>
    </w:p>
    <w:p>
      <w:pPr>
        <w:spacing w:lineRule="exact" w:line="440" w:before="0" w:after="0"/>
        <w:jc w:val="left"/>
        <w:ind w:left="520" w:hanging="520"/>
      </w:pPr>
      <w:r>
        <w:rPr>
          <w:rFonts w:ascii="Times New Roman" w:hAnsi="Times New Roman" w:eastAsia="宋体" w:cs="Times New Roman"/>
          <w:sz w:val="21"/>
        </w:rPr>
        <w:t>[12] 哈尔滨工程大学新闻中心. 国际首创! 船舶CAE工业软件浪花平台正式亮相[EB/OL]. (2025-12-03)[2026-09-16]. http://news.hrbeu.edu.cn/info/1141/87683.htm.</w:t>
      </w:r>
    </w:p>
    <w:p>
      <w:pPr>
        <w:spacing w:lineRule="exact" w:line="440" w:before="0" w:after="0"/>
        <w:jc w:val="left"/>
        <w:ind w:left="520" w:hanging="520"/>
      </w:pPr>
      <w:r>
        <w:rPr>
          <w:rFonts w:ascii="Times New Roman" w:hAnsi="Times New Roman" w:eastAsia="宋体" w:cs="Times New Roman"/>
          <w:sz w:val="21"/>
        </w:rPr>
        <w:t>[13] 新浪财经. 哈尔滨工程大学: 船海学科教育专有大模型上线[EB/OL]. (2025-05-29)[2026-09-16]. https://finance.sina.com.cn/tjhz/2025-05-29/doc-ineyfqpv4870062.shtml.</w:t>
      </w:r>
    </w:p>
    <w:p>
      <w:pPr>
        <w:spacing w:lineRule="exact" w:line="440" w:before="0" w:after="0"/>
        <w:jc w:val="left"/>
        <w:ind w:left="520" w:hanging="520"/>
      </w:pPr>
      <w:r>
        <w:rPr>
          <w:rFonts w:ascii="Times New Roman" w:hAnsi="Times New Roman" w:eastAsia="宋体" w:cs="Times New Roman"/>
          <w:sz w:val="21"/>
        </w:rPr>
        <w:t>[14] HTEIN N M, LOUVROS P, STEFANOU E, et al. AI-based optimization techniques for hydrodynamic and structural design in ships: a review[J]. Journal of Marine Science and Engineering, 2025, 13(9): 1719. DOI:10.3390/jmse13091719.</w:t>
      </w:r>
    </w:p>
    <w:p>
      <w:pPr>
        <w:spacing w:lineRule="exact" w:line="440" w:before="0" w:after="0"/>
        <w:jc w:val="left"/>
        <w:ind w:left="520" w:hanging="520"/>
      </w:pPr>
      <w:r>
        <w:rPr>
          <w:rFonts w:ascii="Times New Roman" w:hAnsi="Times New Roman" w:eastAsia="宋体" w:cs="Times New Roman"/>
          <w:sz w:val="21"/>
        </w:rPr>
        <w:t>[15] 上海外高桥造船有限公司. 外高桥造船三维数字化设计取得阶段性重要进展 企业数字化转型加快推进落地[EB/OL]. (2022-06-17)[2026-09-16]. https://www.chinasws.com/sws/document/2050.html.</w:t>
      </w:r>
    </w:p>
    <w:p>
      <w:pPr>
        <w:spacing w:lineRule="exact" w:line="440" w:before="0" w:after="0"/>
        <w:jc w:val="left"/>
        <w:ind w:left="520" w:hanging="520"/>
      </w:pPr>
      <w:r>
        <w:rPr>
          <w:rFonts w:ascii="Times New Roman" w:hAnsi="Times New Roman" w:eastAsia="宋体" w:cs="Times New Roman"/>
          <w:sz w:val="21"/>
        </w:rPr>
        <w:t>[16] 国务院国有资产监督管理委员会. 心怀国之大者研制国产大型邮轮 成功摘取造船业皇冠上最后一颗"明珠"[EB/OL]. (2025-10-10)[2026-09-16]. http://www.sasac.gov.cn/n4470048/n32559362/n34503500/n34503524/c34630121/content.html.</w:t>
      </w:r>
    </w:p>
    <w:p>
      <w:pPr>
        <w:spacing w:lineRule="exact" w:line="440" w:before="0" w:after="0"/>
        <w:jc w:val="left"/>
        <w:ind w:left="520" w:hanging="520"/>
      </w:pPr>
      <w:r>
        <w:rPr>
          <w:rFonts w:ascii="Times New Roman" w:hAnsi="Times New Roman" w:eastAsia="宋体" w:cs="Times New Roman"/>
          <w:sz w:val="21"/>
        </w:rPr>
        <w:t>[17] 易国伟, 陈刚, 刘佩, 等. 国产首制大型邮轮总装能力建设与产业发展研究[J]. 中国工程科学, 2022, 24(2): 113-122. DOI:10.15302/J-SSCAE-2022.02.005.</w:t>
      </w:r>
    </w:p>
    <w:p>
      <w:pPr>
        <w:spacing w:lineRule="exact" w:line="440" w:before="0" w:after="0"/>
        <w:jc w:val="left"/>
        <w:ind w:left="520" w:hanging="520"/>
      </w:pPr>
      <w:r>
        <w:rPr>
          <w:rFonts w:ascii="Times New Roman" w:hAnsi="Times New Roman" w:eastAsia="宋体" w:cs="Times New Roman"/>
          <w:sz w:val="21"/>
        </w:rPr>
        <w:t>[18] 卢力媛, 王春. "爱达·花城号"出坞: 国产大型邮轮建造实现"加速跑"[N/OL]. 科技日报, 2026-03-23[2026-09-16]. https://www.stdaily.com/web/gdxw/2026-03/23/content_490696.html.</w:t>
      </w:r>
    </w:p>
    <w:p>
      <w:pPr>
        <w:spacing w:lineRule="exact" w:line="440" w:before="0" w:after="0"/>
        <w:jc w:val="left"/>
        <w:ind w:left="520" w:hanging="520"/>
      </w:pPr>
      <w:r>
        <w:rPr>
          <w:rFonts w:ascii="Times New Roman" w:hAnsi="Times New Roman" w:eastAsia="宋体" w:cs="Times New Roman"/>
          <w:sz w:val="21"/>
        </w:rPr>
        <w:t>[19] 中国新闻网. 双船坞并进 中船集团外高桥造船"十四五"淬炼升维之路圆满收官[EB/OL]. (2025-12-17)[2026-09-16]. https://www.sh.chinanews.com.cn/kjjy/2025-12-17/143421.shtml.</w:t>
      </w:r>
    </w:p>
    <w:p>
      <w:pPr>
        <w:spacing w:lineRule="exact" w:line="440" w:before="0" w:after="0"/>
        <w:jc w:val="left"/>
        <w:ind w:left="520" w:hanging="520"/>
      </w:pPr>
      <w:r>
        <w:rPr>
          <w:rFonts w:ascii="Times New Roman" w:hAnsi="Times New Roman" w:eastAsia="宋体" w:cs="Times New Roman"/>
          <w:sz w:val="21"/>
        </w:rPr>
        <w:t>[20] 中华航运网. 全球最大27万立方米LNG船数字样船2.0发布[EB/OL]. (2026-04-29)[2026-09-16]. https://info.chineseshipping.com.cn/cninfo/News/202604/t20260429_1415359.shtml.</w:t>
      </w:r>
    </w:p>
    <w:p>
      <w:pPr>
        <w:spacing w:lineRule="exact" w:line="440" w:before="0" w:after="0"/>
        <w:jc w:val="left"/>
        <w:ind w:left="520" w:hanging="520"/>
      </w:pPr>
      <w:r>
        <w:rPr>
          <w:rFonts w:ascii="Times New Roman" w:hAnsi="Times New Roman" w:eastAsia="宋体" w:cs="Times New Roman"/>
          <w:sz w:val="21"/>
        </w:rPr>
        <w:t>[21] 中企视讯网. 江南研究院院长助理兼信息技术研究所所长单小芬: 助推传统制造业数字化转型, 实现数字造船新突破[EB/OL]. (2024-03-20)[2026-09-16]. https://www.zqsxw.com/special/9400.html.</w:t>
      </w:r>
    </w:p>
    <w:p>
      <w:pPr>
        <w:spacing w:lineRule="exact" w:line="440" w:before="0" w:after="0"/>
        <w:jc w:val="left"/>
        <w:ind w:left="520" w:hanging="520"/>
      </w:pPr>
      <w:r>
        <w:rPr>
          <w:rFonts w:ascii="Times New Roman" w:hAnsi="Times New Roman" w:eastAsia="宋体" w:cs="Times New Roman"/>
          <w:sz w:val="21"/>
        </w:rPr>
        <w:t>[22] 上海交通大学中国海洋装备工程科技发展战略研究院. 海洋信息每周参考(2026年6月1日—6月8日)[R/OL]. (2026-06-15)[2026-09-16]. https://csioe.sjtu.edu.cn/Upload/Files/2026-06-15-09-19-54-442072.pdf.</w:t>
      </w:r>
    </w:p>
    <w:p>
      <w:pPr>
        <w:spacing w:lineRule="exact" w:line="440" w:before="0" w:after="0"/>
        <w:jc w:val="left"/>
        <w:ind w:left="520" w:hanging="520"/>
      </w:pPr>
      <w:r>
        <w:rPr>
          <w:rFonts w:ascii="Times New Roman" w:hAnsi="Times New Roman" w:eastAsia="宋体" w:cs="Times New Roman"/>
          <w:sz w:val="21"/>
        </w:rPr>
        <w:t>[23] BORDBAR A, TADROS M, NAZEMIAN A, et al. Digitalisation of shipyard production planning: a review of simulation, optimisation, AI, and digital twin methods (2010-2025)[J]. Journal of Marine Science and Engineering, 2026, 14(4): 396. DOI:10.3390/jmse14040396.</w:t>
      </w:r>
    </w:p>
    <w:p>
      <w:pPr>
        <w:spacing w:lineRule="exact" w:line="440" w:before="0" w:after="0"/>
        <w:jc w:val="left"/>
        <w:ind w:left="520" w:hanging="520"/>
      </w:pPr>
      <w:r>
        <w:rPr>
          <w:rFonts w:ascii="Times New Roman" w:hAnsi="Times New Roman" w:eastAsia="宋体" w:cs="Times New Roman"/>
          <w:sz w:val="21"/>
        </w:rPr>
        <w:t>[24] SÁNCHEZ-FERNÁNDEZ Á, VLAD-VOINEA E D, PERNAS-ÁLVAREZ J, et al. Framework for the development of a process digital twin in shipbuilding: a case study in a robotized minor pre-assembly workstation[J]. Journal of Marine Science and Engineering, 2026, 14(1): 106. DOI:10.3390/jmse14010106.</w:t>
      </w:r>
    </w:p>
    <w:p>
      <w:pPr>
        <w:spacing w:lineRule="exact" w:line="440" w:before="0" w:after="0"/>
        <w:jc w:val="left"/>
        <w:ind w:left="520" w:hanging="520"/>
      </w:pPr>
      <w:r>
        <w:rPr>
          <w:rFonts w:ascii="Times New Roman" w:hAnsi="Times New Roman" w:eastAsia="宋体" w:cs="Times New Roman"/>
          <w:sz w:val="21"/>
        </w:rPr>
        <w:t>[25] 肖嘉豪, 富威, 刘鑫宇, 等. 基于数字孪生的船舶制造车间管理系统[J]. 应用科技, 2024, 51(3): 7-14. DOI:10.11991/yykj.202310004.</w:t>
      </w:r>
    </w:p>
    <w:p>
      <w:pPr>
        <w:spacing w:lineRule="exact" w:line="440" w:before="0" w:after="0"/>
        <w:jc w:val="left"/>
        <w:ind w:left="520" w:hanging="520"/>
      </w:pPr>
      <w:r>
        <w:rPr>
          <w:rFonts w:ascii="Times New Roman" w:hAnsi="Times New Roman" w:eastAsia="宋体" w:cs="Times New Roman"/>
          <w:sz w:val="21"/>
        </w:rPr>
        <w:t>[26] 中国船级社. 船舶数字化交付指南(2025)[EB/OL]. (2025-06-24)[2026-09-16]. https://www.ccs.org.cn/ccswz/articleDetail?id=202506240237478352.</w:t>
      </w:r>
    </w:p>
    <w:p>
      <w:pPr>
        <w:spacing w:lineRule="exact" w:line="440" w:before="0" w:after="0"/>
        <w:jc w:val="left"/>
        <w:ind w:left="520" w:hanging="520"/>
      </w:pPr>
      <w:r>
        <w:rPr>
          <w:rFonts w:ascii="Times New Roman" w:hAnsi="Times New Roman" w:eastAsia="宋体" w:cs="Times New Roman"/>
          <w:sz w:val="21"/>
        </w:rPr>
        <w:t>[27] 中国船级社. 智能船舶规范(2025)[EB/OL]. (2025-03-12)[2026-09-16]. https://www.ccs.org.cn/ccswz/specialDetail?id=202503120375512073.</w:t>
      </w:r>
    </w:p>
    <w:p>
      <w:pPr>
        <w:spacing w:lineRule="exact" w:line="440" w:before="0" w:after="0"/>
        <w:jc w:val="left"/>
        <w:ind w:left="520" w:hanging="520"/>
      </w:pPr>
      <w:r>
        <w:rPr>
          <w:rFonts w:ascii="Times New Roman" w:hAnsi="Times New Roman" w:eastAsia="宋体" w:cs="Times New Roman"/>
          <w:sz w:val="21"/>
        </w:rPr>
        <w:t>[28] 中国船级社. 中远海运集团和中国船级社联合发布《数字船舶白皮书》[EB/OL]. (2025-10-21)[2026-09-16]. https://www.ccs.org.cn/ccswz/articleDetail?id=202510210297230612.</w:t>
      </w:r>
    </w:p>
    <w:p>
      <w:pPr>
        <w:spacing w:lineRule="exact" w:line="440" w:before="0" w:after="0"/>
        <w:jc w:val="left"/>
        <w:ind w:left="520" w:hanging="520"/>
      </w:pPr>
      <w:r>
        <w:rPr>
          <w:rFonts w:ascii="Times New Roman" w:hAnsi="Times New Roman" w:eastAsia="宋体" w:cs="Times New Roman"/>
          <w:sz w:val="21"/>
        </w:rPr>
        <w:t>[29] 中国教育在线. 数智赋能绿色航运 产教融合再谱新篇: 上海海事大学LNG船舶智能与创新实验室正式启用[EB/OL]. (2025-12-25)[2026-09-16]. https://shanghai.eol.cn/shanghainews/202512/t20251225_2712125.shtml.</w:t>
      </w:r>
    </w:p>
    <w:p>
      <w:pPr>
        <w:spacing w:lineRule="exact" w:line="440" w:before="0" w:after="0"/>
        <w:jc w:val="left"/>
        <w:ind w:left="520" w:hanging="520"/>
      </w:pPr>
      <w:r>
        <w:rPr>
          <w:rFonts w:ascii="Times New Roman" w:hAnsi="Times New Roman" w:eastAsia="宋体" w:cs="Times New Roman"/>
          <w:sz w:val="21"/>
        </w:rPr>
        <w:t>[30] BARONE G, BUONOMANO A, DEL PAPA G, et al. Towards sustainable ships: advancing energy efficiency of HVAC systems onboard through digital twin[J]. Energy, 2025, 317: 134435. DOI:10.1016/j.energy.2025.134435.</w:t>
      </w:r>
    </w:p>
    <w:p>
      <w:pPr>
        <w:spacing w:lineRule="exact" w:line="440" w:before="0" w:after="0"/>
        <w:jc w:val="left"/>
        <w:ind w:left="520" w:hanging="520"/>
      </w:pPr>
      <w:r>
        <w:rPr>
          <w:rFonts w:ascii="Times New Roman" w:hAnsi="Times New Roman" w:eastAsia="宋体" w:cs="Times New Roman"/>
          <w:sz w:val="21"/>
        </w:rPr>
        <w:t>[31] 杨泽文, 郭力, 袁昱超, 等. 大模型驱动的船舶结构健康监测系统关键技术研究综述及展望[J]. 中国舰船研究, 2025, 20(6): 3-18. DOI:10.19693/j.issn.1673-3185.04467.</w:t>
      </w:r>
    </w:p>
    <w:p>
      <w:pPr>
        <w:spacing w:lineRule="exact" w:line="440" w:before="0" w:after="0"/>
        <w:jc w:val="left"/>
        <w:ind w:left="520" w:hanging="520"/>
      </w:pPr>
      <w:r>
        <w:rPr>
          <w:rFonts w:ascii="Times New Roman" w:hAnsi="Times New Roman" w:eastAsia="宋体" w:cs="Times New Roman"/>
          <w:sz w:val="21"/>
        </w:rPr>
        <w:t>[32] WEI P Y, LI C T, JIANG Z, et al. Real-time digital twin of ship structure deformation field based on the inverse finite element method[J]. Journal of Marine Science and Engineering, 2024, 12(2): 257. DOI:10.3390/jmse12020257.</w:t>
      </w:r>
    </w:p>
    <w:p>
      <w:pPr>
        <w:spacing w:lineRule="exact" w:line="440" w:before="0" w:after="0"/>
        <w:jc w:val="left"/>
        <w:ind w:left="520" w:hanging="520"/>
      </w:pPr>
      <w:r>
        <w:rPr>
          <w:rFonts w:ascii="Times New Roman" w:hAnsi="Times New Roman" w:eastAsia="宋体" w:cs="Times New Roman"/>
          <w:sz w:val="21"/>
        </w:rPr>
        <w:t>[33] 马枫, 王秀敏, 陈晨, 等. 双大语言模型核心驱动的自适应船舶航行智能体架构[J]. 中国舰船研究, 2025, 20(6): 101-125. DOI:10.19693/j.issn.1673-3185.04476.</w:t>
      </w:r>
    </w:p>
    <w:p>
      <w:pPr>
        <w:spacing w:lineRule="exact" w:line="440" w:before="0" w:after="0"/>
        <w:jc w:val="left"/>
        <w:ind w:left="520" w:hanging="520"/>
      </w:pPr>
      <w:r>
        <w:rPr>
          <w:rFonts w:ascii="Times New Roman" w:hAnsi="Times New Roman" w:eastAsia="宋体" w:cs="Times New Roman"/>
          <w:sz w:val="21"/>
        </w:rPr>
        <w:t>[34] 厦门日报. "文鳐"入海 智算扩容! 思明智算中心筑牢算力底座, 助推数字经济扎根实体[EB/OL]. (2026-08-28)[2026-09-16]. https://news.qq.com/rain/a/20260828A03M2M00.</w:t>
      </w:r>
    </w:p>
    <w:p>
      <w:pPr>
        <w:spacing w:lineRule="exact" w:line="440" w:before="0" w:after="0"/>
        <w:jc w:val="left"/>
        <w:ind w:left="520" w:hanging="520"/>
      </w:pPr>
      <w:r>
        <w:rPr>
          <w:rFonts w:ascii="Times New Roman" w:hAnsi="Times New Roman" w:eastAsia="宋体" w:cs="Times New Roman"/>
          <w:sz w:val="21"/>
        </w:rPr>
        <w:t>[35] YE C, DASHTIMANESH A, JEONG Y, et al. A review on digital twin application in integrated ship design and production for decarbonisation[J]. Ocean Engineering, 2026, 359: 125925. DOI:10.1016/j.oceaneng.2026.125925.</w:t>
      </w:r>
    </w:p>
    <w:p>
      <w:pPr>
        <w:spacing w:lineRule="exact" w:line="440" w:before="0" w:after="0"/>
        <w:jc w:val="left"/>
        <w:ind w:left="520" w:hanging="520"/>
      </w:pPr>
      <w:r>
        <w:rPr>
          <w:rFonts w:ascii="Times New Roman" w:hAnsi="Times New Roman" w:eastAsia="宋体" w:cs="Times New Roman"/>
          <w:sz w:val="21"/>
        </w:rPr>
        <w:t>[36] 福建省工业和信息化厅. 全国首个船舶与海洋工程行业大模型发布[EB/OL]. (2024-11-13)[2026-09-16]. https://gxt.fujian.gov.cn/zwgk/xw/jxyw/202411/t20241113_6565488.htm.</w:t>
      </w:r>
    </w:p>
    <w:p>
      <w:pPr>
        <w:spacing w:lineRule="exact" w:line="440" w:before="0" w:after="0"/>
        <w:jc w:val="left"/>
        <w:ind w:left="520" w:hanging="520"/>
      </w:pPr>
      <w:r>
        <w:rPr>
          <w:rFonts w:ascii="Times New Roman" w:hAnsi="Times New Roman" w:eastAsia="宋体" w:cs="Times New Roman"/>
          <w:sz w:val="21"/>
        </w:rPr>
        <w:t>[37] 百度智能云. 百度智能云"大模型行业合伙人计划"再升级![EB/OL]. (2025-09-03)[2026-09-16]. https://cloud.baidu.com/news/news_598f7f5a-8e0f-44d6-9321-57a7e2b0c9ea.</w:t>
      </w:r>
    </w:p>
    <w:p>
      <w:pPr>
        <w:spacing w:lineRule="exact" w:line="440" w:before="0" w:after="0"/>
        <w:jc w:val="left"/>
        <w:ind w:left="520" w:hanging="520"/>
      </w:pPr>
      <w:r>
        <w:rPr>
          <w:rFonts w:ascii="Times New Roman" w:hAnsi="Times New Roman" w:eastAsia="宋体" w:cs="Times New Roman"/>
          <w:sz w:val="21"/>
        </w:rPr>
        <w:t>[38] 厦门市信息化协会. AI赋能深蓝: 厦门"文鳐"大模型激活海洋经济新引擎[EB/OL]. (2026-07-28)[2026-09-16]. https://www.xmicc.org.cn/detail/2463.html.</w:t>
      </w:r>
    </w:p>
    <w:p>
      <w:pPr>
        <w:spacing w:lineRule="exact" w:line="440" w:before="0" w:after="0"/>
        <w:jc w:val="left"/>
        <w:ind w:left="520" w:hanging="520"/>
      </w:pPr>
      <w:r>
        <w:rPr>
          <w:rFonts w:ascii="Times New Roman" w:hAnsi="Times New Roman" w:eastAsia="宋体" w:cs="Times New Roman"/>
          <w:sz w:val="21"/>
        </w:rPr>
        <w:t>[39] 中国船舶集团有限公司. 接入DeepSeek! 开启AI应用新篇章[EB/OL]. (2025-02-25)[2026-09-16]. http://www.cssc.net.cn/n135/n171/n179/c31277/content.html.</w:t>
      </w:r>
    </w:p>
    <w:p>
      <w:pPr>
        <w:spacing w:lineRule="exact" w:line="440" w:before="0" w:after="0"/>
        <w:jc w:val="left"/>
        <w:ind w:left="520" w:hanging="520"/>
      </w:pPr>
      <w:r>
        <w:rPr>
          <w:rFonts w:ascii="Times New Roman" w:hAnsi="Times New Roman" w:eastAsia="宋体" w:cs="Times New Roman"/>
          <w:sz w:val="21"/>
        </w:rPr>
        <w:t>[40] 国际船舶海工网. 拥抱DeepSeek, 外高桥造船大模型平台上线[EB/OL]. (2025-02-25)[2026-09-16]. https://m.sohu.com/a/863736748_120407443/.</w:t>
      </w:r>
    </w:p>
    <w:p>
      <w:pPr>
        <w:spacing w:lineRule="exact" w:line="440" w:before="0" w:after="0"/>
        <w:jc w:val="left"/>
        <w:ind w:left="520" w:hanging="520"/>
      </w:pPr>
      <w:r>
        <w:rPr>
          <w:rFonts w:ascii="Times New Roman" w:hAnsi="Times New Roman" w:eastAsia="宋体" w:cs="Times New Roman"/>
          <w:sz w:val="21"/>
        </w:rPr>
        <w:t>[41] 白敬波, 陈宇, 胡锴. 大模型赋能船舶工业全周期: 技术原理、应用原则和案例分析[J]. 中国舰船研究, 2026, 21(4): 40-60. DOI:10.19693/j.issn.1673-3185.04811.</w:t>
      </w:r>
    </w:p>
    <w:p>
      <w:pPr>
        <w:spacing w:lineRule="exact" w:line="440" w:before="0" w:after="0"/>
        <w:jc w:val="left"/>
        <w:ind w:left="520" w:hanging="520"/>
      </w:pPr>
      <w:r>
        <w:rPr>
          <w:rFonts w:ascii="Times New Roman" w:hAnsi="Times New Roman" w:eastAsia="宋体" w:cs="Times New Roman"/>
          <w:sz w:val="21"/>
        </w:rPr>
        <w:t>[42] 黄永裕, 何灵伟, 杨沂铮, 等. 三维生成式大模型在船型概念设计中的可行性研究[J]. 中国舰船研究, 2025, 20(6): 53-66. DOI:10.19693/j.issn.1673-3185.04501.</w:t>
      </w:r>
    </w:p>
    <w:p>
      <w:pPr>
        <w:spacing w:lineRule="exact" w:line="440" w:before="0" w:after="0"/>
        <w:jc w:val="left"/>
        <w:ind w:left="520" w:hanging="520"/>
      </w:pPr>
      <w:r>
        <w:rPr>
          <w:rFonts w:ascii="Times New Roman" w:hAnsi="Times New Roman" w:eastAsia="宋体" w:cs="Times New Roman"/>
          <w:sz w:val="21"/>
        </w:rPr>
        <w:t>[43] 中国新闻社上海分社. 聚焦人工智能与船舶工业深度融合: "AI赋能海洋——智领深蓝, 加速未来船舶跨界融合论坛"成功举办[EB/OL]. (2025-07-27)[2026-09-16]. https://www.sh.chinanews.com.cn/chanjing/2025-07-27/138460.shtml.</w:t>
      </w:r>
    </w:p>
    <w:p>
      <w:pPr>
        <w:spacing w:lineRule="exact" w:line="440" w:before="0" w:after="0"/>
        <w:jc w:val="left"/>
        <w:ind w:left="520" w:hanging="520"/>
      </w:pPr>
      <w:r>
        <w:rPr>
          <w:rFonts w:ascii="Times New Roman" w:hAnsi="Times New Roman" w:eastAsia="宋体" w:cs="Times New Roman"/>
          <w:sz w:val="21"/>
        </w:rPr>
        <w:t>[44] 新浪财经. 中船集团发布2026年度人工智能十大创新成果[EB/OL]. (2026-07-18)[2026-09-16]. https://finance.sina.com.cn/jjxw/2026-07-18/doc-iniifxrx4063990.shtml.</w:t>
      </w:r>
    </w:p>
    <w:p>
      <w:pPr>
        <w:spacing w:lineRule="exact" w:line="440" w:before="0" w:after="0"/>
        <w:jc w:val="left"/>
        <w:ind w:left="520" w:hanging="520"/>
      </w:pPr>
      <w:r>
        <w:rPr>
          <w:rFonts w:ascii="Times New Roman" w:hAnsi="Times New Roman" w:eastAsia="宋体" w:cs="Times New Roman"/>
          <w:sz w:val="21"/>
        </w:rPr>
        <w:t>[45] 交通运输部, 工业和信息化部, 国务院国资委, 等. 智能航运2030行动计划: 交海发〔2026〕15号[EB/OL]. (2026-02-28)[2026-09-16]. https://www.gov.cn/zhengce/zhengceku/202603/content_7064168.htm.</w:t>
      </w:r>
    </w:p>
    <w:p>
      <w:pPr>
        <w:spacing w:lineRule="exact" w:line="440" w:before="0" w:after="0"/>
        <w:jc w:val="left"/>
        <w:ind w:left="520" w:hanging="520"/>
      </w:pPr>
      <w:r>
        <w:rPr>
          <w:rFonts w:ascii="Times New Roman" w:hAnsi="Times New Roman" w:eastAsia="宋体" w:cs="Times New Roman"/>
          <w:sz w:val="21"/>
        </w:rPr>
        <w:t>[46] 工业和信息化部, 国家发展改革委, 财政部, 等. 船舶制造业绿色发展行动纲要(2024-2030年): 工信部联重装〔2023〕254号[EB/OL]. (2023-12-26)[2026-09-16]. https://www.gov.cn/zhengce/zhengceku/202312/content_6923175.htm.</w:t>
      </w:r>
    </w:p>
    <w:p>
      <w:pPr>
        <w:spacing w:lineRule="exact" w:line="440" w:before="0" w:after="0"/>
        <w:jc w:val="left"/>
        <w:ind w:left="520" w:hanging="520"/>
      </w:pPr>
      <w:r>
        <w:rPr>
          <w:rFonts w:ascii="Times New Roman" w:hAnsi="Times New Roman" w:eastAsia="宋体" w:cs="Times New Roman"/>
          <w:sz w:val="21"/>
        </w:rPr>
        <w:t>[47] 上海市人民政府办公厅. 上海市建设长兴岛世界级现代化造船基地的实施方案(2025-2027年): 沪府办发〔2025〕12号[EB/OL]. (2025-06-17)[2026-09-16]. https://www.shanghai.gov.cn/nw12344/20250716/15a17c33f5904896ab5c9e16cee2e955.html.</w:t>
      </w:r>
    </w:p>
    <w:sectPr w:rsidR="00FC693F" w:rsidRPr="0006063C" w:rsidSect="00034616">
      <w:pgSz w:w="11906" w:h="16838"/>
      <w:pgMar w:top="1440" w:right="1800" w:bottom="1440" w:left="18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jc w:val="both"/>
    </w:pPr>
    <w:rPr>
      <w:rFonts w:ascii="Times New Roman" w:hAnsi="Times New Roman" w:cs="Times New Roman" w:eastAsia="宋体"/>
      <w:sz w:val="24"/>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