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i366izhj5ova" w:id="0"/>
      <w:bookmarkEnd w:id="0"/>
      <w:r w:rsidDel="00000000" w:rsidR="00000000" w:rsidRPr="00000000">
        <w:rPr>
          <w:rtl w:val="0"/>
        </w:rPr>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pPr>
      <w:r w:rsidDel="00000000" w:rsidR="00000000" w:rsidRPr="00000000">
        <w:rPr>
          <w:rtl w:val="0"/>
        </w:rPr>
        <w:t xml:space="preserve">Title: BioFusion: GPU-Accelerated Precision Survival Analysis in Breast Cancer</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Team: ByteRunners</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pPr>
      <w:r w:rsidDel="00000000" w:rsidR="00000000" w:rsidRPr="00000000">
        <w:rPr>
          <w:rtl w:val="0"/>
        </w:rPr>
        <w:t xml:space="preserve">Competition: BioFusion Hackathon 2026</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ytyj8slt5g7v" w:id="1"/>
      <w:bookmarkEnd w:id="1"/>
      <w:r w:rsidDel="00000000" w:rsidR="00000000" w:rsidRPr="00000000">
        <w:rPr>
          <w:b w:val="1"/>
          <w:bCs w:val="1"/>
          <w:color w:val="000000"/>
          <w:sz w:val="26"/>
          <w:szCs w:val="26"/>
          <w:rtl w:val="0"/>
        </w:rPr>
        <w:t xml:space="preserve">1. Executive Summary</w:t>
      </w:r>
    </w:p>
    <w:p w:rsidR="00000000" w:rsidDel="00000000" w:rsidP="00000000" w:rsidRDefault="00000000" w:rsidRPr="00000000" w14:paraId="00000008">
      <w:pPr>
        <w:spacing w:after="240" w:lineRule="auto"/>
        <w:rPr/>
      </w:pPr>
      <w:r w:rsidDel="00000000" w:rsidR="00000000" w:rsidRPr="00000000">
        <w:rPr>
          <w:rtl w:val="0"/>
        </w:rPr>
        <w:t xml:space="preserve">In the fight against cancer, time is as valuable as accuracy. Traditional survival models, while interpretable, often fail to capture the complex, non-linear interactions hidden within genomic data. Deep Learning models promise power but are computationally expensive and prone to overfitting on smaller medical datasets.</w:t>
      </w:r>
    </w:p>
    <w:p w:rsidR="00000000" w:rsidDel="00000000" w:rsidP="00000000" w:rsidRDefault="00000000" w:rsidRPr="00000000" w14:paraId="00000009">
      <w:pPr>
        <w:spacing w:after="240" w:lineRule="auto"/>
        <w:rPr/>
      </w:pPr>
      <w:r w:rsidDel="00000000" w:rsidR="00000000" w:rsidRPr="00000000">
        <w:rPr>
          <w:b w:val="1"/>
          <w:bCs w:val="1"/>
          <w:rtl w:val="0"/>
        </w:rPr>
        <w:t xml:space="preserve">Our Solution:</w:t>
      </w:r>
      <w:r w:rsidDel="00000000" w:rsidR="00000000" w:rsidRPr="00000000">
        <w:rPr>
          <w:rtl w:val="0"/>
        </w:rPr>
        <w:t xml:space="preserve"> We developed </w:t>
      </w:r>
      <w:r w:rsidDel="00000000" w:rsidR="00000000" w:rsidRPr="00000000">
        <w:rPr>
          <w:b w:val="1"/>
          <w:bCs w:val="1"/>
          <w:rtl w:val="0"/>
        </w:rPr>
        <w:t xml:space="preserve">BioFusion</w:t>
      </w:r>
      <w:r w:rsidDel="00000000" w:rsidR="00000000" w:rsidRPr="00000000">
        <w:rPr>
          <w:rtl w:val="0"/>
        </w:rPr>
        <w:t xml:space="preserve">, a high-performance survival analysis pipeline optimized specifically for </w:t>
      </w:r>
      <w:r w:rsidDel="00000000" w:rsidR="00000000" w:rsidRPr="00000000">
        <w:rPr>
          <w:b w:val="1"/>
          <w:bCs w:val="1"/>
          <w:rtl w:val="0"/>
        </w:rPr>
        <w:t xml:space="preserve">GPU Acceleration (NVIDIA RTX 3050)</w:t>
      </w:r>
      <w:r w:rsidDel="00000000" w:rsidR="00000000" w:rsidRPr="00000000">
        <w:rPr>
          <w:rtl w:val="0"/>
        </w:rPr>
        <w:t xml:space="preserve">. By leveraging Mixed Precision (FP16) training and GPU-accelerated Gradient Boosting, we created a system that not only predicts patient risk with scientific robustness (</w:t>
      </w:r>
      <w:r w:rsidDel="00000000" w:rsidR="00000000" w:rsidRPr="00000000">
        <w:rPr>
          <w:b w:val="1"/>
          <w:bCs w:val="1"/>
          <w:rtl w:val="0"/>
        </w:rPr>
        <w:t xml:space="preserve">C-Index: 0.72</w:t>
      </w:r>
      <w:r w:rsidDel="00000000" w:rsidR="00000000" w:rsidRPr="00000000">
        <w:rPr>
          <w:rtl w:val="0"/>
        </w:rPr>
        <w:t xml:space="preserve">) but does so with </w:t>
      </w:r>
      <w:r w:rsidDel="00000000" w:rsidR="00000000" w:rsidRPr="00000000">
        <w:rPr>
          <w:b w:val="1"/>
          <w:bCs w:val="1"/>
          <w:rtl w:val="0"/>
        </w:rPr>
        <w:t xml:space="preserve">15x greater efficiency</w:t>
      </w:r>
      <w:r w:rsidDel="00000000" w:rsidR="00000000" w:rsidRPr="00000000">
        <w:rPr>
          <w:rtl w:val="0"/>
        </w:rPr>
        <w:t xml:space="preserve"> than standard methods. This proves that high-performance AI can be deployed on standard hospital workstations, not just cloud supercomputers.</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lwxbf4rmdkeg" w:id="2"/>
      <w:bookmarkEnd w:id="2"/>
      <w:r w:rsidDel="00000000" w:rsidR="00000000" w:rsidRPr="00000000">
        <w:rPr>
          <w:b w:val="1"/>
          <w:bCs w:val="1"/>
          <w:color w:val="000000"/>
          <w:sz w:val="26"/>
          <w:szCs w:val="26"/>
          <w:rtl w:val="0"/>
        </w:rPr>
        <w:t xml:space="preserve">2. Problem Identification</w:t>
      </w:r>
    </w:p>
    <w:p w:rsidR="00000000" w:rsidDel="00000000" w:rsidP="00000000" w:rsidRDefault="00000000" w:rsidRPr="00000000" w14:paraId="0000000B">
      <w:pPr>
        <w:spacing w:after="240" w:lineRule="auto"/>
        <w:rPr/>
      </w:pPr>
      <w:r w:rsidDel="00000000" w:rsidR="00000000" w:rsidRPr="00000000">
        <w:rPr>
          <w:rtl w:val="0"/>
        </w:rPr>
        <w:t xml:space="preserve">Breast cancer outcomes are highly variable. Current staging systems (like TNM) provide a static snapshot, often grouping high-risk patients with low-risk ones based solely on tumor size. There is a critical unmet need for a dynamic tool that integrates </w:t>
      </w:r>
      <w:r w:rsidDel="00000000" w:rsidR="00000000" w:rsidRPr="00000000">
        <w:rPr>
          <w:b w:val="1"/>
          <w:bCs w:val="1"/>
          <w:rtl w:val="0"/>
        </w:rPr>
        <w:t xml:space="preserve">genomic instability</w:t>
      </w:r>
      <w:r w:rsidDel="00000000" w:rsidR="00000000" w:rsidRPr="00000000">
        <w:rPr>
          <w:rtl w:val="0"/>
        </w:rPr>
        <w:t xml:space="preserve"> (e.g., mutation counts) with clinical markers to predict </w:t>
      </w:r>
      <w:r w:rsidDel="00000000" w:rsidR="00000000" w:rsidRPr="00000000">
        <w:rPr>
          <w:i w:val="1"/>
          <w:iCs w:val="1"/>
          <w:rtl w:val="0"/>
        </w:rPr>
        <w:t xml:space="preserve">exact</w:t>
      </w:r>
      <w:r w:rsidDel="00000000" w:rsidR="00000000" w:rsidRPr="00000000">
        <w:rPr>
          <w:rtl w:val="0"/>
        </w:rPr>
        <w:t xml:space="preserve"> survival timelines. However, analyzing high-dimensional genomic interactions creates a computational bottleneck for real-time clinical use.</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h39k22bfsf5b" w:id="3"/>
      <w:bookmarkEnd w:id="3"/>
      <w:r w:rsidDel="00000000" w:rsidR="00000000" w:rsidRPr="00000000">
        <w:rPr>
          <w:b w:val="1"/>
          <w:bCs w:val="1"/>
          <w:color w:val="000000"/>
          <w:sz w:val="26"/>
          <w:szCs w:val="26"/>
          <w:rtl w:val="0"/>
        </w:rPr>
        <w:t xml:space="preserve">3. Dataset &amp; Hardware Optimization</w:t>
      </w:r>
    </w:p>
    <w:p w:rsidR="00000000" w:rsidDel="00000000" w:rsidP="00000000" w:rsidRDefault="00000000" w:rsidRPr="00000000" w14:paraId="0000000D">
      <w:pPr>
        <w:spacing w:after="240" w:lineRule="auto"/>
        <w:rPr/>
      </w:pPr>
      <w:r w:rsidDel="00000000" w:rsidR="00000000" w:rsidRPr="00000000">
        <w:rPr>
          <w:rtl w:val="0"/>
        </w:rPr>
        <w:t xml:space="preserve">We utilized the </w:t>
      </w:r>
      <w:r w:rsidDel="00000000" w:rsidR="00000000" w:rsidRPr="00000000">
        <w:rPr>
          <w:b w:val="1"/>
          <w:bCs w:val="1"/>
          <w:rtl w:val="0"/>
        </w:rPr>
        <w:t xml:space="preserve">METABRIC</w:t>
      </w:r>
      <w:r w:rsidDel="00000000" w:rsidR="00000000" w:rsidRPr="00000000">
        <w:rPr>
          <w:rtl w:val="0"/>
        </w:rPr>
        <w:t xml:space="preserve"> dataset (Nature 2012), combining clinical features with gene expression data for over 1,900 patients.</w:t>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pPr>
      <w:r w:rsidDel="00000000" w:rsidR="00000000" w:rsidRPr="00000000">
        <w:rPr>
          <w:rtl w:val="0"/>
        </w:rPr>
        <w:t xml:space="preserve">The Hardware Advantage (RTX 3050 Optimization):</w:t>
      </w:r>
    </w:p>
    <w:p w:rsidR="00000000" w:rsidDel="00000000" w:rsidP="00000000" w:rsidRDefault="00000000" w:rsidRPr="00000000" w14:paraId="0000000F">
      <w:pPr>
        <w:pBdr>
          <w:top w:color="auto" w:space="0" w:sz="0" w:val="none"/>
          <w:bottom w:color="auto" w:space="0" w:sz="0" w:val="none"/>
          <w:between w:color="auto" w:space="0" w:sz="0" w:val="none"/>
        </w:pBdr>
        <w:spacing w:after="240" w:lineRule="auto"/>
        <w:rPr/>
      </w:pPr>
      <w:r w:rsidDel="00000000" w:rsidR="00000000" w:rsidRPr="00000000">
        <w:rPr>
          <w:rtl w:val="0"/>
        </w:rPr>
        <w:t xml:space="preserve">Unlike standard CPU-based implementations, we architected our pipeline for the Ampere GPU Architecture:</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Mixed Precision (FP16):</w:t>
      </w:r>
      <w:r w:rsidDel="00000000" w:rsidR="00000000" w:rsidRPr="00000000">
        <w:rPr>
          <w:rtl w:val="0"/>
        </w:rPr>
        <w:t xml:space="preserve"> We implemented </w:t>
      </w:r>
      <w:r w:rsidDel="00000000" w:rsidR="00000000" w:rsidRPr="00000000">
        <w:rPr>
          <w:color w:val="188038"/>
          <w:rtl w:val="0"/>
        </w:rPr>
        <w:t xml:space="preserve">torch.cuda.amp</w:t>
      </w:r>
      <w:r w:rsidDel="00000000" w:rsidR="00000000" w:rsidRPr="00000000">
        <w:rPr>
          <w:rtl w:val="0"/>
        </w:rPr>
        <w:t xml:space="preserve"> to train our Neural Networks, reducing memory usage by ~40% and significantly speeding up backpropagation.</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b w:val="1"/>
          <w:bCs w:val="1"/>
          <w:rtl w:val="0"/>
        </w:rPr>
        <w:t xml:space="preserve">GPU-Hist Method:</w:t>
      </w:r>
      <w:r w:rsidDel="00000000" w:rsidR="00000000" w:rsidRPr="00000000">
        <w:rPr>
          <w:rtl w:val="0"/>
        </w:rPr>
        <w:t xml:space="preserve"> We utilized XGBoost’s </w:t>
      </w:r>
      <w:r w:rsidDel="00000000" w:rsidR="00000000" w:rsidRPr="00000000">
        <w:rPr>
          <w:color w:val="188038"/>
          <w:rtl w:val="0"/>
        </w:rPr>
        <w:t xml:space="preserve">gpu_hist</w:t>
      </w:r>
      <w:r w:rsidDel="00000000" w:rsidR="00000000" w:rsidRPr="00000000">
        <w:rPr>
          <w:rtl w:val="0"/>
        </w:rPr>
        <w:t xml:space="preserve"> tree method, which reduced hyperparameter grid-search time from hours to minutes.</w:t>
      </w:r>
    </w:p>
    <w:p w:rsidR="00000000" w:rsidDel="00000000" w:rsidP="00000000" w:rsidRDefault="00000000" w:rsidRPr="00000000" w14:paraId="00000012">
      <w:pPr>
        <w:numPr>
          <w:ilvl w:val="0"/>
          <w:numId w:val="4"/>
        </w:numPr>
        <w:spacing w:after="240" w:lineRule="auto"/>
        <w:ind w:left="720" w:hanging="360"/>
      </w:pPr>
      <w:r w:rsidDel="00000000" w:rsidR="00000000" w:rsidRPr="00000000">
        <w:rPr>
          <w:b w:val="1"/>
          <w:bCs w:val="1"/>
          <w:rtl w:val="0"/>
        </w:rPr>
        <w:t xml:space="preserve">Impact:</w:t>
      </w:r>
      <w:r w:rsidDel="00000000" w:rsidR="00000000" w:rsidRPr="00000000">
        <w:rPr>
          <w:rtl w:val="0"/>
        </w:rPr>
        <w:t xml:space="preserve"> This allowed us to test </w:t>
      </w:r>
      <w:r w:rsidDel="00000000" w:rsidR="00000000" w:rsidRPr="00000000">
        <w:rPr>
          <w:b w:val="1"/>
          <w:bCs w:val="1"/>
          <w:rtl w:val="0"/>
        </w:rPr>
        <w:t xml:space="preserve">162 hyperparameter combinations</w:t>
      </w:r>
      <w:r w:rsidDel="00000000" w:rsidR="00000000" w:rsidRPr="00000000">
        <w:rPr>
          <w:rtl w:val="0"/>
        </w:rPr>
        <w:t xml:space="preserve"> in the time it usually takes to test just 10, ensuring we found the absolute best model configuration.</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6v1z3xjgcjg6" w:id="4"/>
      <w:bookmarkEnd w:id="4"/>
      <w:r w:rsidDel="00000000" w:rsidR="00000000" w:rsidRPr="00000000">
        <w:rPr>
          <w:b w:val="1"/>
          <w:bCs w:val="1"/>
          <w:color w:val="000000"/>
          <w:sz w:val="26"/>
          <w:szCs w:val="26"/>
          <w:rtl w:val="0"/>
        </w:rPr>
        <w:t xml:space="preserve">4. Methodology</w:t>
      </w:r>
    </w:p>
    <w:p w:rsidR="00000000" w:rsidDel="00000000" w:rsidP="00000000" w:rsidRDefault="00000000" w:rsidRPr="00000000" w14:paraId="00000014">
      <w:pPr>
        <w:spacing w:after="240" w:lineRule="auto"/>
        <w:rPr/>
      </w:pPr>
      <w:r w:rsidDel="00000000" w:rsidR="00000000" w:rsidRPr="00000000">
        <w:rPr>
          <w:rtl w:val="0"/>
        </w:rPr>
        <w:t xml:space="preserve">Our approach focused on "Survival of the Fittest" model selection.</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pPr>
      <w:r w:rsidDel="00000000" w:rsidR="00000000" w:rsidRPr="00000000">
        <w:rPr>
          <w:rtl w:val="0"/>
        </w:rPr>
        <w:t xml:space="preserve">A. Feature Engineering (The Biological Layer)</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pPr>
      <w:r w:rsidDel="00000000" w:rsidR="00000000" w:rsidRPr="00000000">
        <w:rPr>
          <w:rtl w:val="0"/>
        </w:rPr>
        <w:t xml:space="preserve">We didn't just use raw data. We generated 721 features, creating polynomial interaction terms (e.g., Age $\times$ Tumor Size) to model how clinical factors modify the risks associated with specific genes.</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B. The Contenders</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b w:val="1"/>
          <w:bCs w:val="1"/>
          <w:rtl w:val="0"/>
        </w:rPr>
        <w:t xml:space="preserve">DeepSurv (Neural Network):</w:t>
      </w:r>
      <w:r w:rsidDel="00000000" w:rsidR="00000000" w:rsidRPr="00000000">
        <w:rPr>
          <w:rtl w:val="0"/>
        </w:rPr>
        <w:t xml:space="preserve"> A deep feed-forward network trained with a custom Cox Partial Likelihood loss function.</w:t>
      </w:r>
    </w:p>
    <w:p w:rsidR="00000000" w:rsidDel="00000000" w:rsidP="00000000" w:rsidRDefault="00000000" w:rsidRPr="00000000" w14:paraId="00000019">
      <w:pPr>
        <w:numPr>
          <w:ilvl w:val="0"/>
          <w:numId w:val="1"/>
        </w:numPr>
        <w:spacing w:after="240" w:lineRule="auto"/>
        <w:ind w:left="720" w:hanging="360"/>
      </w:pPr>
      <w:r w:rsidDel="00000000" w:rsidR="00000000" w:rsidRPr="00000000">
        <w:rPr>
          <w:b w:val="1"/>
          <w:bCs w:val="1"/>
          <w:rtl w:val="0"/>
        </w:rPr>
        <w:t xml:space="preserve">XGBoost Survival (Gradient Boosting):</w:t>
      </w:r>
      <w:r w:rsidDel="00000000" w:rsidR="00000000" w:rsidRPr="00000000">
        <w:rPr>
          <w:rtl w:val="0"/>
        </w:rPr>
        <w:t xml:space="preserve"> A tree-based ensemble optimized for ranking survival times, running fully on the GPU.</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y8nzizkqaki6" w:id="5"/>
      <w:bookmarkEnd w:id="5"/>
      <w:r w:rsidDel="00000000" w:rsidR="00000000" w:rsidRPr="00000000">
        <w:rPr>
          <w:b w:val="1"/>
          <w:bCs w:val="1"/>
          <w:color w:val="000000"/>
          <w:sz w:val="26"/>
          <w:szCs w:val="26"/>
          <w:rtl w:val="0"/>
        </w:rPr>
        <w:t xml:space="preserve">5. Results &amp; Discussion</w:t>
      </w:r>
    </w:p>
    <w:p w:rsidR="00000000" w:rsidDel="00000000" w:rsidP="00000000" w:rsidRDefault="00000000" w:rsidRPr="00000000" w14:paraId="0000001B">
      <w:pPr>
        <w:spacing w:after="240" w:lineRule="auto"/>
        <w:rPr/>
      </w:pPr>
      <w:r w:rsidDel="00000000" w:rsidR="00000000" w:rsidRPr="00000000">
        <w:rPr>
          <w:rtl w:val="0"/>
        </w:rPr>
        <w:t xml:space="preserve">Our rigorous evaluation revealed that </w:t>
      </w:r>
      <w:r w:rsidDel="00000000" w:rsidR="00000000" w:rsidRPr="00000000">
        <w:rPr>
          <w:b w:val="1"/>
          <w:bCs w:val="1"/>
          <w:rtl w:val="0"/>
        </w:rPr>
        <w:t xml:space="preserve">Gradient Boosting (XGBoost)</w:t>
      </w:r>
      <w:r w:rsidDel="00000000" w:rsidR="00000000" w:rsidRPr="00000000">
        <w:rPr>
          <w:rtl w:val="0"/>
        </w:rPr>
        <w:t xml:space="preserve"> was the superior predictor for this specific dataset, significantly outperforming the Neural Network.</w:t>
      </w:r>
    </w:p>
    <w:p w:rsidR="00000000" w:rsidDel="00000000" w:rsidP="00000000" w:rsidRDefault="00000000" w:rsidRPr="00000000" w14:paraId="0000001C">
      <w:pPr>
        <w:spacing w:after="240" w:lineRule="auto"/>
        <w:rPr>
          <w:b w:val="1"/>
          <w:bCs w:val="1"/>
        </w:rPr>
      </w:pPr>
      <w:r w:rsidDel="00000000" w:rsidR="00000000" w:rsidRPr="00000000">
        <w:rPr>
          <w:b w:val="1"/>
          <w:bCs w:val="1"/>
          <w:rtl w:val="0"/>
        </w:rPr>
        <w:t xml:space="preserve">Performance Metrics:</w:t>
      </w:r>
    </w:p>
    <w:tbl>
      <w:tblPr>
        <w:tblStyle w:val="Table1"/>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2435"/>
        <w:gridCol w:w="1175"/>
        <w:tblGridChange w:id="0">
          <w:tblGrid>
            <w:gridCol w:w="3470"/>
            <w:gridCol w:w="2435"/>
            <w:gridCol w:w="11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Model Strategy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C-Index (Accuracy)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Random Baseline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0.500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Baseline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DeepSurv (Neural Net)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0.638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Good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Ensemble Strategy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0.685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Better</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XGBoost (GPU-Accelerated)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0.722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Winner</w:t>
            </w:r>
            <w:r w:rsidDel="00000000" w:rsidR="00000000" w:rsidRPr="00000000">
              <w:rPr>
                <w:rtl w:val="0"/>
              </w:rPr>
            </w:r>
          </w:p>
        </w:tc>
      </w:tr>
    </w:tbl>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Analysis:</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b w:val="1"/>
          <w:bCs w:val="1"/>
          <w:rtl w:val="0"/>
        </w:rPr>
        <w:t xml:space="preserve">Robustness:</w:t>
      </w:r>
      <w:r w:rsidDel="00000000" w:rsidR="00000000" w:rsidRPr="00000000">
        <w:rPr>
          <w:rtl w:val="0"/>
        </w:rPr>
        <w:t xml:space="preserve"> The XGBoost model achieved a </w:t>
      </w:r>
      <w:r w:rsidDel="00000000" w:rsidR="00000000" w:rsidRPr="00000000">
        <w:rPr>
          <w:b w:val="1"/>
          <w:bCs w:val="1"/>
          <w:rtl w:val="0"/>
        </w:rPr>
        <w:t xml:space="preserve">C-Index of 0.72</w:t>
      </w:r>
      <w:r w:rsidDel="00000000" w:rsidR="00000000" w:rsidRPr="00000000">
        <w:rPr>
          <w:rtl w:val="0"/>
        </w:rPr>
        <w:t xml:space="preserve">, which is a scientifically robust score for the noisy METABRIC dataset (where benchmarks typically range from 0.63–0.68).</w:t>
      </w:r>
    </w:p>
    <w:p w:rsidR="00000000" w:rsidDel="00000000" w:rsidP="00000000" w:rsidRDefault="00000000" w:rsidRPr="00000000" w14:paraId="0000002E">
      <w:pPr>
        <w:numPr>
          <w:ilvl w:val="0"/>
          <w:numId w:val="3"/>
        </w:numPr>
        <w:spacing w:after="240" w:lineRule="auto"/>
        <w:ind w:left="720" w:hanging="360"/>
      </w:pPr>
      <w:r w:rsidDel="00000000" w:rsidR="00000000" w:rsidRPr="00000000">
        <w:rPr>
          <w:b w:val="1"/>
          <w:bCs w:val="1"/>
          <w:rtl w:val="0"/>
        </w:rPr>
        <w:t xml:space="preserve">Why XGBoost Won:</w:t>
      </w:r>
      <w:r w:rsidDel="00000000" w:rsidR="00000000" w:rsidRPr="00000000">
        <w:rPr>
          <w:rtl w:val="0"/>
        </w:rPr>
        <w:t xml:space="preserve"> While Neural Networks differ in recognizing patterns in images, Gradient Boosting often performs better on tabular medical data because it handles missing values and outliers (noise) more effectively. Our results confirmed this, showing XGBoost generalized better to unseen patients.</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pPr>
      <w:r w:rsidDel="00000000" w:rsidR="00000000" w:rsidRPr="00000000">
        <w:rPr>
          <w:rtl w:val="0"/>
        </w:rPr>
        <w:t xml:space="preserve">[INSERT FIGURE: MODEL COMPARISON DASHBOARD HERE]</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pPr>
      <w:r w:rsidDel="00000000" w:rsidR="00000000" w:rsidRPr="00000000">
        <w:rPr>
          <w:rtl w:val="0"/>
        </w:rPr>
        <w:t xml:space="preserve">Figure 1: Comparison of model performance. XGBoost (Blue) shows the most consistent risk distribution.</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y2auprvofwhi" w:id="6"/>
      <w:bookmarkEnd w:id="6"/>
      <w:r w:rsidDel="00000000" w:rsidR="00000000" w:rsidRPr="00000000">
        <w:rPr>
          <w:b w:val="1"/>
          <w:bCs w:val="1"/>
          <w:color w:val="000000"/>
          <w:sz w:val="26"/>
          <w:szCs w:val="26"/>
          <w:rtl w:val="0"/>
        </w:rPr>
        <w:t xml:space="preserve">6. Explainability &amp; Biological Validation</w:t>
      </w:r>
    </w:p>
    <w:p w:rsidR="00000000" w:rsidDel="00000000" w:rsidP="00000000" w:rsidRDefault="00000000" w:rsidRPr="00000000" w14:paraId="00000032">
      <w:pPr>
        <w:spacing w:after="240" w:lineRule="auto"/>
        <w:rPr/>
      </w:pPr>
      <w:r w:rsidDel="00000000" w:rsidR="00000000" w:rsidRPr="00000000">
        <w:rPr>
          <w:rtl w:val="0"/>
        </w:rPr>
        <w:t xml:space="preserve">We used </w:t>
      </w:r>
      <w:r w:rsidDel="00000000" w:rsidR="00000000" w:rsidRPr="00000000">
        <w:rPr>
          <w:b w:val="1"/>
          <w:bCs w:val="1"/>
          <w:rtl w:val="0"/>
        </w:rPr>
        <w:t xml:space="preserve">GPU-accelerated SHAP analysis</w:t>
      </w:r>
      <w:r w:rsidDel="00000000" w:rsidR="00000000" w:rsidRPr="00000000">
        <w:rPr>
          <w:rtl w:val="0"/>
        </w:rPr>
        <w:t xml:space="preserve"> to peek inside the "Black Box" and ensure the model was learning valid biology, not just noise.</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34">
      <w:pPr>
        <w:numPr>
          <w:ilvl w:val="0"/>
          <w:numId w:val="5"/>
        </w:numPr>
        <w:spacing w:after="0" w:afterAutospacing="0" w:lineRule="auto"/>
        <w:ind w:left="720" w:hanging="360"/>
      </w:pPr>
      <w:r w:rsidDel="00000000" w:rsidR="00000000" w:rsidRPr="00000000">
        <w:rPr>
          <w:b w:val="1"/>
          <w:bCs w:val="1"/>
          <w:rtl w:val="0"/>
        </w:rPr>
        <w:t xml:space="preserve">Clinical Drivers:</w:t>
      </w:r>
      <w:r w:rsidDel="00000000" w:rsidR="00000000" w:rsidRPr="00000000">
        <w:rPr>
          <w:rtl w:val="0"/>
        </w:rPr>
        <w:t xml:space="preserve"> </w:t>
      </w:r>
      <w:r w:rsidDel="00000000" w:rsidR="00000000" w:rsidRPr="00000000">
        <w:rPr>
          <w:i w:val="1"/>
          <w:iCs w:val="1"/>
          <w:rtl w:val="0"/>
        </w:rPr>
        <w:t xml:space="preserve">Tumor Stage</w:t>
      </w:r>
      <w:r w:rsidDel="00000000" w:rsidR="00000000" w:rsidRPr="00000000">
        <w:rPr>
          <w:rtl w:val="0"/>
        </w:rPr>
        <w:t xml:space="preserve"> and </w:t>
      </w:r>
      <w:r w:rsidDel="00000000" w:rsidR="00000000" w:rsidRPr="00000000">
        <w:rPr>
          <w:i w:val="1"/>
          <w:iCs w:val="1"/>
          <w:rtl w:val="0"/>
        </w:rPr>
        <w:t xml:space="preserve">Nottingham Prognostic Index</w:t>
      </w:r>
      <w:r w:rsidDel="00000000" w:rsidR="00000000" w:rsidRPr="00000000">
        <w:rPr>
          <w:rtl w:val="0"/>
        </w:rPr>
        <w:t xml:space="preserve"> were the strongest predictors of survival, aligning with established medical consensus.</w:t>
      </w:r>
    </w:p>
    <w:p w:rsidR="00000000" w:rsidDel="00000000" w:rsidP="00000000" w:rsidRDefault="00000000" w:rsidRPr="00000000" w14:paraId="00000035">
      <w:pPr>
        <w:numPr>
          <w:ilvl w:val="0"/>
          <w:numId w:val="5"/>
        </w:numPr>
        <w:spacing w:after="240" w:lineRule="auto"/>
        <w:ind w:left="720" w:hanging="360"/>
      </w:pPr>
      <w:r w:rsidDel="00000000" w:rsidR="00000000" w:rsidRPr="00000000">
        <w:rPr>
          <w:b w:val="1"/>
          <w:bCs w:val="1"/>
          <w:rtl w:val="0"/>
        </w:rPr>
        <w:t xml:space="preserve">Genomic Drivers:</w:t>
      </w:r>
      <w:r w:rsidDel="00000000" w:rsidR="00000000" w:rsidRPr="00000000">
        <w:rPr>
          <w:rtl w:val="0"/>
        </w:rPr>
        <w:t xml:space="preserve"> The model independently identified the </w:t>
      </w:r>
      <w:r w:rsidDel="00000000" w:rsidR="00000000" w:rsidRPr="00000000">
        <w:rPr>
          <w:b w:val="1"/>
          <w:bCs w:val="1"/>
          <w:rtl w:val="0"/>
        </w:rPr>
        <w:t xml:space="preserve">MYC</w:t>
      </w:r>
      <w:r w:rsidDel="00000000" w:rsidR="00000000" w:rsidRPr="00000000">
        <w:rPr>
          <w:rtl w:val="0"/>
        </w:rPr>
        <w:t xml:space="preserve"> gene (a known cancer driver) and </w:t>
      </w:r>
      <w:r w:rsidDel="00000000" w:rsidR="00000000" w:rsidRPr="00000000">
        <w:rPr>
          <w:b w:val="1"/>
          <w:bCs w:val="1"/>
          <w:rtl w:val="0"/>
        </w:rPr>
        <w:t xml:space="preserve">ESR1</w:t>
      </w:r>
      <w:r w:rsidDel="00000000" w:rsidR="00000000" w:rsidRPr="00000000">
        <w:rPr>
          <w:rtl w:val="0"/>
        </w:rPr>
        <w:t xml:space="preserve"> (Estrogen Receptor 1) as top predictors. This validates that our model successfully learned to prioritize biologically relevant genetic markers without human intervention.</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pPr>
      <w:r w:rsidDel="00000000" w:rsidR="00000000" w:rsidRPr="00000000">
        <w:rPr>
          <w:rtl w:val="0"/>
        </w:rPr>
        <w:t xml:space="preserve">[INSERT FIGURE: FEATURE IMPORTANCE PLOT HERE]</w:t>
      </w:r>
    </w:p>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pPr>
      <w:r w:rsidDel="00000000" w:rsidR="00000000" w:rsidRPr="00000000">
        <w:rPr>
          <w:rtl w:val="0"/>
        </w:rPr>
        <w:t xml:space="preserve">Figure 2: Top predictors identified by the model. Note the mix of clinical factors (Stage) and genetic factors (MYC, ESR1).</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956vwdrmeims" w:id="7"/>
      <w:bookmarkEnd w:id="7"/>
      <w:r w:rsidDel="00000000" w:rsidR="00000000" w:rsidRPr="00000000">
        <w:rPr>
          <w:b w:val="1"/>
          <w:bCs w:val="1"/>
          <w:color w:val="000000"/>
          <w:sz w:val="26"/>
          <w:szCs w:val="26"/>
          <w:rtl w:val="0"/>
        </w:rPr>
        <w:t xml:space="preserve">7. Real-World Application: Edge AI in Pathology</w:t>
      </w:r>
    </w:p>
    <w:p w:rsidR="00000000" w:rsidDel="00000000" w:rsidP="00000000" w:rsidRDefault="00000000" w:rsidRPr="00000000" w14:paraId="00000039">
      <w:pPr>
        <w:spacing w:after="240" w:lineRule="auto"/>
        <w:rPr/>
      </w:pPr>
      <w:r w:rsidDel="00000000" w:rsidR="00000000" w:rsidRPr="00000000">
        <w:rPr>
          <w:rtl w:val="0"/>
        </w:rPr>
        <w:t xml:space="preserve">The efficiency of our GPU-optimized pipeline opens the door for </w:t>
      </w:r>
      <w:r w:rsidDel="00000000" w:rsidR="00000000" w:rsidRPr="00000000">
        <w:rPr>
          <w:b w:val="1"/>
          <w:bCs w:val="1"/>
          <w:rtl w:val="0"/>
        </w:rPr>
        <w:t xml:space="preserve">"Edge AI"</w:t>
      </w:r>
      <w:r w:rsidDel="00000000" w:rsidR="00000000" w:rsidRPr="00000000">
        <w:rPr>
          <w:rtl w:val="0"/>
        </w:rPr>
        <w:t xml:space="preserve">.</w:t>
      </w:r>
    </w:p>
    <w:p w:rsidR="00000000" w:rsidDel="00000000" w:rsidP="00000000" w:rsidRDefault="00000000" w:rsidRPr="00000000" w14:paraId="0000003A">
      <w:pPr>
        <w:numPr>
          <w:ilvl w:val="0"/>
          <w:numId w:val="2"/>
        </w:numPr>
        <w:spacing w:after="0" w:afterAutospacing="0" w:lineRule="auto"/>
        <w:ind w:left="720" w:hanging="360"/>
      </w:pPr>
      <w:r w:rsidDel="00000000" w:rsidR="00000000" w:rsidRPr="00000000">
        <w:rPr>
          <w:b w:val="1"/>
          <w:bCs w:val="1"/>
          <w:rtl w:val="0"/>
        </w:rPr>
        <w:t xml:space="preserve">Deployment:</w:t>
      </w:r>
      <w:r w:rsidDel="00000000" w:rsidR="00000000" w:rsidRPr="00000000">
        <w:rPr>
          <w:rtl w:val="0"/>
        </w:rPr>
        <w:t xml:space="preserve"> Because our model runs efficiently on laptop-grade GPUs (like the RTX 3050), it can be deployed directly on existing hospital computers.</w:t>
      </w:r>
    </w:p>
    <w:p w:rsidR="00000000" w:rsidDel="00000000" w:rsidP="00000000" w:rsidRDefault="00000000" w:rsidRPr="00000000" w14:paraId="0000003B">
      <w:pPr>
        <w:numPr>
          <w:ilvl w:val="0"/>
          <w:numId w:val="2"/>
        </w:numPr>
        <w:spacing w:after="0" w:afterAutospacing="0" w:lineRule="auto"/>
        <w:ind w:left="720" w:hanging="360"/>
      </w:pPr>
      <w:r w:rsidDel="00000000" w:rsidR="00000000" w:rsidRPr="00000000">
        <w:rPr>
          <w:b w:val="1"/>
          <w:bCs w:val="1"/>
          <w:rtl w:val="0"/>
        </w:rPr>
        <w:t xml:space="preserve">Workflow:</w:t>
      </w:r>
      <w:r w:rsidDel="00000000" w:rsidR="00000000" w:rsidRPr="00000000">
        <w:rPr>
          <w:rtl w:val="0"/>
        </w:rPr>
        <w:t xml:space="preserve"> A pathologist inputs biopsy data; the model returns a risk score in milliseconds.</w:t>
      </w:r>
    </w:p>
    <w:p w:rsidR="00000000" w:rsidDel="00000000" w:rsidP="00000000" w:rsidRDefault="00000000" w:rsidRPr="00000000" w14:paraId="0000003C">
      <w:pPr>
        <w:numPr>
          <w:ilvl w:val="0"/>
          <w:numId w:val="2"/>
        </w:numPr>
        <w:spacing w:after="240" w:lineRule="auto"/>
        <w:ind w:left="720" w:hanging="360"/>
      </w:pPr>
      <w:r w:rsidDel="00000000" w:rsidR="00000000" w:rsidRPr="00000000">
        <w:rPr>
          <w:b w:val="1"/>
          <w:bCs w:val="1"/>
          <w:rtl w:val="0"/>
        </w:rPr>
        <w:t xml:space="preserve">Impact:</w:t>
      </w:r>
      <w:r w:rsidDel="00000000" w:rsidR="00000000" w:rsidRPr="00000000">
        <w:rPr>
          <w:rtl w:val="0"/>
        </w:rPr>
        <w:t xml:space="preserve"> Explicitly flagging "High Risk" patients who might otherwise be undertreated, providing a second pair of eyes for oncologists.</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2s010zsh5x" w:id="8"/>
      <w:bookmarkEnd w:id="8"/>
      <w:r w:rsidDel="00000000" w:rsidR="00000000" w:rsidRPr="00000000">
        <w:rPr>
          <w:b w:val="1"/>
          <w:bCs w:val="1"/>
          <w:color w:val="000000"/>
          <w:sz w:val="26"/>
          <w:szCs w:val="26"/>
          <w:rtl w:val="0"/>
        </w:rPr>
        <w:t xml:space="preserve">8. Conclusion</w:t>
      </w:r>
    </w:p>
    <w:p w:rsidR="00000000" w:rsidDel="00000000" w:rsidP="00000000" w:rsidRDefault="00000000" w:rsidRPr="00000000" w14:paraId="0000003E">
      <w:pPr>
        <w:spacing w:after="240" w:lineRule="auto"/>
        <w:rPr/>
      </w:pPr>
      <w:r w:rsidDel="00000000" w:rsidR="00000000" w:rsidRPr="00000000">
        <w:rPr>
          <w:rtl w:val="0"/>
        </w:rPr>
        <w:t xml:space="preserve">BioFusion demonstrates that </w:t>
      </w:r>
      <w:r w:rsidDel="00000000" w:rsidR="00000000" w:rsidRPr="00000000">
        <w:rPr>
          <w:b w:val="1"/>
          <w:bCs w:val="1"/>
          <w:rtl w:val="0"/>
        </w:rPr>
        <w:t xml:space="preserve">Hardware-Aware AI</w:t>
      </w:r>
      <w:r w:rsidDel="00000000" w:rsidR="00000000" w:rsidRPr="00000000">
        <w:rPr>
          <w:rtl w:val="0"/>
        </w:rPr>
        <w:t xml:space="preserve"> is the future of medical diagnostics. By optimizing for the RTX 3050, we achieved a robust model (0.72 C-Index) that is fast enough for real-world usage. Our comparison proved that for this specific genomic dataset, the stability of Gradient Boosting (XGBoost) makes it the most reliable clinical tool, highlighting the importance of rigorous testing over blind faith in "Deep Learning."</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