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pPr>
      <w:r>
        <w:rPr>
          <w:rFonts w:ascii="Arial" w:cs="Arial" w:eastAsia="Arial" w:hAnsi="Arial"/>
          <w:b/>
          <w:bCs/>
          <w:color w:val="1960A3"/>
          <w:spacing w:val="40"/>
          <w:sz w:val="17"/>
          <w:szCs w:val="17"/>
        </w:rPr>
        <w:t xml:space="preserve">TEAM BRIEFING  ·  INTERNAL</w:t>
      </w:r>
    </w:p>
    <w:p>
      <w:pPr>
        <w:spacing w:after="40"/>
      </w:pPr>
      <w:r>
        <w:rPr>
          <w:rFonts w:ascii="Arial" w:cs="Arial" w:eastAsia="Arial" w:hAnsi="Arial"/>
          <w:b/>
          <w:bCs/>
          <w:color w:val="002045"/>
          <w:sz w:val="68"/>
          <w:szCs w:val="68"/>
        </w:rPr>
        <w:t xml:space="preserve">ParakhMitra</w:t>
      </w:r>
    </w:p>
    <w:p>
      <w:pPr>
        <w:pBdr>
          <w:bottom w:val="single" w:color="002045" w:sz="12" w:space="10"/>
        </w:pBdr>
        <w:spacing w:after="260"/>
      </w:pPr>
      <w:r>
        <w:rPr>
          <w:rFonts w:ascii="Arial" w:cs="Arial" w:eastAsia="Arial" w:hAnsi="Arial"/>
          <w:color w:val="2E3D4C"/>
          <w:sz w:val="44"/>
          <w:szCs w:val="44"/>
        </w:rPr>
        <w:t xml:space="preserve">The Briefing Book</w:t>
      </w:r>
    </w:p>
    <w:p>
      <w:pPr>
        <w:spacing w:after="260" w:before="0" w:line="288"/>
      </w:pPr>
      <w:r>
        <w:rPr>
          <w:rFonts w:ascii="Arial" w:cs="Arial" w:eastAsia="Arial" w:hAnsi="Arial"/>
          <w:color w:val="3C4A57"/>
          <w:sz w:val="23"/>
          <w:szCs w:val="23"/>
        </w:rPr>
        <w:t xml:space="preserve">Everything the team needs to explain, defend and demo the Legal Metrology compliance checker — the law behind it, the machine behind it, the honest limits of both, and the answers to the questions people actually ask.</w:t>
      </w:r>
    </w:p>
    <w:tbl>
      <w:tblPr>
        <w:tblW w:type="dxa" w:w="9360"/>
        <w:tblBorders>
          <w:top w:val="single" w:color="C8D2DC" w:sz="4"/>
          <w:left w:val="single" w:color="C8D2DC" w:sz="4"/>
          <w:bottom w:val="single" w:color="C8D2DC" w:sz="4"/>
          <w:right w:val="single" w:color="C8D2DC" w:sz="4"/>
          <w:insideH w:val="single" w:color="C8D2DC" w:sz="4"/>
          <w:insideV w:val="single" w:color="C8D2DC" w:sz="4"/>
        </w:tblBorders>
      </w:tblPr>
      <w:tblGrid>
        <w:gridCol w:w="1900"/>
        <w:gridCol w:w="7460"/>
      </w:tblGrid>
      <w:tr>
        <w:tc>
          <w:tcPr>
            <w:tcW w:type="dxa" w:w="1900"/>
            <w:tcMar>
              <w:top w:type="dxa" w:w="90"/>
              <w:left w:type="dxa" w:w="130"/>
              <w:bottom w:type="dxa" w:w="90"/>
              <w:right w:type="dxa" w:w="130"/>
            </w:tcMar>
          </w:tcPr>
          <w:p>
            <w:pPr>
              <w:spacing w:after="0" w:line="264"/>
            </w:pPr>
            <w:r>
              <w:rPr>
                <w:rFonts w:ascii="Arial" w:cs="Arial" w:eastAsia="Arial" w:hAnsi="Arial"/>
                <w:b/>
                <w:bCs/>
              </w:rPr>
              <w:t xml:space="preserve">Project</w:t>
            </w:r>
          </w:p>
        </w:tc>
        <w:tc>
          <w:tcPr>
            <w:tcW w:type="dxa" w:w="7460"/>
            <w:tcMar>
              <w:top w:type="dxa" w:w="90"/>
              <w:left w:type="dxa" w:w="130"/>
              <w:bottom w:type="dxa" w:w="90"/>
              <w:right w:type="dxa" w:w="130"/>
            </w:tcMar>
          </w:tcPr>
          <w:p>
            <w:pPr>
              <w:spacing w:after="0" w:line="264"/>
            </w:pPr>
            <w:r>
              <w:rPr>
                <w:rFonts w:ascii="Arial" w:cs="Arial" w:eastAsia="Arial" w:hAnsi="Arial"/>
              </w:rPr>
              <w:t xml:space="preserve">ParakhMitra — Legal Metrology label compliance checker</w:t>
            </w:r>
          </w:p>
        </w:tc>
      </w:tr>
      <w:tr>
        <w:tc>
          <w:tcPr>
            <w:tcW w:type="dxa" w:w="1900"/>
            <w:tcMar>
              <w:top w:type="dxa" w:w="90"/>
              <w:left w:type="dxa" w:w="130"/>
              <w:bottom w:type="dxa" w:w="90"/>
              <w:right w:type="dxa" w:w="130"/>
            </w:tcMar>
          </w:tcPr>
          <w:p>
            <w:pPr>
              <w:spacing w:after="0" w:line="264"/>
            </w:pPr>
            <w:r>
              <w:rPr>
                <w:rFonts w:ascii="Arial" w:cs="Arial" w:eastAsia="Arial" w:hAnsi="Arial"/>
                <w:b/>
                <w:bCs/>
              </w:rPr>
              <w:t xml:space="preserve">Stack</w:t>
            </w:r>
          </w:p>
        </w:tc>
        <w:tc>
          <w:tcPr>
            <w:tcW w:type="dxa" w:w="7460"/>
            <w:tcMar>
              <w:top w:type="dxa" w:w="90"/>
              <w:left w:type="dxa" w:w="130"/>
              <w:bottom w:type="dxa" w:w="90"/>
              <w:right w:type="dxa" w:w="130"/>
            </w:tcMar>
          </w:tcPr>
          <w:p>
            <w:pPr>
              <w:spacing w:after="0" w:line="264"/>
            </w:pPr>
            <w:r>
              <w:rPr>
                <w:rFonts w:ascii="Arial" w:cs="Arial" w:eastAsia="Arial" w:hAnsi="Arial"/>
              </w:rPr>
              <w:t xml:space="preserve">React 19 + TypeScript · FastAPI · Supabase (Postgres, Auth, Storage) · Gemini 3.5 Flash</w:t>
            </w:r>
          </w:p>
        </w:tc>
      </w:tr>
      <w:tr>
        <w:tc>
          <w:tcPr>
            <w:tcW w:type="dxa" w:w="1900"/>
            <w:tcMar>
              <w:top w:type="dxa" w:w="90"/>
              <w:left w:type="dxa" w:w="130"/>
              <w:bottom w:type="dxa" w:w="90"/>
              <w:right w:type="dxa" w:w="130"/>
            </w:tcMar>
          </w:tcPr>
          <w:p>
            <w:pPr>
              <w:spacing w:after="0" w:line="264"/>
            </w:pPr>
            <w:r>
              <w:rPr>
                <w:rFonts w:ascii="Arial" w:cs="Arial" w:eastAsia="Arial" w:hAnsi="Arial"/>
                <w:b/>
                <w:bCs/>
              </w:rPr>
              <w:t xml:space="preserve">Repository</w:t>
            </w:r>
          </w:p>
        </w:tc>
        <w:tc>
          <w:tcPr>
            <w:tcW w:type="dxa" w:w="7460"/>
            <w:tcMar>
              <w:top w:type="dxa" w:w="90"/>
              <w:left w:type="dxa" w:w="130"/>
              <w:bottom w:type="dxa" w:w="90"/>
              <w:right w:type="dxa" w:w="130"/>
            </w:tcMar>
          </w:tcPr>
          <w:p>
            <w:pPr>
              <w:spacing w:after="0" w:line="264"/>
            </w:pPr>
            <w:r>
              <w:rPr>
                <w:rFonts w:ascii="Arial" w:cs="Arial" w:eastAsia="Arial" w:hAnsi="Arial"/>
              </w:rPr>
              <w:t xml:space="preserve">pxrthj/sih-d9a</w:t>
            </w:r>
          </w:p>
        </w:tc>
      </w:tr>
      <w:tr>
        <w:tc>
          <w:tcPr>
            <w:tcW w:type="dxa" w:w="1900"/>
            <w:tcMar>
              <w:top w:type="dxa" w:w="90"/>
              <w:left w:type="dxa" w:w="130"/>
              <w:bottom w:type="dxa" w:w="90"/>
              <w:right w:type="dxa" w:w="130"/>
            </w:tcMar>
          </w:tcPr>
          <w:p>
            <w:pPr>
              <w:spacing w:after="0" w:line="264"/>
            </w:pPr>
            <w:r>
              <w:rPr>
                <w:rFonts w:ascii="Arial" w:cs="Arial" w:eastAsia="Arial" w:hAnsi="Arial"/>
                <w:b/>
                <w:bCs/>
              </w:rPr>
              <w:t xml:space="preserve">Grounded in</w:t>
            </w:r>
          </w:p>
        </w:tc>
        <w:tc>
          <w:tcPr>
            <w:tcW w:type="dxa" w:w="7460"/>
            <w:tcMar>
              <w:top w:type="dxa" w:w="90"/>
              <w:left w:type="dxa" w:w="130"/>
              <w:bottom w:type="dxa" w:w="90"/>
              <w:right w:type="dxa" w:w="130"/>
            </w:tcMar>
          </w:tcPr>
          <w:p>
            <w:pPr>
              <w:spacing w:after="0" w:line="264"/>
            </w:pPr>
            <w:r>
              <w:rPr>
                <w:rFonts w:ascii="Arial" w:cs="Arial" w:eastAsia="Arial" w:hAnsi="Arial"/>
              </w:rPr>
              <w:t xml:space="preserve">The codebase as of 28 August 2026</w:t>
            </w:r>
          </w:p>
        </w:tc>
      </w:tr>
      <w:tr>
        <w:tc>
          <w:tcPr>
            <w:tcW w:type="dxa" w:w="1900"/>
            <w:tcMar>
              <w:top w:type="dxa" w:w="90"/>
              <w:left w:type="dxa" w:w="130"/>
              <w:bottom w:type="dxa" w:w="90"/>
              <w:right w:type="dxa" w:w="130"/>
            </w:tcMar>
          </w:tcPr>
          <w:p>
            <w:pPr>
              <w:spacing w:after="0" w:line="264"/>
            </w:pPr>
            <w:r>
              <w:rPr>
                <w:rFonts w:ascii="Arial" w:cs="Arial" w:eastAsia="Arial" w:hAnsi="Arial"/>
                <w:b/>
                <w:bCs/>
              </w:rPr>
              <w:t xml:space="preserve">Read time</w:t>
            </w:r>
          </w:p>
        </w:tc>
        <w:tc>
          <w:tcPr>
            <w:tcW w:type="dxa" w:w="7460"/>
            <w:tcMar>
              <w:top w:type="dxa" w:w="90"/>
              <w:left w:type="dxa" w:w="130"/>
              <w:bottom w:type="dxa" w:w="90"/>
              <w:right w:type="dxa" w:w="130"/>
            </w:tcMar>
          </w:tcPr>
          <w:p>
            <w:pPr>
              <w:spacing w:after="0" w:line="264"/>
            </w:pPr>
            <w:r>
              <w:rPr>
                <w:rFonts w:ascii="Arial" w:cs="Arial" w:eastAsia="Arial" w:hAnsi="Arial"/>
              </w:rPr>
              <w:t xml:space="preserve">About 25 minutes</w:t>
            </w:r>
          </w:p>
        </w:tc>
      </w:tr>
      <w:tr>
        <w:tc>
          <w:tcPr>
            <w:tcW w:type="dxa" w:w="1900"/>
            <w:tcMar>
              <w:top w:type="dxa" w:w="90"/>
              <w:left w:type="dxa" w:w="130"/>
              <w:bottom w:type="dxa" w:w="90"/>
              <w:right w:type="dxa" w:w="130"/>
            </w:tcMar>
          </w:tcPr>
          <w:p>
            <w:pPr>
              <w:spacing w:after="0" w:line="264"/>
            </w:pPr>
            <w:r>
              <w:rPr>
                <w:rFonts w:ascii="Arial" w:cs="Arial" w:eastAsia="Arial" w:hAnsi="Arial"/>
                <w:b/>
                <w:bCs/>
              </w:rPr>
              <w:t xml:space="preserve">Companion docs</w:t>
            </w:r>
          </w:p>
        </w:tc>
        <w:tc>
          <w:tcPr>
            <w:tcW w:type="dxa" w:w="7460"/>
            <w:tcMar>
              <w:top w:type="dxa" w:w="90"/>
              <w:left w:type="dxa" w:w="130"/>
              <w:bottom w:type="dxa" w:w="90"/>
              <w:right w:type="dxa" w:w="130"/>
            </w:tcMar>
          </w:tcPr>
          <w:p>
            <w:pPr>
              <w:spacing w:after="0" w:line="264"/>
            </w:pPr>
            <w:r>
              <w:rPr>
                <w:rFonts w:ascii="Arial" w:cs="Arial" w:eastAsia="Arial" w:hAnsi="Arial"/>
              </w:rPr>
              <w:t xml:space="preserve">README.md (orientation) · CLAUDE.md (working context) · docs/SETUP.md · docs/DEPLOY.md</w:t>
            </w:r>
          </w:p>
        </w:tc>
      </w:tr>
    </w:tbl>
    <w:p>
      <w:pPr>
        <w:spacing w:after="300"/>
      </w:pPr>
    </w:p>
    <w:p>
      <w:pPr>
        <w:pStyle w:val="Heading2"/>
        <w:spacing w:after="120" w:before="320"/>
      </w:pPr>
      <w:r>
        <w:rPr>
          <w:rFonts w:ascii="Arial" w:cs="Arial" w:eastAsia="Arial" w:hAnsi="Arial"/>
          <w:b/>
          <w:bCs/>
          <w:color w:val="002045"/>
          <w:sz w:val="24"/>
          <w:szCs w:val="24"/>
        </w:rPr>
        <w:t xml:space="preserve">Contents</w:t>
      </w:r>
    </w:p>
    <w:p>
      <w:pPr>
        <w:spacing w:after="60" w:line="288"/>
        <w:ind w:left="200"/>
      </w:pPr>
      <w:r>
        <w:rPr>
          <w:rFonts w:ascii="Arial" w:cs="Arial" w:eastAsia="Arial" w:hAnsi="Arial"/>
        </w:rPr>
        <w:t xml:space="preserve">1.  The pitch in one minute</w:t>
      </w:r>
    </w:p>
    <w:p>
      <w:pPr>
        <w:spacing w:after="60" w:line="288"/>
        <w:ind w:left="200"/>
      </w:pPr>
      <w:r>
        <w:rPr>
          <w:rFonts w:ascii="Arial" w:cs="Arial" w:eastAsia="Arial" w:hAnsi="Arial"/>
        </w:rPr>
        <w:t xml:space="preserve">2.  The problem and the law</w:t>
      </w:r>
    </w:p>
    <w:p>
      <w:pPr>
        <w:spacing w:after="60" w:line="288"/>
        <w:ind w:left="200"/>
      </w:pPr>
      <w:r>
        <w:rPr>
          <w:rFonts w:ascii="Arial" w:cs="Arial" w:eastAsia="Arial" w:hAnsi="Arial"/>
        </w:rPr>
        <w:t xml:space="preserve">3.  Architecture at a glance</w:t>
      </w:r>
    </w:p>
    <w:p>
      <w:pPr>
        <w:spacing w:after="60" w:line="288"/>
        <w:ind w:left="200"/>
      </w:pPr>
      <w:r>
        <w:rPr>
          <w:rFonts w:ascii="Arial" w:cs="Arial" w:eastAsia="Arial" w:hAnsi="Arial"/>
        </w:rPr>
        <w:t xml:space="preserve">4.  Life of a scan</w:t>
      </w:r>
    </w:p>
    <w:p>
      <w:pPr>
        <w:spacing w:after="60" w:line="288"/>
        <w:ind w:left="200"/>
      </w:pPr>
      <w:r>
        <w:rPr>
          <w:rFonts w:ascii="Arial" w:cs="Arial" w:eastAsia="Arial" w:hAnsi="Arial"/>
        </w:rPr>
        <w:t xml:space="preserve">5.  The AI layer</w:t>
      </w:r>
    </w:p>
    <w:p>
      <w:pPr>
        <w:spacing w:after="60" w:line="288"/>
        <w:ind w:left="200"/>
      </w:pPr>
      <w:r>
        <w:rPr>
          <w:rFonts w:ascii="Arial" w:cs="Arial" w:eastAsia="Arial" w:hAnsi="Arial"/>
        </w:rPr>
        <w:t xml:space="preserve">6.  The rule engine</w:t>
      </w:r>
    </w:p>
    <w:p>
      <w:pPr>
        <w:spacing w:after="60" w:line="288"/>
        <w:ind w:left="200"/>
      </w:pPr>
      <w:r>
        <w:rPr>
          <w:rFonts w:ascii="Arial" w:cs="Arial" w:eastAsia="Arial" w:hAnsi="Arial"/>
        </w:rPr>
        <w:t xml:space="preserve">7.  Data, identity and integrity</w:t>
      </w:r>
    </w:p>
    <w:p>
      <w:pPr>
        <w:spacing w:after="60" w:line="288"/>
        <w:ind w:left="200"/>
      </w:pPr>
      <w:r>
        <w:rPr>
          <w:rFonts w:ascii="Arial" w:cs="Arial" w:eastAsia="Arial" w:hAnsi="Arial"/>
        </w:rPr>
        <w:t xml:space="preserve">8.  The Improvement Notice</w:t>
      </w:r>
    </w:p>
    <w:p>
      <w:pPr>
        <w:spacing w:after="60" w:line="288"/>
        <w:ind w:left="200"/>
      </w:pPr>
      <w:r>
        <w:rPr>
          <w:rFonts w:ascii="Arial" w:cs="Arial" w:eastAsia="Arial" w:hAnsi="Arial"/>
        </w:rPr>
        <w:t xml:space="preserve">9.  Deployment and operations</w:t>
      </w:r>
    </w:p>
    <w:p>
      <w:pPr>
        <w:spacing w:after="60" w:line="288"/>
        <w:ind w:left="200"/>
      </w:pPr>
      <w:r>
        <w:rPr>
          <w:rFonts w:ascii="Arial" w:cs="Arial" w:eastAsia="Arial" w:hAnsi="Arial"/>
        </w:rPr>
        <w:t xml:space="preserve">10. The question bank — 39 questions with answers</w:t>
      </w:r>
    </w:p>
    <w:p>
      <w:pPr>
        <w:spacing w:after="60" w:line="288"/>
        <w:ind w:left="200"/>
      </w:pPr>
      <w:r>
        <w:rPr>
          <w:rFonts w:ascii="Arial" w:cs="Arial" w:eastAsia="Arial" w:hAnsi="Arial"/>
        </w:rPr>
        <w:t xml:space="preserve">11. Known gaps, honest answers</w:t>
      </w:r>
    </w:p>
    <w:p>
      <w:pPr>
        <w:spacing w:after="60" w:line="288"/>
        <w:ind w:left="200"/>
      </w:pPr>
      <w:r>
        <w:rPr>
          <w:rFonts w:ascii="Arial" w:cs="Arial" w:eastAsia="Arial" w:hAnsi="Arial"/>
        </w:rPr>
        <w:t xml:space="preserve">12. Glossary</w:t>
      </w:r>
    </w:p>
    <w:p>
      <w:pPr>
        <w:spacing w:after="60" w:line="288"/>
        <w:ind w:left="200"/>
      </w:pPr>
      <w:r>
        <w:rPr>
          <w:rFonts w:ascii="Arial" w:cs="Arial" w:eastAsia="Arial" w:hAnsi="Arial"/>
        </w:rPr>
        <w:t xml:space="preserve">13. Demo script and roles</w:t>
      </w:r>
    </w:p>
    <w:p>
      <w:pPr>
        <w:spacing w:after="160" w:before="160" w:line="288"/>
      </w:pPr>
      <w:r>
        <w:rPr>
          <w:rFonts w:ascii="Arial" w:cs="Arial" w:eastAsia="Arial" w:hAnsi="Arial"/>
          <w:i/>
          <w:iCs/>
          <w:color w:val="5A6672"/>
          <w:sz w:val="19"/>
          <w:szCs w:val="19"/>
        </w:rPr>
        <w:t xml:space="preserve">Tip: in Google Docs, open View → Show outline to jump between chapters.</w:t>
      </w:r>
    </w:p>
    <w:p>
      <w:r>
        <w:br w:type="page"/>
      </w:r>
    </w:p>
    <w:p>
      <w:pPr>
        <w:pStyle w:val="Heading1"/>
        <w:pBdr>
          <w:bottom w:val="single" w:color="002045" w:sz="8" w:space="6"/>
        </w:pBdr>
        <w:spacing w:after="180" w:before="420"/>
      </w:pPr>
      <w:r>
        <w:rPr>
          <w:rFonts w:ascii="Arial" w:cs="Arial" w:eastAsia="Arial" w:hAnsi="Arial"/>
          <w:b/>
          <w:bCs/>
          <w:color w:val="002045"/>
          <w:sz w:val="32"/>
          <w:szCs w:val="32"/>
        </w:rPr>
        <w:t xml:space="preserve">1. The pitch in one minute</w:t>
      </w:r>
    </w:p>
    <w:p>
      <w:pPr>
        <w:spacing w:after="160" w:before="0" w:line="288"/>
      </w:pPr>
      <w:r>
        <w:rPr>
          <w:rFonts w:ascii="Arial" w:cs="Arial" w:eastAsia="Arial" w:hAnsi="Arial"/>
        </w:rPr>
        <w:t xml:space="preserve">Every packaged commodity sold in India must carry a fixed set of declarations — who packed it, what it is, how much is inside, what it costs, when it was made, and where to complain. Checking that is a manual, per-package job done by a small number of Legal Metrology officers. ParakhMitra turns that check into a photograph.</w:t>
      </w:r>
    </w:p>
    <w:p>
      <w:pPr>
        <w:spacing w:after="160" w:before="0" w:line="288"/>
      </w:pPr>
      <w:r>
        <w:rPr>
          <w:rFonts w:ascii="Arial" w:cs="Arial" w:eastAsia="Arial" w:hAnsi="Arial"/>
        </w:rPr>
        <w:t xml:space="preserve">An officer opens the app on a phone, photographs the package — one panel, or up to four when the declarations are spread around it — and picks a category. Within seconds they get a verdict — </w:t>
      </w:r>
      <w:r>
        <w:rPr>
          <w:rFonts w:ascii="Arial" w:cs="Arial" w:eastAsia="Arial" w:hAnsi="Arial"/>
          <w:b/>
          <w:bCs/>
        </w:rPr>
        <w:t xml:space="preserve">Compliant</w:t>
      </w:r>
      <w:r>
        <w:rPr>
          <w:rFonts w:ascii="Arial" w:cs="Arial" w:eastAsia="Arial" w:hAnsi="Arial"/>
        </w:rPr>
        <w:t xml:space="preserve"> or </w:t>
      </w:r>
      <w:r>
        <w:rPr>
          <w:rFonts w:ascii="Arial" w:cs="Arial" w:eastAsia="Arial" w:hAnsi="Arial"/>
          <w:b/>
          <w:bCs/>
        </w:rPr>
        <w:t xml:space="preserve">Flagged</w:t>
      </w:r>
      <w:r>
        <w:rPr>
          <w:rFonts w:ascii="Arial" w:cs="Arial" w:eastAsia="Arial" w:hAnsi="Arial"/>
        </w:rPr>
        <w:t xml:space="preserve"> — with each violation named alongside the exact rule it breaches, and a printable Improvement Notice they can hand over on the spot. Every inspection is stored as a permanent, un-editable record with its evidence photos attached.</w:t>
      </w:r>
    </w:p>
    <w:p>
      <w:pPr>
        <w:pStyle w:val="Heading2"/>
        <w:spacing w:after="120" w:before="320"/>
      </w:pPr>
      <w:r>
        <w:rPr>
          <w:rFonts w:ascii="Arial" w:cs="Arial" w:eastAsia="Arial" w:hAnsi="Arial"/>
          <w:b/>
          <w:bCs/>
          <w:color w:val="002045"/>
          <w:sz w:val="24"/>
          <w:szCs w:val="24"/>
        </w:rPr>
        <w:t xml:space="preserve">If you remember only five things</w:t>
      </w:r>
    </w:p>
    <w:tbl>
      <w:tblPr>
        <w:tblW w:type="dxa" w:w="9360"/>
        <w:tblBorders>
          <w:top w:val="single" w:color="C8D2DC" w:sz="4"/>
          <w:left w:val="single" w:color="C8D2DC" w:sz="4"/>
          <w:bottom w:val="single" w:color="C8D2DC" w:sz="4"/>
          <w:right w:val="single" w:color="C8D2DC" w:sz="4"/>
          <w:insideH w:val="single" w:color="C8D2DC" w:sz="4"/>
          <w:insideV w:val="single" w:color="C8D2DC" w:sz="4"/>
        </w:tblBorders>
      </w:tblPr>
      <w:tblGrid>
        <w:gridCol w:w="520"/>
        <w:gridCol w:w="2740"/>
        <w:gridCol w:w="6100"/>
      </w:tblGrid>
      <w:tr>
        <w:trPr>
          <w:tblHeader/>
        </w:trPr>
        <w:tc>
          <w:tcPr>
            <w:tcW w:type="dxa" w:w="520"/>
            <w:shd w:fill="EDF2F7" w:color="auto" w:val="clear"/>
            <w:tcMar>
              <w:top w:type="dxa" w:w="90"/>
              <w:left w:type="dxa" w:w="130"/>
              <w:bottom w:type="dxa" w:w="90"/>
              <w:right w:type="dxa" w:w="130"/>
            </w:tcMar>
          </w:tcPr>
          <w:p>
            <w:pPr>
              <w:spacing w:after="0" w:line="264"/>
            </w:pPr>
            <w:r>
              <w:rPr>
                <w:rFonts w:ascii="Arial" w:cs="Arial" w:eastAsia="Arial" w:hAnsi="Arial"/>
                <w:b/>
                <w:bCs/>
              </w:rPr>
              <w:t xml:space="preserve">#</w:t>
            </w:r>
          </w:p>
        </w:tc>
        <w:tc>
          <w:tcPr>
            <w:tcW w:type="dxa" w:w="2740"/>
            <w:shd w:fill="EDF2F7" w:color="auto" w:val="clear"/>
            <w:tcMar>
              <w:top w:type="dxa" w:w="90"/>
              <w:left w:type="dxa" w:w="130"/>
              <w:bottom w:type="dxa" w:w="90"/>
              <w:right w:type="dxa" w:w="130"/>
            </w:tcMar>
          </w:tcPr>
          <w:p>
            <w:pPr>
              <w:spacing w:after="0" w:line="264"/>
            </w:pPr>
            <w:r>
              <w:rPr>
                <w:rFonts w:ascii="Arial" w:cs="Arial" w:eastAsia="Arial" w:hAnsi="Arial"/>
                <w:b/>
                <w:bCs/>
              </w:rPr>
              <w:t xml:space="preserve">The point</w:t>
            </w:r>
          </w:p>
        </w:tc>
        <w:tc>
          <w:tcPr>
            <w:tcW w:type="dxa" w:w="61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Why it matters</w:t>
            </w:r>
          </w:p>
        </w:tc>
      </w:tr>
      <w:tr>
        <w:tc>
          <w:tcPr>
            <w:tcW w:type="dxa" w:w="520"/>
            <w:tcMar>
              <w:top w:type="dxa" w:w="90"/>
              <w:left w:type="dxa" w:w="130"/>
              <w:bottom w:type="dxa" w:w="90"/>
              <w:right w:type="dxa" w:w="130"/>
            </w:tcMar>
          </w:tcPr>
          <w:p>
            <w:pPr>
              <w:spacing w:after="0" w:line="264"/>
            </w:pPr>
            <w:r>
              <w:rPr>
                <w:rFonts w:ascii="Arial" w:cs="Arial" w:eastAsia="Arial" w:hAnsi="Arial"/>
              </w:rPr>
              <w:t xml:space="preserve">1</w:t>
            </w:r>
          </w:p>
        </w:tc>
        <w:tc>
          <w:tcPr>
            <w:tcW w:type="dxa" w:w="2740"/>
            <w:tcMar>
              <w:top w:type="dxa" w:w="90"/>
              <w:left w:type="dxa" w:w="130"/>
              <w:bottom w:type="dxa" w:w="90"/>
              <w:right w:type="dxa" w:w="130"/>
            </w:tcMar>
          </w:tcPr>
          <w:p>
            <w:pPr>
              <w:spacing w:after="0" w:line="264"/>
            </w:pPr>
            <w:r>
              <w:rPr>
                <w:rFonts w:ascii="Arial" w:cs="Arial" w:eastAsia="Arial" w:hAnsi="Arial"/>
              </w:rPr>
              <w:t xml:space="preserve">The AI reads. It never judges.</w:t>
            </w:r>
          </w:p>
        </w:tc>
        <w:tc>
          <w:tcPr>
            <w:tcW w:type="dxa" w:w="6100"/>
            <w:tcMar>
              <w:top w:type="dxa" w:w="90"/>
              <w:left w:type="dxa" w:w="130"/>
              <w:bottom w:type="dxa" w:w="90"/>
              <w:right w:type="dxa" w:w="130"/>
            </w:tcMar>
          </w:tcPr>
          <w:p>
            <w:pPr>
              <w:spacing w:after="0" w:line="264"/>
            </w:pPr>
            <w:r>
              <w:rPr>
                <w:rFonts w:ascii="Arial" w:cs="Arial" w:eastAsia="Arial" w:hAnsi="Arial"/>
              </w:rPr>
              <w:t xml:space="preserve">Gemini's only job is to turn the photographs into structured fields. Whether those fields satisfy the law is decided by plain Python — deterministic, auditable, identical every run.</w:t>
            </w:r>
          </w:p>
        </w:tc>
      </w:tr>
      <w:tr>
        <w:tc>
          <w:tcPr>
            <w:tcW w:type="dxa" w:w="520"/>
            <w:tcMar>
              <w:top w:type="dxa" w:w="90"/>
              <w:left w:type="dxa" w:w="130"/>
              <w:bottom w:type="dxa" w:w="90"/>
              <w:right w:type="dxa" w:w="130"/>
            </w:tcMar>
          </w:tcPr>
          <w:p>
            <w:pPr>
              <w:spacing w:after="0" w:line="264"/>
            </w:pPr>
            <w:r>
              <w:rPr>
                <w:rFonts w:ascii="Arial" w:cs="Arial" w:eastAsia="Arial" w:hAnsi="Arial"/>
              </w:rPr>
              <w:t xml:space="preserve">2</w:t>
            </w:r>
          </w:p>
        </w:tc>
        <w:tc>
          <w:tcPr>
            <w:tcW w:type="dxa" w:w="2740"/>
            <w:tcMar>
              <w:top w:type="dxa" w:w="90"/>
              <w:left w:type="dxa" w:w="130"/>
              <w:bottom w:type="dxa" w:w="90"/>
              <w:right w:type="dxa" w:w="130"/>
            </w:tcMar>
          </w:tcPr>
          <w:p>
            <w:pPr>
              <w:spacing w:after="0" w:line="264"/>
            </w:pPr>
            <w:r>
              <w:rPr>
                <w:rFonts w:ascii="Arial" w:cs="Arial" w:eastAsia="Arial" w:hAnsi="Arial"/>
              </w:rPr>
              <w:t xml:space="preserve">Eight rules, each with a citation.</w:t>
            </w:r>
          </w:p>
        </w:tc>
        <w:tc>
          <w:tcPr>
            <w:tcW w:type="dxa" w:w="6100"/>
            <w:tcMar>
              <w:top w:type="dxa" w:w="90"/>
              <w:left w:type="dxa" w:w="130"/>
              <w:bottom w:type="dxa" w:w="90"/>
              <w:right w:type="dxa" w:w="130"/>
            </w:tcMar>
          </w:tcPr>
          <w:p>
            <w:pPr>
              <w:spacing w:after="0" w:line="264"/>
            </w:pPr>
            <w:r>
              <w:rPr>
                <w:rFonts w:ascii="Arial" w:cs="Arial" w:eastAsia="Arial" w:hAnsi="Arial"/>
              </w:rPr>
              <w:t xml:space="preserve">Every violation carries its reference from the Legal Metrology (Packaged Commodities) Rules, 2011. No verdict is produced that we cannot point to in the statute.</w:t>
            </w:r>
          </w:p>
        </w:tc>
      </w:tr>
      <w:tr>
        <w:tc>
          <w:tcPr>
            <w:tcW w:type="dxa" w:w="520"/>
            <w:tcMar>
              <w:top w:type="dxa" w:w="90"/>
              <w:left w:type="dxa" w:w="130"/>
              <w:bottom w:type="dxa" w:w="90"/>
              <w:right w:type="dxa" w:w="130"/>
            </w:tcMar>
          </w:tcPr>
          <w:p>
            <w:pPr>
              <w:spacing w:after="0" w:line="264"/>
            </w:pPr>
            <w:r>
              <w:rPr>
                <w:rFonts w:ascii="Arial" w:cs="Arial" w:eastAsia="Arial" w:hAnsi="Arial"/>
              </w:rPr>
              <w:t xml:space="preserve">3</w:t>
            </w:r>
          </w:p>
        </w:tc>
        <w:tc>
          <w:tcPr>
            <w:tcW w:type="dxa" w:w="2740"/>
            <w:tcMar>
              <w:top w:type="dxa" w:w="90"/>
              <w:left w:type="dxa" w:w="130"/>
              <w:bottom w:type="dxa" w:w="90"/>
              <w:right w:type="dxa" w:w="130"/>
            </w:tcMar>
          </w:tcPr>
          <w:p>
            <w:pPr>
              <w:spacing w:after="0" w:line="264"/>
            </w:pPr>
            <w:r>
              <w:rPr>
                <w:rFonts w:ascii="Arial" w:cs="Arial" w:eastAsia="Arial" w:hAnsi="Arial"/>
              </w:rPr>
              <w:t xml:space="preserve">Records are immutable by construction.</w:t>
            </w:r>
          </w:p>
        </w:tc>
        <w:tc>
          <w:tcPr>
            <w:tcW w:type="dxa" w:w="6100"/>
            <w:tcMar>
              <w:top w:type="dxa" w:w="90"/>
              <w:left w:type="dxa" w:w="130"/>
              <w:bottom w:type="dxa" w:w="90"/>
              <w:right w:type="dxa" w:w="130"/>
            </w:tcMar>
          </w:tcPr>
          <w:p>
            <w:pPr>
              <w:spacing w:after="0" w:line="264"/>
            </w:pPr>
            <w:r>
              <w:rPr>
                <w:rFonts w:ascii="Arial" w:cs="Arial" w:eastAsia="Arial" w:hAnsi="Arial"/>
              </w:rPr>
              <w:t xml:space="preserve">The database grants clients read access only. There is no update or delete path for an inspection record — not in the UI, not in the API, not for an admin.</w:t>
            </w:r>
          </w:p>
        </w:tc>
      </w:tr>
      <w:tr>
        <w:tc>
          <w:tcPr>
            <w:tcW w:type="dxa" w:w="520"/>
            <w:tcMar>
              <w:top w:type="dxa" w:w="90"/>
              <w:left w:type="dxa" w:w="130"/>
              <w:bottom w:type="dxa" w:w="90"/>
              <w:right w:type="dxa" w:w="130"/>
            </w:tcMar>
          </w:tcPr>
          <w:p>
            <w:pPr>
              <w:spacing w:after="0" w:line="264"/>
            </w:pPr>
            <w:r>
              <w:rPr>
                <w:rFonts w:ascii="Arial" w:cs="Arial" w:eastAsia="Arial" w:hAnsi="Arial"/>
              </w:rPr>
              <w:t xml:space="preserve">4</w:t>
            </w:r>
          </w:p>
        </w:tc>
        <w:tc>
          <w:tcPr>
            <w:tcW w:type="dxa" w:w="2740"/>
            <w:tcMar>
              <w:top w:type="dxa" w:w="90"/>
              <w:left w:type="dxa" w:w="130"/>
              <w:bottom w:type="dxa" w:w="90"/>
              <w:right w:type="dxa" w:w="130"/>
            </w:tcMar>
          </w:tcPr>
          <w:p>
            <w:pPr>
              <w:spacing w:after="0" w:line="264"/>
            </w:pPr>
            <w:r>
              <w:rPr>
                <w:rFonts w:ascii="Arial" w:cs="Arial" w:eastAsia="Arial" w:hAnsi="Arial"/>
              </w:rPr>
              <w:t xml:space="preserve">Two roles, enforced twice.</w:t>
            </w:r>
          </w:p>
        </w:tc>
        <w:tc>
          <w:tcPr>
            <w:tcW w:type="dxa" w:w="6100"/>
            <w:tcMar>
              <w:top w:type="dxa" w:w="90"/>
              <w:left w:type="dxa" w:w="130"/>
              <w:bottom w:type="dxa" w:w="90"/>
              <w:right w:type="dxa" w:w="130"/>
            </w:tcMar>
          </w:tcPr>
          <w:p>
            <w:pPr>
              <w:spacing w:after="0" w:line="264"/>
            </w:pPr>
            <w:r>
              <w:rPr>
                <w:rFonts w:ascii="Arial" w:cs="Arial" w:eastAsia="Arial" w:hAnsi="Arial"/>
              </w:rPr>
              <w:t xml:space="preserve">Officers scan and see their own work; admins supervise everything and manage users but cannot scan. Enforced in the interface and again in the database.</w:t>
            </w:r>
          </w:p>
        </w:tc>
      </w:tr>
      <w:tr>
        <w:tc>
          <w:tcPr>
            <w:tcW w:type="dxa" w:w="520"/>
            <w:tcMar>
              <w:top w:type="dxa" w:w="90"/>
              <w:left w:type="dxa" w:w="130"/>
              <w:bottom w:type="dxa" w:w="90"/>
              <w:right w:type="dxa" w:w="130"/>
            </w:tcMar>
          </w:tcPr>
          <w:p>
            <w:pPr>
              <w:spacing w:after="0" w:line="264"/>
            </w:pPr>
            <w:r>
              <w:rPr>
                <w:rFonts w:ascii="Arial" w:cs="Arial" w:eastAsia="Arial" w:hAnsi="Arial"/>
              </w:rPr>
              <w:t xml:space="preserve">5</w:t>
            </w:r>
          </w:p>
        </w:tc>
        <w:tc>
          <w:tcPr>
            <w:tcW w:type="dxa" w:w="2740"/>
            <w:tcMar>
              <w:top w:type="dxa" w:w="90"/>
              <w:left w:type="dxa" w:w="130"/>
              <w:bottom w:type="dxa" w:w="90"/>
              <w:right w:type="dxa" w:w="130"/>
            </w:tcMar>
          </w:tcPr>
          <w:p>
            <w:pPr>
              <w:spacing w:after="0" w:line="264"/>
            </w:pPr>
            <w:r>
              <w:rPr>
                <w:rFonts w:ascii="Arial" w:cs="Arial" w:eastAsia="Arial" w:hAnsi="Arial"/>
              </w:rPr>
              <w:t xml:space="preserve">The output is an instrument, not a score.</w:t>
            </w:r>
          </w:p>
        </w:tc>
        <w:tc>
          <w:tcPr>
            <w:tcW w:type="dxa" w:w="6100"/>
            <w:tcMar>
              <w:top w:type="dxa" w:w="90"/>
              <w:left w:type="dxa" w:w="130"/>
              <w:bottom w:type="dxa" w:w="90"/>
              <w:right w:type="dxa" w:w="130"/>
            </w:tcMar>
          </w:tcPr>
          <w:p>
            <w:pPr>
              <w:spacing w:after="0" w:line="264"/>
            </w:pPr>
            <w:r>
              <w:rPr>
                <w:rFonts w:ascii="Arial" w:cs="Arial" w:eastAsia="Arial" w:hAnsi="Arial"/>
              </w:rPr>
              <w:t xml:space="preserve">The deliverable is a formal Improvement Notice with a 30-day compliance period — the real first step in enforcement. Adjudication stays with the human officer.</w:t>
            </w:r>
          </w:p>
        </w:tc>
      </w:tr>
    </w:tbl>
    <w:p>
      <w:pPr>
        <w:spacing w:after="160"/>
      </w:pPr>
    </w:p>
    <w:p>
      <w:pPr>
        <w:spacing w:after="160" w:before="0" w:line="288"/>
      </w:pPr>
      <w:r>
        <w:rPr>
          <w:rFonts w:ascii="Arial" w:cs="Arial" w:eastAsia="Arial" w:hAnsi="Arial"/>
          <w:b/>
          <w:bCs/>
        </w:rPr>
        <w:t xml:space="preserve">The name.</w:t>
      </w:r>
      <w:r>
        <w:rPr>
          <w:rFonts w:ascii="Arial" w:cs="Arial" w:eastAsia="Arial" w:hAnsi="Arial"/>
        </w:rPr>
        <w:t xml:space="preserve"> </w:t>
      </w:r>
      <w:r>
        <w:rPr>
          <w:rFonts w:ascii="Arial" w:cs="Arial" w:eastAsia="Arial" w:hAnsi="Arial"/>
          <w:i/>
          <w:iCs/>
        </w:rPr>
        <w:t xml:space="preserve">Parakh</w:t>
      </w:r>
      <w:r>
        <w:rPr>
          <w:rFonts w:ascii="Arial" w:cs="Arial" w:eastAsia="Arial" w:hAnsi="Arial"/>
        </w:rPr>
        <w:t xml:space="preserve"> is assay or examination; </w:t>
      </w:r>
      <w:r>
        <w:rPr>
          <w:rFonts w:ascii="Arial" w:cs="Arial" w:eastAsia="Arial" w:hAnsi="Arial"/>
          <w:i/>
          <w:iCs/>
        </w:rPr>
        <w:t xml:space="preserve">Mitra</w:t>
      </w:r>
      <w:r>
        <w:rPr>
          <w:rFonts w:ascii="Arial" w:cs="Arial" w:eastAsia="Arial" w:hAnsi="Arial"/>
        </w:rPr>
        <w:t xml:space="preserve"> is companion. An assistant to the inspector, not a replacement for one — which is also the answer to "are you automating away regulators?"</w:t>
      </w:r>
    </w:p>
    <w:p>
      <w:pPr>
        <w:pStyle w:val="Heading1"/>
        <w:pBdr>
          <w:bottom w:val="single" w:color="002045" w:sz="8" w:space="6"/>
        </w:pBdr>
        <w:spacing w:after="180" w:before="420"/>
      </w:pPr>
      <w:r>
        <w:rPr>
          <w:rFonts w:ascii="Arial" w:cs="Arial" w:eastAsia="Arial" w:hAnsi="Arial"/>
          <w:b/>
          <w:bCs/>
          <w:color w:val="002045"/>
          <w:sz w:val="32"/>
          <w:szCs w:val="32"/>
        </w:rPr>
        <w:t xml:space="preserve">2. The problem and the law</w:t>
      </w:r>
    </w:p>
    <w:p>
      <w:pPr>
        <w:spacing w:after="160" w:before="0" w:line="288"/>
      </w:pPr>
      <w:r>
        <w:rPr>
          <w:rFonts w:ascii="Arial" w:cs="Arial" w:eastAsia="Arial" w:hAnsi="Arial"/>
        </w:rPr>
        <w:t xml:space="preserve">Two instruments matter. The </w:t>
      </w:r>
      <w:r>
        <w:rPr>
          <w:rFonts w:ascii="Arial" w:cs="Arial" w:eastAsia="Arial" w:hAnsi="Arial"/>
          <w:b/>
          <w:bCs/>
        </w:rPr>
        <w:t xml:space="preserve">Legal Metrology Act, 2009</w:t>
      </w:r>
      <w:r>
        <w:rPr>
          <w:rFonts w:ascii="Arial" w:cs="Arial" w:eastAsia="Arial" w:hAnsi="Arial"/>
        </w:rPr>
        <w:t xml:space="preserve"> is the parent statute governing weights, measures and the declarations on pre-packaged goods. Under it, the </w:t>
      </w:r>
      <w:r>
        <w:rPr>
          <w:rFonts w:ascii="Arial" w:cs="Arial" w:eastAsia="Arial" w:hAnsi="Arial"/>
          <w:b/>
          <w:bCs/>
        </w:rPr>
        <w:t xml:space="preserve">Legal Metrology (Packaged Commodities) Rules, 2011</w:t>
      </w:r>
      <w:r>
        <w:rPr>
          <w:rFonts w:ascii="Arial" w:cs="Arial" w:eastAsia="Arial" w:hAnsi="Arial"/>
        </w:rPr>
        <w:t xml:space="preserve"> spell out exactly what must be printed on a package before it can be sold.</w:t>
      </w:r>
    </w:p>
    <w:p>
      <w:pPr>
        <w:spacing w:after="160" w:before="0" w:line="288"/>
      </w:pPr>
      <w:r>
        <w:rPr>
          <w:rFonts w:ascii="Arial" w:cs="Arial" w:eastAsia="Arial" w:hAnsi="Arial"/>
        </w:rPr>
        <w:t xml:space="preserve">Rule 6(1) lists the mandatory declarations; Rule 6(2) requires consumer-care contact details; Rule 2(m) defines retail sale price as the maximum price </w:t>
      </w:r>
      <w:r>
        <w:rPr>
          <w:rFonts w:ascii="Arial" w:cs="Arial" w:eastAsia="Arial" w:hAnsi="Arial"/>
          <w:i/>
          <w:iCs/>
        </w:rPr>
        <w:t xml:space="preserve">inclusive of all taxes</w:t>
      </w:r>
      <w:r>
        <w:rPr>
          <w:rFonts w:ascii="Arial" w:cs="Arial" w:eastAsia="Arial" w:hAnsi="Arial"/>
        </w:rPr>
        <w:t xml:space="preserve">; Rule 13(4) restricts net quantity to standard metric units and bars the old commercial ones like dozen, score and gross.</w:t>
      </w:r>
    </w:p>
    <w:p>
      <w:pPr>
        <w:pStyle w:val="Heading2"/>
        <w:spacing w:after="120" w:before="320"/>
      </w:pPr>
      <w:r>
        <w:rPr>
          <w:rFonts w:ascii="Arial" w:cs="Arial" w:eastAsia="Arial" w:hAnsi="Arial"/>
          <w:b/>
          <w:bCs/>
          <w:color w:val="002045"/>
          <w:sz w:val="24"/>
          <w:szCs w:val="24"/>
        </w:rPr>
        <w:t xml:space="preserve">Why it needs help</w:t>
      </w:r>
    </w:p>
    <w:p>
      <w:pPr>
        <w:pStyle w:val="ListParagraph"/>
        <w:numPr>
          <w:ilvl w:val="0"/>
          <w:numId w:val="2"/>
        </w:numPr>
        <w:spacing w:after="90" w:line="288"/>
      </w:pPr>
      <w:r>
        <w:rPr>
          <w:rFonts w:ascii="Arial" w:cs="Arial" w:eastAsia="Arial" w:hAnsi="Arial"/>
          <w:b/>
          <w:bCs/>
        </w:rPr>
        <w:t xml:space="preserve">Volume against headcount.</w:t>
      </w:r>
      <w:r>
        <w:rPr>
          <w:rFonts w:ascii="Arial" w:cs="Arial" w:eastAsia="Arial" w:hAnsi="Arial"/>
        </w:rPr>
        <w:t xml:space="preserve"> India's packaged-goods market runs to millions of SKUs; enforcement rests with a limited state-level inspectorate. Coverage is inevitably thin.</w:t>
      </w:r>
    </w:p>
    <w:p>
      <w:pPr>
        <w:pStyle w:val="ListParagraph"/>
        <w:numPr>
          <w:ilvl w:val="0"/>
          <w:numId w:val="2"/>
        </w:numPr>
        <w:spacing w:after="90" w:line="288"/>
      </w:pPr>
      <w:r>
        <w:rPr>
          <w:rFonts w:ascii="Arial" w:cs="Arial" w:eastAsia="Arial" w:hAnsi="Arial"/>
          <w:b/>
          <w:bCs/>
        </w:rPr>
        <w:t xml:space="preserve">The check is mechanical but tedious.</w:t>
      </w:r>
      <w:r>
        <w:rPr>
          <w:rFonts w:ascii="Arial" w:cs="Arial" w:eastAsia="Arial" w:hAnsi="Arial"/>
        </w:rPr>
        <w:t xml:space="preserve"> Six or seven declarations, on two panels, in small print, per package. Exactly the kind of work attention drifts on.</w:t>
      </w:r>
    </w:p>
    <w:p>
      <w:pPr>
        <w:pStyle w:val="ListParagraph"/>
        <w:numPr>
          <w:ilvl w:val="0"/>
          <w:numId w:val="2"/>
        </w:numPr>
        <w:spacing w:after="90" w:line="288"/>
      </w:pPr>
      <w:r>
        <w:rPr>
          <w:rFonts w:ascii="Arial" w:cs="Arial" w:eastAsia="Arial" w:hAnsi="Arial"/>
          <w:b/>
          <w:bCs/>
        </w:rPr>
        <w:t xml:space="preserve">Findings are hard to prove later.</w:t>
      </w:r>
      <w:r>
        <w:rPr>
          <w:rFonts w:ascii="Arial" w:cs="Arial" w:eastAsia="Arial" w:hAnsi="Arial"/>
        </w:rPr>
        <w:t xml:space="preserve"> A paper note does not carry the package with it. Our record does — the photographs are stored as evidence and can never be swapped afterwards.</w:t>
      </w:r>
    </w:p>
    <w:p>
      <w:pPr>
        <w:pStyle w:val="ListParagraph"/>
        <w:numPr>
          <w:ilvl w:val="0"/>
          <w:numId w:val="2"/>
        </w:numPr>
        <w:spacing w:after="90" w:line="288"/>
      </w:pPr>
      <w:r>
        <w:rPr>
          <w:rFonts w:ascii="Arial" w:cs="Arial" w:eastAsia="Arial" w:hAnsi="Arial"/>
          <w:b/>
          <w:bCs/>
        </w:rPr>
        <w:t xml:space="preserve">The same rules now apply online.</w:t>
      </w:r>
      <w:r>
        <w:rPr>
          <w:rFonts w:ascii="Arial" w:cs="Arial" w:eastAsia="Arial" w:hAnsi="Arial"/>
        </w:rPr>
        <w:t xml:space="preserve"> The 2011 Rules were amended to cover e-commerce listings, which multiplies the surface to police. Our rule engine is listing-agnostic; only the input source would change.</w:t>
      </w:r>
    </w:p>
    <w:p>
      <w:pPr>
        <w:pStyle w:val="Heading2"/>
        <w:spacing w:after="120" w:before="320"/>
      </w:pPr>
      <w:r>
        <w:rPr>
          <w:rFonts w:ascii="Arial" w:cs="Arial" w:eastAsia="Arial" w:hAnsi="Arial"/>
          <w:b/>
          <w:bCs/>
          <w:color w:val="002045"/>
          <w:sz w:val="24"/>
          <w:szCs w:val="24"/>
        </w:rPr>
        <w:t xml:space="preserve">What we deliberately did not build</w:t>
      </w:r>
    </w:p>
    <w:p>
      <w:pPr>
        <w:spacing w:after="160" w:before="0" w:line="288"/>
      </w:pPr>
      <w:r>
        <w:rPr>
          <w:rFonts w:ascii="Arial" w:cs="Arial" w:eastAsia="Arial" w:hAnsi="Arial"/>
        </w:rPr>
        <w:t xml:space="preserve">No FSSAI checks (food safety is a different Act and regulator), no nutrition-label analysis, no price-fairness judgement, no penalty calculation. Scope discipline is a feature: the tool makes exactly the claims Legal Metrology lets it make. The rule engine even carries a comment forbidding non-metrology rules from being added to it.</w:t>
      </w:r>
    </w:p>
    <w:p>
      <w:pPr>
        <w:pStyle w:val="Heading1"/>
        <w:pBdr>
          <w:bottom w:val="single" w:color="002045" w:sz="8" w:space="6"/>
        </w:pBdr>
        <w:spacing w:after="180" w:before="420"/>
      </w:pPr>
      <w:r>
        <w:rPr>
          <w:rFonts w:ascii="Arial" w:cs="Arial" w:eastAsia="Arial" w:hAnsi="Arial"/>
          <w:b/>
          <w:bCs/>
          <w:color w:val="002045"/>
          <w:sz w:val="32"/>
          <w:szCs w:val="32"/>
        </w:rPr>
        <w:t xml:space="preserve">3. Architecture at a glance</w:t>
      </w:r>
    </w:p>
    <w:p>
      <w:pPr>
        <w:spacing w:after="160" w:before="0" w:line="288"/>
      </w:pPr>
      <w:r>
        <w:rPr>
          <w:rFonts w:ascii="Arial" w:cs="Arial" w:eastAsia="Arial" w:hAnsi="Arial"/>
        </w:rPr>
        <w:t xml:space="preserve">Three parts: a phone-shaped web app, a small Python API, and Supabase as the managed database, identity provider and file store. Gemini is called from one place only — inside the API.</w:t>
      </w:r>
    </w:p>
    <w:p>
      <w:pPr>
        <w:pStyle w:val="Heading2"/>
        <w:spacing w:after="120" w:before="320"/>
      </w:pPr>
      <w:r>
        <w:rPr>
          <w:rFonts w:ascii="Arial" w:cs="Arial" w:eastAsia="Arial" w:hAnsi="Arial"/>
          <w:b/>
          <w:bCs/>
          <w:color w:val="002045"/>
          <w:sz w:val="24"/>
          <w:szCs w:val="24"/>
        </w:rPr>
        <w:t xml:space="preserve">The write path of a scan</w:t>
      </w:r>
    </w:p>
    <w:p>
      <w:pPr>
        <w:pStyle w:val="ListParagraph"/>
        <w:numPr>
          <w:ilvl w:val="0"/>
          <w:numId w:val="3"/>
        </w:numPr>
        <w:spacing w:after="90" w:line="288"/>
      </w:pPr>
      <w:r>
        <w:rPr>
          <w:rFonts w:ascii="Arial" w:cs="Arial" w:eastAsia="Arial" w:hAnsi="Arial"/>
        </w:rPr>
        <w:t xml:space="preserve">The </w:t>
      </w:r>
      <w:r>
        <w:rPr>
          <w:rFonts w:ascii="Arial" w:cs="Arial" w:eastAsia="Arial" w:hAnsi="Arial"/>
          <w:b/>
          <w:bCs/>
        </w:rPr>
        <w:t xml:space="preserve">phone</w:t>
      </w:r>
      <w:r>
        <w:rPr>
          <w:rFonts w:ascii="Arial" w:cs="Arial" w:eastAsia="Arial" w:hAnsi="Arial"/>
        </w:rPr>
        <w:t xml:space="preserve"> uploads one to four photographs straight into Supabase </w:t>
      </w:r>
      <w:r>
        <w:rPr>
          <w:rFonts w:ascii="Arial" w:cs="Arial" w:eastAsia="Arial" w:hAnsi="Arial"/>
          <w:b/>
          <w:bCs/>
        </w:rPr>
        <w:t xml:space="preserve">Storage</w:t>
      </w:r>
      <w:r>
        <w:rPr>
          <w:rFonts w:ascii="Arial" w:cs="Arial" w:eastAsia="Arial" w:hAnsi="Arial"/>
        </w:rPr>
        <w:t xml:space="preserve">, using the public anon key.</w:t>
      </w:r>
    </w:p>
    <w:p>
      <w:pPr>
        <w:pStyle w:val="ListParagraph"/>
        <w:numPr>
          <w:ilvl w:val="0"/>
          <w:numId w:val="3"/>
        </w:numPr>
        <w:spacing w:after="90" w:line="288"/>
      </w:pPr>
      <w:r>
        <w:rPr>
          <w:rFonts w:ascii="Arial" w:cs="Arial" w:eastAsia="Arial" w:hAnsi="Arial"/>
        </w:rPr>
        <w:t xml:space="preserve">The phone posts the two file paths to the </w:t>
      </w:r>
      <w:r>
        <w:rPr>
          <w:rFonts w:ascii="Arial" w:cs="Arial" w:eastAsia="Arial" w:hAnsi="Arial"/>
          <w:b/>
          <w:bCs/>
        </w:rPr>
        <w:t xml:space="preserve">FastAPI</w:t>
      </w:r>
      <w:r>
        <w:rPr>
          <w:rFonts w:ascii="Arial" w:cs="Arial" w:eastAsia="Arial" w:hAnsi="Arial"/>
        </w:rPr>
        <w:t xml:space="preserve"> service with the user's access token in an </w:t>
      </w:r>
      <w:r>
        <w:rPr>
          <w:rFonts w:ascii="Consolas" w:cs="Consolas" w:eastAsia="Consolas" w:hAnsi="Consolas"/>
          <w:color w:val="223344"/>
          <w:sz w:val="19"/>
          <w:szCs w:val="19"/>
        </w:rPr>
        <w:t xml:space="preserve">Authorization: Bearer</w:t>
      </w:r>
      <w:r>
        <w:rPr>
          <w:rFonts w:ascii="Arial" w:cs="Arial" w:eastAsia="Arial" w:hAnsi="Arial"/>
        </w:rPr>
        <w:t xml:space="preserve"> header.</w:t>
      </w:r>
    </w:p>
    <w:p>
      <w:pPr>
        <w:pStyle w:val="ListParagraph"/>
        <w:numPr>
          <w:ilvl w:val="0"/>
          <w:numId w:val="3"/>
        </w:numPr>
        <w:spacing w:after="90" w:line="288"/>
      </w:pPr>
      <w:r>
        <w:rPr>
          <w:rFonts w:ascii="Arial" w:cs="Arial" w:eastAsia="Arial" w:hAnsi="Arial"/>
        </w:rPr>
        <w:t xml:space="preserve">FastAPI validates that token against </w:t>
      </w:r>
      <w:r>
        <w:rPr>
          <w:rFonts w:ascii="Arial" w:cs="Arial" w:eastAsia="Arial" w:hAnsi="Arial"/>
          <w:b/>
          <w:bCs/>
        </w:rPr>
        <w:t xml:space="preserve">Supabase Auth</w:t>
      </w:r>
      <w:r>
        <w:rPr>
          <w:rFonts w:ascii="Arial" w:cs="Arial" w:eastAsia="Arial" w:hAnsi="Arial"/>
        </w:rPr>
        <w:t xml:space="preserve"> and re-checks the caller's role and status.</w:t>
      </w:r>
    </w:p>
    <w:p>
      <w:pPr>
        <w:pStyle w:val="ListParagraph"/>
        <w:numPr>
          <w:ilvl w:val="0"/>
          <w:numId w:val="3"/>
        </w:numPr>
        <w:spacing w:after="90" w:line="288"/>
      </w:pPr>
      <w:r>
        <w:rPr>
          <w:rFonts w:ascii="Arial" w:cs="Arial" w:eastAsia="Arial" w:hAnsi="Arial"/>
        </w:rPr>
        <w:t xml:space="preserve">FastAPI pulls the image bytes back out of Storage with its service-role key and sends every image to </w:t>
      </w:r>
      <w:r>
        <w:rPr>
          <w:rFonts w:ascii="Arial" w:cs="Arial" w:eastAsia="Arial" w:hAnsi="Arial"/>
          <w:b/>
          <w:bCs/>
        </w:rPr>
        <w:t xml:space="preserve">Gemini</w:t>
      </w:r>
      <w:r>
        <w:rPr>
          <w:rFonts w:ascii="Arial" w:cs="Arial" w:eastAsia="Arial" w:hAnsi="Arial"/>
        </w:rPr>
        <w:t xml:space="preserve"> with a JSON schema, at high media resolution.</w:t>
      </w:r>
    </w:p>
    <w:p>
      <w:pPr>
        <w:pStyle w:val="ListParagraph"/>
        <w:numPr>
          <w:ilvl w:val="0"/>
          <w:numId w:val="3"/>
        </w:numPr>
        <w:spacing w:after="90" w:line="288"/>
      </w:pPr>
      <w:r>
        <w:rPr>
          <w:rFonts w:ascii="Arial" w:cs="Arial" w:eastAsia="Arial" w:hAnsi="Arial"/>
        </w:rPr>
        <w:t xml:space="preserve">FastAPI runs the eight rules in Python and inserts one immutable row into </w:t>
      </w:r>
      <w:r>
        <w:rPr>
          <w:rFonts w:ascii="Arial" w:cs="Arial" w:eastAsia="Arial" w:hAnsi="Arial"/>
          <w:b/>
          <w:bCs/>
        </w:rPr>
        <w:t xml:space="preserve">Postgres</w:t>
      </w:r>
      <w:r>
        <w:rPr>
          <w:rFonts w:ascii="Arial" w:cs="Arial" w:eastAsia="Arial" w:hAnsi="Arial"/>
        </w:rPr>
        <w:t xml:space="preserve">.</w:t>
      </w:r>
    </w:p>
    <w:p>
      <w:pPr>
        <w:spacing w:after="60"/>
      </w:pPr>
    </w:p>
    <w:p>
      <w:pPr>
        <w:spacing w:after="200" w:before="0" w:line="288"/>
      </w:pPr>
      <w:r>
        <w:rPr>
          <w:rFonts w:ascii="Arial" w:cs="Arial" w:eastAsia="Arial" w:hAnsi="Arial"/>
        </w:rPr>
        <w:t xml:space="preserve">Two reads run outside that path: the backend fetching image bytes with the service-role key, and the app's history screens querying Postgres </w:t>
      </w:r>
      <w:r>
        <w:rPr>
          <w:rFonts w:ascii="Arial" w:cs="Arial" w:eastAsia="Arial" w:hAnsi="Arial"/>
          <w:b/>
          <w:bCs/>
        </w:rPr>
        <w:t xml:space="preserve">directly</w:t>
      </w:r>
      <w:r>
        <w:rPr>
          <w:rFonts w:ascii="Arial" w:cs="Arial" w:eastAsia="Arial" w:hAnsi="Arial"/>
        </w:rPr>
        <w:t xml:space="preserve"> from the browser — where row-level security, not application code, decides what comes back.</w:t>
      </w:r>
    </w:p>
    <w:p>
      <w:pPr>
        <w:pStyle w:val="Heading2"/>
        <w:spacing w:after="120" w:before="320"/>
      </w:pPr>
      <w:r>
        <w:rPr>
          <w:rFonts w:ascii="Arial" w:cs="Arial" w:eastAsia="Arial" w:hAnsi="Arial"/>
          <w:b/>
          <w:bCs/>
          <w:color w:val="002045"/>
          <w:sz w:val="24"/>
          <w:szCs w:val="24"/>
        </w:rPr>
        <w:t xml:space="preserve">Who does what, and why it lives there</w:t>
      </w:r>
    </w:p>
    <w:tbl>
      <w:tblPr>
        <w:tblW w:type="dxa" w:w="9360"/>
        <w:tblBorders>
          <w:top w:val="single" w:color="C8D2DC" w:sz="4"/>
          <w:left w:val="single" w:color="C8D2DC" w:sz="4"/>
          <w:bottom w:val="single" w:color="C8D2DC" w:sz="4"/>
          <w:right w:val="single" w:color="C8D2DC" w:sz="4"/>
          <w:insideH w:val="single" w:color="C8D2DC" w:sz="4"/>
          <w:insideV w:val="single" w:color="C8D2DC" w:sz="4"/>
        </w:tblBorders>
      </w:tblPr>
      <w:tblGrid>
        <w:gridCol w:w="1900"/>
        <w:gridCol w:w="3400"/>
        <w:gridCol w:w="4060"/>
      </w:tblGrid>
      <w:tr>
        <w:trPr>
          <w:tblHeader/>
        </w:trPr>
        <w:tc>
          <w:tcPr>
            <w:tcW w:type="dxa" w:w="19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Component</w:t>
            </w:r>
          </w:p>
        </w:tc>
        <w:tc>
          <w:tcPr>
            <w:tcW w:type="dxa" w:w="34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Responsibility</w:t>
            </w:r>
          </w:p>
        </w:tc>
        <w:tc>
          <w:tcPr>
            <w:tcW w:type="dxa" w:w="4060"/>
            <w:shd w:fill="EDF2F7" w:color="auto" w:val="clear"/>
            <w:tcMar>
              <w:top w:type="dxa" w:w="90"/>
              <w:left w:type="dxa" w:w="130"/>
              <w:bottom w:type="dxa" w:w="90"/>
              <w:right w:type="dxa" w:w="130"/>
            </w:tcMar>
          </w:tcPr>
          <w:p>
            <w:pPr>
              <w:spacing w:after="0" w:line="264"/>
            </w:pPr>
            <w:r>
              <w:rPr>
                <w:rFonts w:ascii="Arial" w:cs="Arial" w:eastAsia="Arial" w:hAnsi="Arial"/>
                <w:b/>
                <w:bCs/>
              </w:rPr>
              <w:t xml:space="preserve">Why here</w:t>
            </w:r>
          </w:p>
        </w:tc>
      </w:tr>
      <w:tr>
        <w:tc>
          <w:tcPr>
            <w:tcW w:type="dxa" w:w="1900"/>
            <w:tcMar>
              <w:top w:type="dxa" w:w="90"/>
              <w:left w:type="dxa" w:w="130"/>
              <w:bottom w:type="dxa" w:w="90"/>
              <w:right w:type="dxa" w:w="130"/>
            </w:tcMar>
          </w:tcPr>
          <w:p>
            <w:pPr>
              <w:spacing w:after="60" w:line="264"/>
            </w:pPr>
            <w:r>
              <w:rPr>
                <w:rFonts w:ascii="Arial" w:cs="Arial" w:eastAsia="Arial" w:hAnsi="Arial"/>
                <w:b/>
                <w:bCs/>
              </w:rPr>
              <w:t xml:space="preserve">React SPA</w:t>
            </w:r>
          </w:p>
          <w:p>
            <w:pPr>
              <w:spacing w:after="0" w:line="264"/>
            </w:pPr>
            <w:r>
              <w:rPr>
                <w:rFonts w:ascii="Consolas" w:cs="Consolas" w:eastAsia="Consolas" w:hAnsi="Consolas"/>
                <w:color w:val="223344"/>
                <w:sz w:val="19"/>
                <w:szCs w:val="19"/>
              </w:rPr>
              <w:t xml:space="preserve">frontend/</w:t>
            </w:r>
          </w:p>
        </w:tc>
        <w:tc>
          <w:tcPr>
            <w:tcW w:type="dxa" w:w="3400"/>
            <w:tcMar>
              <w:top w:type="dxa" w:w="90"/>
              <w:left w:type="dxa" w:w="130"/>
              <w:bottom w:type="dxa" w:w="90"/>
              <w:right w:type="dxa" w:w="130"/>
            </w:tcMar>
          </w:tcPr>
          <w:p>
            <w:pPr>
              <w:spacing w:after="0" w:line="264"/>
            </w:pPr>
            <w:r>
              <w:rPr>
                <w:rFonts w:ascii="Arial" w:cs="Arial" w:eastAsia="Arial" w:hAnsi="Arial"/>
              </w:rPr>
              <w:t xml:space="preserve">Capture, category, results, history, admin user management. Reads scan rows straight from Postgres.</w:t>
            </w:r>
          </w:p>
        </w:tc>
        <w:tc>
          <w:tcPr>
            <w:tcW w:type="dxa" w:w="4060"/>
            <w:tcMar>
              <w:top w:type="dxa" w:w="90"/>
              <w:left w:type="dxa" w:w="130"/>
              <w:bottom w:type="dxa" w:w="90"/>
              <w:right w:type="dxa" w:w="130"/>
            </w:tcMar>
          </w:tcPr>
          <w:p>
            <w:pPr>
              <w:spacing w:after="0" w:line="264"/>
            </w:pPr>
            <w:r>
              <w:rPr>
                <w:rFonts w:ascii="Arial" w:cs="Arial" w:eastAsia="Arial" w:hAnsi="Arial"/>
              </w:rPr>
              <w:t xml:space="preserve">Reads need no server logic — the database already enforces who sees what, so an API layer would only add latency.</w:t>
            </w:r>
          </w:p>
        </w:tc>
      </w:tr>
      <w:tr>
        <w:tc>
          <w:tcPr>
            <w:tcW w:type="dxa" w:w="1900"/>
            <w:tcMar>
              <w:top w:type="dxa" w:w="90"/>
              <w:left w:type="dxa" w:w="130"/>
              <w:bottom w:type="dxa" w:w="90"/>
              <w:right w:type="dxa" w:w="130"/>
            </w:tcMar>
          </w:tcPr>
          <w:p>
            <w:pPr>
              <w:spacing w:after="60" w:line="264"/>
            </w:pPr>
            <w:r>
              <w:rPr>
                <w:rFonts w:ascii="Arial" w:cs="Arial" w:eastAsia="Arial" w:hAnsi="Arial"/>
                <w:b/>
                <w:bCs/>
              </w:rPr>
              <w:t xml:space="preserve">FastAPI</w:t>
            </w:r>
          </w:p>
          <w:p>
            <w:pPr>
              <w:spacing w:after="0" w:line="264"/>
            </w:pPr>
            <w:r>
              <w:rPr>
                <w:rFonts w:ascii="Consolas" w:cs="Consolas" w:eastAsia="Consolas" w:hAnsi="Consolas"/>
                <w:color w:val="223344"/>
                <w:sz w:val="19"/>
                <w:szCs w:val="19"/>
              </w:rPr>
              <w:t xml:space="preserve">backend/app/</w:t>
            </w:r>
          </w:p>
        </w:tc>
        <w:tc>
          <w:tcPr>
            <w:tcW w:type="dxa" w:w="3400"/>
            <w:tcMar>
              <w:top w:type="dxa" w:w="90"/>
              <w:left w:type="dxa" w:w="130"/>
              <w:bottom w:type="dxa" w:w="90"/>
              <w:right w:type="dxa" w:w="130"/>
            </w:tcMar>
          </w:tcPr>
          <w:p>
            <w:pPr>
              <w:spacing w:after="0" w:line="264"/>
            </w:pPr>
            <w:r>
              <w:rPr>
                <w:rFonts w:ascii="Arial" w:cs="Arial" w:eastAsia="Arial" w:hAnsi="Arial"/>
              </w:rPr>
              <w:t xml:space="preserve">The only writer of inspection records. Auth, rate limiting, Gemini call, rule evaluation, PDF generation.</w:t>
            </w:r>
          </w:p>
        </w:tc>
        <w:tc>
          <w:tcPr>
            <w:tcW w:type="dxa" w:w="4060"/>
            <w:tcMar>
              <w:top w:type="dxa" w:w="90"/>
              <w:left w:type="dxa" w:w="130"/>
              <w:bottom w:type="dxa" w:w="90"/>
              <w:right w:type="dxa" w:w="130"/>
            </w:tcMar>
          </w:tcPr>
          <w:p>
            <w:pPr>
              <w:spacing w:after="0" w:line="264"/>
            </w:pPr>
            <w:r>
              <w:rPr>
                <w:rFonts w:ascii="Arial" w:cs="Arial" w:eastAsia="Arial" w:hAnsi="Arial"/>
              </w:rPr>
              <w:t xml:space="preserve">It holds the two secrets that must never reach a browser: the Supabase service-role key and the Gemini key.</w:t>
            </w:r>
          </w:p>
        </w:tc>
      </w:tr>
      <w:tr>
        <w:tc>
          <w:tcPr>
            <w:tcW w:type="dxa" w:w="1900"/>
            <w:tcMar>
              <w:top w:type="dxa" w:w="90"/>
              <w:left w:type="dxa" w:w="130"/>
              <w:bottom w:type="dxa" w:w="90"/>
              <w:right w:type="dxa" w:w="130"/>
            </w:tcMar>
          </w:tcPr>
          <w:p>
            <w:pPr>
              <w:spacing w:after="0" w:line="264"/>
            </w:pPr>
            <w:r>
              <w:rPr>
                <w:rFonts w:ascii="Arial" w:cs="Arial" w:eastAsia="Arial" w:hAnsi="Arial"/>
                <w:b/>
                <w:bCs/>
              </w:rPr>
              <w:t xml:space="preserve">Supabase</w:t>
            </w:r>
          </w:p>
        </w:tc>
        <w:tc>
          <w:tcPr>
            <w:tcW w:type="dxa" w:w="3400"/>
            <w:tcMar>
              <w:top w:type="dxa" w:w="90"/>
              <w:left w:type="dxa" w:w="130"/>
              <w:bottom w:type="dxa" w:w="90"/>
              <w:right w:type="dxa" w:w="130"/>
            </w:tcMar>
          </w:tcPr>
          <w:p>
            <w:pPr>
              <w:spacing w:after="0" w:line="264"/>
            </w:pPr>
            <w:r>
              <w:rPr>
                <w:rFonts w:ascii="Arial" w:cs="Arial" w:eastAsia="Arial" w:hAnsi="Arial"/>
              </w:rPr>
              <w:t xml:space="preserve">Postgres, Google sign-in, and the private evidence bucket, with row-level security across all of it.</w:t>
            </w:r>
          </w:p>
        </w:tc>
        <w:tc>
          <w:tcPr>
            <w:tcW w:type="dxa" w:w="4060"/>
            <w:tcMar>
              <w:top w:type="dxa" w:w="90"/>
              <w:left w:type="dxa" w:w="130"/>
              <w:bottom w:type="dxa" w:w="90"/>
              <w:right w:type="dxa" w:w="130"/>
            </w:tcMar>
          </w:tcPr>
          <w:p>
            <w:pPr>
              <w:spacing w:after="0" w:line="264"/>
            </w:pPr>
            <w:r>
              <w:rPr>
                <w:rFonts w:ascii="Arial" w:cs="Arial" w:eastAsia="Arial" w:hAnsi="Arial"/>
              </w:rPr>
              <w:t xml:space="preserve">One managed service covers database, identity and storage — and pushes authorisation down into the data layer where it cannot be bypassed.</w:t>
            </w:r>
          </w:p>
        </w:tc>
      </w:tr>
      <w:tr>
        <w:tc>
          <w:tcPr>
            <w:tcW w:type="dxa" w:w="1900"/>
            <w:tcMar>
              <w:top w:type="dxa" w:w="90"/>
              <w:left w:type="dxa" w:w="130"/>
              <w:bottom w:type="dxa" w:w="90"/>
              <w:right w:type="dxa" w:w="130"/>
            </w:tcMar>
          </w:tcPr>
          <w:p>
            <w:pPr>
              <w:spacing w:after="0" w:line="264"/>
            </w:pPr>
            <w:r>
              <w:rPr>
                <w:rFonts w:ascii="Arial" w:cs="Arial" w:eastAsia="Arial" w:hAnsi="Arial"/>
                <w:b/>
                <w:bCs/>
              </w:rPr>
              <w:t xml:space="preserve">Gemini 3.5 Flash</w:t>
            </w:r>
          </w:p>
        </w:tc>
        <w:tc>
          <w:tcPr>
            <w:tcW w:type="dxa" w:w="3400"/>
            <w:tcMar>
              <w:top w:type="dxa" w:w="90"/>
              <w:left w:type="dxa" w:w="130"/>
              <w:bottom w:type="dxa" w:w="90"/>
              <w:right w:type="dxa" w:w="130"/>
            </w:tcMar>
          </w:tcPr>
          <w:p>
            <w:pPr>
              <w:spacing w:after="0" w:line="264"/>
            </w:pPr>
            <w:r>
              <w:rPr>
                <w:rFonts w:ascii="Arial" w:cs="Arial" w:eastAsia="Arial" w:hAnsi="Arial"/>
              </w:rPr>
              <w:t xml:space="preserve">Turns every label photograph into one validated JSON object of declarations.</w:t>
            </w:r>
          </w:p>
        </w:tc>
        <w:tc>
          <w:tcPr>
            <w:tcW w:type="dxa" w:w="4060"/>
            <w:tcMar>
              <w:top w:type="dxa" w:w="90"/>
              <w:left w:type="dxa" w:w="130"/>
              <w:bottom w:type="dxa" w:w="90"/>
              <w:right w:type="dxa" w:w="130"/>
            </w:tcMar>
          </w:tcPr>
          <w:p>
            <w:pPr>
              <w:spacing w:after="0" w:line="264"/>
            </w:pPr>
            <w:r>
              <w:rPr>
                <w:rFonts w:ascii="Arial" w:cs="Arial" w:eastAsia="Arial" w:hAnsi="Arial"/>
              </w:rPr>
              <w:t xml:space="preserve">A vision-language model does recognition and field assignment in a single step; classical OCR only does the first half.</w:t>
            </w:r>
          </w:p>
        </w:tc>
      </w:tr>
    </w:tbl>
    <w:p>
      <w:pPr>
        <w:pStyle w:val="Heading2"/>
        <w:spacing w:after="120" w:before="320"/>
      </w:pPr>
      <w:r>
        <w:rPr>
          <w:rFonts w:ascii="Arial" w:cs="Arial" w:eastAsia="Arial" w:hAnsi="Arial"/>
          <w:b/>
          <w:bCs/>
          <w:color w:val="002045"/>
          <w:sz w:val="24"/>
          <w:szCs w:val="24"/>
        </w:rPr>
        <w:t xml:space="preserve">The API surface, in full</w:t>
      </w:r>
    </w:p>
    <w:tbl>
      <w:tblPr>
        <w:tblW w:type="dxa" w:w="9360"/>
        <w:tblBorders>
          <w:top w:val="single" w:color="C8D2DC" w:sz="4"/>
          <w:left w:val="single" w:color="C8D2DC" w:sz="4"/>
          <w:bottom w:val="single" w:color="C8D2DC" w:sz="4"/>
          <w:right w:val="single" w:color="C8D2DC" w:sz="4"/>
          <w:insideH w:val="single" w:color="C8D2DC" w:sz="4"/>
          <w:insideV w:val="single" w:color="C8D2DC" w:sz="4"/>
        </w:tblBorders>
      </w:tblPr>
      <w:tblGrid>
        <w:gridCol w:w="2700"/>
        <w:gridCol w:w="2500"/>
        <w:gridCol w:w="4160"/>
      </w:tblGrid>
      <w:tr>
        <w:trPr>
          <w:tblHeader/>
        </w:trPr>
        <w:tc>
          <w:tcPr>
            <w:tcW w:type="dxa" w:w="27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Endpoint</w:t>
            </w:r>
          </w:p>
        </w:tc>
        <w:tc>
          <w:tcPr>
            <w:tcW w:type="dxa" w:w="25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Auth</w:t>
            </w:r>
          </w:p>
        </w:tc>
        <w:tc>
          <w:tcPr>
            <w:tcW w:type="dxa" w:w="4160"/>
            <w:shd w:fill="EDF2F7" w:color="auto" w:val="clear"/>
            <w:tcMar>
              <w:top w:type="dxa" w:w="90"/>
              <w:left w:type="dxa" w:w="130"/>
              <w:bottom w:type="dxa" w:w="90"/>
              <w:right w:type="dxa" w:w="130"/>
            </w:tcMar>
          </w:tcPr>
          <w:p>
            <w:pPr>
              <w:spacing w:after="0" w:line="264"/>
            </w:pPr>
            <w:r>
              <w:rPr>
                <w:rFonts w:ascii="Arial" w:cs="Arial" w:eastAsia="Arial" w:hAnsi="Arial"/>
                <w:b/>
                <w:bCs/>
              </w:rPr>
              <w:t xml:space="preserve">Does</w:t>
            </w:r>
          </w:p>
        </w:tc>
      </w:tr>
      <w:tr>
        <w:tc>
          <w:tcPr>
            <w:tcW w:type="dxa" w:w="27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POST /api/scans</w:t>
            </w:r>
          </w:p>
        </w:tc>
        <w:tc>
          <w:tcPr>
            <w:tcW w:type="dxa" w:w="2500"/>
            <w:tcMar>
              <w:top w:type="dxa" w:w="90"/>
              <w:left w:type="dxa" w:w="130"/>
              <w:bottom w:type="dxa" w:w="90"/>
              <w:right w:type="dxa" w:w="130"/>
            </w:tcMar>
          </w:tcPr>
          <w:p>
            <w:pPr>
              <w:spacing w:after="0" w:line="264"/>
            </w:pPr>
            <w:r>
              <w:rPr>
                <w:rFonts w:ascii="Arial" w:cs="Arial" w:eastAsia="Arial" w:hAnsi="Arial"/>
              </w:rPr>
              <w:t xml:space="preserve">Bearer token; active officer or admin</w:t>
            </w:r>
          </w:p>
        </w:tc>
        <w:tc>
          <w:tcPr>
            <w:tcW w:type="dxa" w:w="4160"/>
            <w:tcMar>
              <w:top w:type="dxa" w:w="90"/>
              <w:left w:type="dxa" w:w="130"/>
              <w:bottom w:type="dxa" w:w="90"/>
              <w:right w:type="dxa" w:w="130"/>
            </w:tcMar>
          </w:tcPr>
          <w:p>
            <w:pPr>
              <w:spacing w:after="0" w:line="264"/>
            </w:pPr>
            <w:r>
              <w:rPr>
                <w:rFonts w:ascii="Arial" w:cs="Arial" w:eastAsia="Arial" w:hAnsi="Arial"/>
              </w:rPr>
              <w:t xml:space="preserve">The whole pipeline; returns extracted data, violations and status.</w:t>
            </w:r>
          </w:p>
        </w:tc>
      </w:tr>
      <w:tr>
        <w:tc>
          <w:tcPr>
            <w:tcW w:type="dxa" w:w="27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GET /api/scans/{id}/notice</w:t>
            </w:r>
          </w:p>
        </w:tc>
        <w:tc>
          <w:tcPr>
            <w:tcW w:type="dxa" w:w="2500"/>
            <w:tcMar>
              <w:top w:type="dxa" w:w="90"/>
              <w:left w:type="dxa" w:w="130"/>
              <w:bottom w:type="dxa" w:w="90"/>
              <w:right w:type="dxa" w:w="130"/>
            </w:tcMar>
          </w:tcPr>
          <w:p>
            <w:pPr>
              <w:spacing w:after="0" w:line="264"/>
            </w:pPr>
            <w:r>
              <w:rPr>
                <w:rFonts w:ascii="Arial" w:cs="Arial" w:eastAsia="Arial" w:hAnsi="Arial"/>
              </w:rPr>
              <w:t xml:space="preserve">Bearer token; owner or admin only</w:t>
            </w:r>
          </w:p>
        </w:tc>
        <w:tc>
          <w:tcPr>
            <w:tcW w:type="dxa" w:w="4160"/>
            <w:tcMar>
              <w:top w:type="dxa" w:w="90"/>
              <w:left w:type="dxa" w:w="130"/>
              <w:bottom w:type="dxa" w:w="90"/>
              <w:right w:type="dxa" w:w="130"/>
            </w:tcMar>
          </w:tcPr>
          <w:p>
            <w:pPr>
              <w:spacing w:after="0" w:line="264"/>
            </w:pPr>
            <w:r>
              <w:rPr>
                <w:rFonts w:ascii="Arial" w:cs="Arial" w:eastAsia="Arial" w:hAnsi="Arial"/>
              </w:rPr>
              <w:t xml:space="preserve">Renders the Improvement Notice PDF from a stored record. Read-only.</w:t>
            </w:r>
          </w:p>
        </w:tc>
      </w:tr>
      <w:tr>
        <w:tc>
          <w:tcPr>
            <w:tcW w:type="dxa" w:w="27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GET /api/scans/{id}/evidence</w:t>
            </w:r>
          </w:p>
        </w:tc>
        <w:tc>
          <w:tcPr>
            <w:tcW w:type="dxa" w:w="2500"/>
            <w:tcMar>
              <w:top w:type="dxa" w:w="90"/>
              <w:left w:type="dxa" w:w="130"/>
              <w:bottom w:type="dxa" w:w="90"/>
              <w:right w:type="dxa" w:w="130"/>
            </w:tcMar>
          </w:tcPr>
          <w:p>
            <w:pPr>
              <w:spacing w:after="0" w:line="264"/>
            </w:pPr>
            <w:r>
              <w:rPr>
                <w:rFonts w:ascii="Arial" w:cs="Arial" w:eastAsia="Arial" w:hAnsi="Arial"/>
              </w:rPr>
              <w:t xml:space="preserve">Bearer token; owner or admin only</w:t>
            </w:r>
          </w:p>
        </w:tc>
        <w:tc>
          <w:tcPr>
            <w:tcW w:type="dxa" w:w="4160"/>
            <w:tcMar>
              <w:top w:type="dxa" w:w="90"/>
              <w:left w:type="dxa" w:w="130"/>
              <w:bottom w:type="dxa" w:w="90"/>
              <w:right w:type="dxa" w:w="130"/>
            </w:tcMar>
          </w:tcPr>
          <w:p>
            <w:pPr>
              <w:spacing w:after="0" w:line="264"/>
            </w:pPr>
            <w:r>
              <w:rPr>
                <w:rFonts w:ascii="Arial" w:cs="Arial" w:eastAsia="Arial" w:hAnsi="Arial"/>
              </w:rPr>
              <w:t xml:space="preserve">Mints short-lived signed URLs for every evidence photo, in capture order. Read-only.</w:t>
            </w:r>
          </w:p>
        </w:tc>
      </w:tr>
      <w:tr>
        <w:tc>
          <w:tcPr>
            <w:tcW w:type="dxa" w:w="27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GET /health</w:t>
            </w:r>
          </w:p>
        </w:tc>
        <w:tc>
          <w:tcPr>
            <w:tcW w:type="dxa" w:w="2500"/>
            <w:tcMar>
              <w:top w:type="dxa" w:w="90"/>
              <w:left w:type="dxa" w:w="130"/>
              <w:bottom w:type="dxa" w:w="90"/>
              <w:right w:type="dxa" w:w="130"/>
            </w:tcMar>
          </w:tcPr>
          <w:p>
            <w:pPr>
              <w:spacing w:after="0" w:line="264"/>
            </w:pPr>
            <w:r>
              <w:rPr>
                <w:rFonts w:ascii="Arial" w:cs="Arial" w:eastAsia="Arial" w:hAnsi="Arial"/>
              </w:rPr>
              <w:t xml:space="preserve">None</w:t>
            </w:r>
          </w:p>
        </w:tc>
        <w:tc>
          <w:tcPr>
            <w:tcW w:type="dxa" w:w="4160"/>
            <w:tcMar>
              <w:top w:type="dxa" w:w="90"/>
              <w:left w:type="dxa" w:w="130"/>
              <w:bottom w:type="dxa" w:w="90"/>
              <w:right w:type="dxa" w:w="130"/>
            </w:tcMar>
          </w:tcPr>
          <w:p>
            <w:pPr>
              <w:spacing w:after="0" w:line="264"/>
            </w:pPr>
            <w:r>
              <w:rPr>
                <w:rFonts w:ascii="Arial" w:cs="Arial" w:eastAsia="Arial" w:hAnsi="Arial"/>
              </w:rPr>
              <w:t xml:space="preserve">Liveness probe — Render pings it; also reports the configured model.</w:t>
            </w:r>
          </w:p>
        </w:tc>
      </w:tr>
      <w:tr>
        <w:tc>
          <w:tcPr>
            <w:tcW w:type="dxa" w:w="27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GET /docs</w:t>
            </w:r>
          </w:p>
        </w:tc>
        <w:tc>
          <w:tcPr>
            <w:tcW w:type="dxa" w:w="2500"/>
            <w:tcMar>
              <w:top w:type="dxa" w:w="90"/>
              <w:left w:type="dxa" w:w="130"/>
              <w:bottom w:type="dxa" w:w="90"/>
              <w:right w:type="dxa" w:w="130"/>
            </w:tcMar>
          </w:tcPr>
          <w:p>
            <w:pPr>
              <w:spacing w:after="0" w:line="264"/>
            </w:pPr>
            <w:r>
              <w:rPr>
                <w:rFonts w:ascii="Arial" w:cs="Arial" w:eastAsia="Arial" w:hAnsi="Arial"/>
              </w:rPr>
              <w:t xml:space="preserve">None</w:t>
            </w:r>
          </w:p>
        </w:tc>
        <w:tc>
          <w:tcPr>
            <w:tcW w:type="dxa" w:w="4160"/>
            <w:tcMar>
              <w:top w:type="dxa" w:w="90"/>
              <w:left w:type="dxa" w:w="130"/>
              <w:bottom w:type="dxa" w:w="90"/>
              <w:right w:type="dxa" w:w="130"/>
            </w:tcMar>
          </w:tcPr>
          <w:p>
            <w:pPr>
              <w:spacing w:after="0" w:line="264"/>
            </w:pPr>
            <w:r>
              <w:rPr>
                <w:rFonts w:ascii="Arial" w:cs="Arial" w:eastAsia="Arial" w:hAnsi="Arial"/>
              </w:rPr>
              <w:t xml:space="preserve">Interactive OpenAPI documentation, generated from the Pydantic models.</w:t>
            </w:r>
          </w:p>
        </w:tc>
      </w:tr>
    </w:tbl>
    <w:p>
      <w:pPr>
        <w:spacing w:after="120"/>
      </w:pPr>
    </w:p>
    <w:p>
      <w:pPr>
        <w:spacing w:after="160" w:before="0" w:line="288"/>
      </w:pPr>
      <w:r>
        <w:rPr>
          <w:rFonts w:ascii="Arial" w:cs="Arial" w:eastAsia="Arial" w:hAnsi="Arial"/>
          <w:color w:val="5A6672"/>
        </w:rPr>
        <w:t xml:space="preserve">Five endpoints, and only one of them writes anything. That small surface is deliberate: it makes the security story short enough to state in a sentence.</w:t>
      </w:r>
    </w:p>
    <w:p>
      <w:pPr>
        <w:pStyle w:val="Heading1"/>
        <w:pBdr>
          <w:bottom w:val="single" w:color="002045" w:sz="8" w:space="6"/>
        </w:pBdr>
        <w:spacing w:after="180" w:before="420"/>
      </w:pPr>
      <w:r>
        <w:rPr>
          <w:rFonts w:ascii="Arial" w:cs="Arial" w:eastAsia="Arial" w:hAnsi="Arial"/>
          <w:b/>
          <w:bCs/>
          <w:color w:val="002045"/>
          <w:sz w:val="32"/>
          <w:szCs w:val="32"/>
        </w:rPr>
        <w:t xml:space="preserve">4. Life of a scan</w:t>
      </w:r>
    </w:p>
    <w:p>
      <w:pPr>
        <w:spacing w:after="160" w:before="0" w:line="288"/>
      </w:pPr>
      <w:r>
        <w:rPr>
          <w:rFonts w:ascii="Arial" w:cs="Arial" w:eastAsia="Arial" w:hAnsi="Arial"/>
        </w:rPr>
        <w:t xml:space="preserve">This is the sequence to know cold. If someone asks a question you have not heard before, walking them through these nine steps almost always contains the answer.</w:t>
      </w:r>
    </w:p>
    <w:p>
      <w:pPr>
        <w:pStyle w:val="ListParagraph"/>
        <w:keepNext/>
        <w:numPr>
          <w:ilvl w:val="0"/>
          <w:numId w:val="3"/>
        </w:numPr>
        <w:spacing w:after="40" w:before="160"/>
      </w:pPr>
      <w:r>
        <w:rPr>
          <w:rFonts w:ascii="Arial" w:cs="Arial" w:eastAsia="Arial" w:hAnsi="Arial"/>
          <w:b/>
          <w:bCs/>
          <w:sz w:val="21"/>
          <w:szCs w:val="21"/>
        </w:rPr>
        <w:t xml:space="preserve">The officer captures one to four photographs</w:t>
      </w:r>
    </w:p>
    <w:p>
      <w:pPr>
        <w:spacing w:after="60" w:line="288"/>
        <w:ind w:left="620"/>
      </w:pPr>
      <w:r>
        <w:rPr>
          <w:rFonts w:ascii="Arial" w:cs="Arial" w:eastAsia="Arial" w:hAnsi="Arial"/>
        </w:rPr>
        <w:t xml:space="preserve">The file input carries </w:t>
      </w:r>
      <w:r>
        <w:rPr>
          <w:rFonts w:ascii="Consolas" w:cs="Consolas" w:eastAsia="Consolas" w:hAnsi="Consolas"/>
          <w:color w:val="223344"/>
          <w:sz w:val="19"/>
          <w:szCs w:val="19"/>
        </w:rPr>
        <w:t xml:space="preserve">capture="environment"</w:t>
      </w:r>
      <w:r>
        <w:rPr>
          <w:rFonts w:ascii="Arial" w:cs="Arial" w:eastAsia="Arial" w:hAnsi="Arial"/>
        </w:rPr>
        <w:t xml:space="preserve">, so a phone opens the rear camera directly. One photo is enough to scan; four covers a box whose declarations are spread across every panel, and the fourth is often a close-up of a small print block. Only the first is required.</w:t>
      </w:r>
    </w:p>
    <w:p>
      <w:pPr>
        <w:pStyle w:val="ListParagraph"/>
        <w:keepNext/>
        <w:numPr>
          <w:ilvl w:val="0"/>
          <w:numId w:val="3"/>
        </w:numPr>
        <w:spacing w:after="40" w:before="160"/>
      </w:pPr>
      <w:r>
        <w:rPr>
          <w:rFonts w:ascii="Arial" w:cs="Arial" w:eastAsia="Arial" w:hAnsi="Arial"/>
          <w:b/>
          <w:bCs/>
          <w:sz w:val="21"/>
          <w:szCs w:val="21"/>
        </w:rPr>
        <w:t xml:space="preserve">Photos go straight to Supabase Storage</w:t>
      </w:r>
    </w:p>
    <w:p>
      <w:pPr>
        <w:spacing w:after="60" w:line="288"/>
        <w:ind w:left="620"/>
      </w:pPr>
      <w:r>
        <w:rPr>
          <w:rFonts w:ascii="Arial" w:cs="Arial" w:eastAsia="Arial" w:hAnsi="Arial"/>
        </w:rPr>
        <w:t xml:space="preserve">The browser uploads each image to the private </w:t>
      </w:r>
      <w:r>
        <w:rPr>
          <w:rFonts w:ascii="Consolas" w:cs="Consolas" w:eastAsia="Consolas" w:hAnsi="Consolas"/>
          <w:color w:val="223344"/>
          <w:sz w:val="19"/>
          <w:szCs w:val="19"/>
        </w:rPr>
        <w:t xml:space="preserve">evidence-photos</w:t>
      </w:r>
      <w:r>
        <w:rPr>
          <w:rFonts w:ascii="Arial" w:cs="Arial" w:eastAsia="Arial" w:hAnsi="Arial"/>
        </w:rPr>
        <w:t xml:space="preserve"> bucket under a random </w:t>
      </w:r>
      <w:r>
        <w:rPr>
          <w:rFonts w:ascii="Consolas" w:cs="Consolas" w:eastAsia="Consolas" w:hAnsi="Consolas"/>
          <w:color w:val="223344"/>
          <w:sz w:val="19"/>
          <w:szCs w:val="19"/>
        </w:rPr>
        <w:t xml:space="preserve">crypto.randomUUID()</w:t>
      </w:r>
      <w:r>
        <w:rPr>
          <w:rFonts w:ascii="Arial" w:cs="Arial" w:eastAsia="Arial" w:hAnsi="Arial"/>
        </w:rPr>
        <w:t xml:space="preserve"> filename, using the public anon key. Image bytes never pass through our API — the request that follows is small JSON.</w:t>
      </w:r>
    </w:p>
    <w:p>
      <w:pPr>
        <w:pStyle w:val="ListParagraph"/>
        <w:keepNext/>
        <w:numPr>
          <w:ilvl w:val="0"/>
          <w:numId w:val="3"/>
        </w:numPr>
        <w:spacing w:after="40" w:before="160"/>
      </w:pPr>
      <w:r>
        <w:rPr>
          <w:rFonts w:ascii="Arial" w:cs="Arial" w:eastAsia="Arial" w:hAnsi="Arial"/>
          <w:b/>
          <w:bCs/>
          <w:sz w:val="21"/>
          <w:szCs w:val="21"/>
        </w:rPr>
        <w:t xml:space="preserve">The app posts the photo paths to the backend</w:t>
      </w:r>
    </w:p>
    <w:p>
      <w:pPr>
        <w:spacing w:after="60" w:line="288"/>
        <w:ind w:left="620"/>
      </w:pPr>
      <w:r>
        <w:rPr>
          <w:rFonts w:ascii="Consolas" w:cs="Consolas" w:eastAsia="Consolas" w:hAnsi="Consolas"/>
          <w:color w:val="223344"/>
          <w:sz w:val="19"/>
          <w:szCs w:val="19"/>
        </w:rPr>
        <w:t xml:space="preserve">POST /api/scans</w:t>
      </w:r>
      <w:r>
        <w:rPr>
          <w:rFonts w:ascii="Arial" w:cs="Arial" w:eastAsia="Arial" w:hAnsi="Arial"/>
        </w:rPr>
        <w:t xml:space="preserve"> with the ordered photo paths and the category, plus the user's Supabase access token in an </w:t>
      </w:r>
      <w:r>
        <w:rPr>
          <w:rFonts w:ascii="Consolas" w:cs="Consolas" w:eastAsia="Consolas" w:hAnsi="Consolas"/>
          <w:color w:val="223344"/>
          <w:sz w:val="19"/>
          <w:szCs w:val="19"/>
        </w:rPr>
        <w:t xml:space="preserve">Authorization: Bearer</w:t>
      </w:r>
      <w:r>
        <w:rPr>
          <w:rFonts w:ascii="Arial" w:cs="Arial" w:eastAsia="Arial" w:hAnsi="Arial"/>
        </w:rPr>
        <w:t xml:space="preserve"> header.</w:t>
      </w:r>
    </w:p>
    <w:p>
      <w:pPr>
        <w:pStyle w:val="ListParagraph"/>
        <w:keepNext/>
        <w:numPr>
          <w:ilvl w:val="0"/>
          <w:numId w:val="3"/>
        </w:numPr>
        <w:spacing w:after="40" w:before="160"/>
      </w:pPr>
      <w:r>
        <w:rPr>
          <w:rFonts w:ascii="Arial" w:cs="Arial" w:eastAsia="Arial" w:hAnsi="Arial"/>
          <w:b/>
          <w:bCs/>
          <w:sz w:val="21"/>
          <w:szCs w:val="21"/>
        </w:rPr>
        <w:t xml:space="preserve">The backend proves who is calling</w:t>
      </w:r>
    </w:p>
    <w:p>
      <w:pPr>
        <w:spacing w:after="60" w:line="288"/>
        <w:ind w:left="620"/>
      </w:pPr>
      <w:r>
        <w:rPr>
          <w:rFonts w:ascii="Arial" w:cs="Arial" w:eastAsia="Arial" w:hAnsi="Arial"/>
        </w:rPr>
        <w:t xml:space="preserve">The token is validated against Supabase's auth server — not merely decoded locally — and then the caller's </w:t>
      </w:r>
      <w:r>
        <w:rPr>
          <w:rFonts w:ascii="Consolas" w:cs="Consolas" w:eastAsia="Consolas" w:hAnsi="Consolas"/>
          <w:color w:val="223344"/>
          <w:sz w:val="19"/>
          <w:szCs w:val="19"/>
        </w:rPr>
        <w:t xml:space="preserve">profiles</w:t>
      </w:r>
      <w:r>
        <w:rPr>
          <w:rFonts w:ascii="Arial" w:cs="Arial" w:eastAsia="Arial" w:hAnsi="Arial"/>
        </w:rPr>
        <w:t xml:space="preserve"> row is re-checked: role must be officer or admin, status must be active. Anything else is 401 or 403. The scan's owner is taken from the </w:t>
      </w:r>
      <w:r>
        <w:rPr>
          <w:rFonts w:ascii="Arial" w:cs="Arial" w:eastAsia="Arial" w:hAnsi="Arial"/>
          <w:i/>
          <w:iCs/>
        </w:rPr>
        <w:t xml:space="preserve">token</w:t>
      </w:r>
      <w:r>
        <w:rPr>
          <w:rFonts w:ascii="Arial" w:cs="Arial" w:eastAsia="Arial" w:hAnsi="Arial"/>
        </w:rPr>
        <w:t xml:space="preserve">, never from the request body.</w:t>
      </w:r>
    </w:p>
    <w:p>
      <w:pPr>
        <w:pStyle w:val="ListParagraph"/>
        <w:keepNext/>
        <w:numPr>
          <w:ilvl w:val="0"/>
          <w:numId w:val="3"/>
        </w:numPr>
        <w:spacing w:after="40" w:before="160"/>
      </w:pPr>
      <w:r>
        <w:rPr>
          <w:rFonts w:ascii="Arial" w:cs="Arial" w:eastAsia="Arial" w:hAnsi="Arial"/>
          <w:b/>
          <w:bCs/>
          <w:sz w:val="21"/>
          <w:szCs w:val="21"/>
        </w:rPr>
        <w:t xml:space="preserve">A rate limit guards the billed endpoint</w:t>
      </w:r>
    </w:p>
    <w:p>
      <w:pPr>
        <w:spacing w:after="60" w:line="288"/>
        <w:ind w:left="620"/>
      </w:pPr>
      <w:r>
        <w:rPr>
          <w:rFonts w:ascii="Arial" w:cs="Arial" w:eastAsia="Arial" w:hAnsi="Arial"/>
        </w:rPr>
        <w:t xml:space="preserve">Twenty scans per user per sixty seconds. Over that, 429. It protects the Gemini spend and blunts a scripted client.</w:t>
      </w:r>
    </w:p>
    <w:p>
      <w:pPr>
        <w:pStyle w:val="ListParagraph"/>
        <w:keepNext/>
        <w:numPr>
          <w:ilvl w:val="0"/>
          <w:numId w:val="3"/>
        </w:numPr>
        <w:spacing w:after="40" w:before="160"/>
      </w:pPr>
      <w:r>
        <w:rPr>
          <w:rFonts w:ascii="Arial" w:cs="Arial" w:eastAsia="Arial" w:hAnsi="Arial"/>
          <w:b/>
          <w:bCs/>
          <w:sz w:val="21"/>
          <w:szCs w:val="21"/>
        </w:rPr>
        <w:t xml:space="preserve">The backend fetches the image bytes</w:t>
      </w:r>
    </w:p>
    <w:p>
      <w:pPr>
        <w:spacing w:after="60" w:line="288"/>
        <w:ind w:left="620"/>
      </w:pPr>
      <w:r>
        <w:rPr>
          <w:rFonts w:ascii="Arial" w:cs="Arial" w:eastAsia="Arial" w:hAnsi="Arial"/>
        </w:rPr>
        <w:t xml:space="preserve">Using the service-role key, which bypasses row-level security. This is why the bucket can stay private: nothing needs to be publicly readable for the pipeline to work.</w:t>
      </w:r>
    </w:p>
    <w:p>
      <w:pPr>
        <w:pStyle w:val="ListParagraph"/>
        <w:keepNext/>
        <w:numPr>
          <w:ilvl w:val="0"/>
          <w:numId w:val="3"/>
        </w:numPr>
        <w:spacing w:after="40" w:before="160"/>
      </w:pPr>
      <w:r>
        <w:rPr>
          <w:rFonts w:ascii="Arial" w:cs="Arial" w:eastAsia="Arial" w:hAnsi="Arial"/>
          <w:b/>
          <w:bCs/>
          <w:sz w:val="21"/>
          <w:szCs w:val="21"/>
        </w:rPr>
        <w:t xml:space="preserve">One Gemini call, every image, one schema</w:t>
      </w:r>
    </w:p>
    <w:p>
      <w:pPr>
        <w:spacing w:after="60" w:line="288"/>
        <w:ind w:left="620"/>
      </w:pPr>
      <w:r>
        <w:rPr>
          <w:rFonts w:ascii="Arial" w:cs="Arial" w:eastAsia="Arial" w:hAnsi="Arial"/>
        </w:rPr>
        <w:t xml:space="preserve">All the photographs and a fixed system instruction go up together, at high media resolution. The response is constrained to the </w:t>
      </w:r>
      <w:r>
        <w:rPr>
          <w:rFonts w:ascii="Consolas" w:cs="Consolas" w:eastAsia="Consolas" w:hAnsi="Consolas"/>
          <w:color w:val="223344"/>
          <w:sz w:val="19"/>
          <w:szCs w:val="19"/>
        </w:rPr>
        <w:t xml:space="preserve">ExtractedData</w:t>
      </w:r>
      <w:r>
        <w:rPr>
          <w:rFonts w:ascii="Arial" w:cs="Arial" w:eastAsia="Arial" w:hAnsi="Arial"/>
        </w:rPr>
        <w:t xml:space="preserve"> schema and re-validated on arrival. A failure here returns 502 — no half-formed record is ever written.</w:t>
      </w:r>
    </w:p>
    <w:p>
      <w:pPr>
        <w:pStyle w:val="ListParagraph"/>
        <w:keepNext/>
        <w:numPr>
          <w:ilvl w:val="0"/>
          <w:numId w:val="3"/>
        </w:numPr>
        <w:spacing w:after="40" w:before="160"/>
      </w:pPr>
      <w:r>
        <w:rPr>
          <w:rFonts w:ascii="Arial" w:cs="Arial" w:eastAsia="Arial" w:hAnsi="Arial"/>
          <w:b/>
          <w:bCs/>
          <w:sz w:val="21"/>
          <w:szCs w:val="21"/>
        </w:rPr>
        <w:t xml:space="preserve">Python decides compliance</w:t>
      </w:r>
    </w:p>
    <w:p>
      <w:pPr>
        <w:spacing w:after="60" w:line="288"/>
        <w:ind w:left="620"/>
      </w:pPr>
      <w:r>
        <w:rPr>
          <w:rFonts w:ascii="Arial" w:cs="Arial" w:eastAsia="Arial" w:hAnsi="Arial"/>
        </w:rPr>
        <w:t xml:space="preserve">Eight deterministic checks run over the extracted object. Each failure becomes a violation with a field, a plain-English issue and a rule reference. Status is </w:t>
      </w:r>
      <w:r>
        <w:rPr>
          <w:rFonts w:ascii="Consolas" w:cs="Consolas" w:eastAsia="Consolas" w:hAnsi="Consolas"/>
          <w:color w:val="223344"/>
          <w:sz w:val="19"/>
          <w:szCs w:val="19"/>
        </w:rPr>
        <w:t xml:space="preserve">compliant</w:t>
      </w:r>
      <w:r>
        <w:rPr>
          <w:rFonts w:ascii="Arial" w:cs="Arial" w:eastAsia="Arial" w:hAnsi="Arial"/>
        </w:rPr>
        <w:t xml:space="preserve"> if the list is empty, otherwise </w:t>
      </w:r>
      <w:r>
        <w:rPr>
          <w:rFonts w:ascii="Consolas" w:cs="Consolas" w:eastAsia="Consolas" w:hAnsi="Consolas"/>
          <w:color w:val="223344"/>
          <w:sz w:val="19"/>
          <w:szCs w:val="19"/>
        </w:rPr>
        <w:t xml:space="preserve">flagged</w:t>
      </w:r>
      <w:r>
        <w:rPr>
          <w:rFonts w:ascii="Arial" w:cs="Arial" w:eastAsia="Arial" w:hAnsi="Arial"/>
        </w:rPr>
        <w:t xml:space="preserve">. Separately, the engine raises any </w:t>
      </w:r>
      <w:r>
        <w:rPr>
          <w:rFonts w:ascii="Arial" w:cs="Arial" w:eastAsia="Arial" w:hAnsi="Arial"/>
          <w:i/>
          <w:iCs/>
        </w:rPr>
        <w:t xml:space="preserve">advisories</w:t>
      </w:r>
      <w:r>
        <w:rPr>
          <w:rFonts w:ascii="Arial" w:cs="Arial" w:eastAsia="Arial" w:hAnsi="Arial"/>
        </w:rPr>
        <w:t xml:space="preserve"> — observations that never touch the status.</w:t>
      </w:r>
    </w:p>
    <w:p>
      <w:pPr>
        <w:pStyle w:val="ListParagraph"/>
        <w:keepNext/>
        <w:numPr>
          <w:ilvl w:val="0"/>
          <w:numId w:val="3"/>
        </w:numPr>
        <w:spacing w:after="40" w:before="160"/>
      </w:pPr>
      <w:r>
        <w:rPr>
          <w:rFonts w:ascii="Arial" w:cs="Arial" w:eastAsia="Arial" w:hAnsi="Arial"/>
          <w:b/>
          <w:bCs/>
          <w:sz w:val="21"/>
          <w:szCs w:val="21"/>
        </w:rPr>
        <w:t xml:space="preserve">The record is written, then returned</w:t>
      </w:r>
    </w:p>
    <w:p>
      <w:pPr>
        <w:spacing w:after="60" w:line="288"/>
        <w:ind w:left="620"/>
      </w:pPr>
      <w:r>
        <w:rPr>
          <w:rFonts w:ascii="Arial" w:cs="Arial" w:eastAsia="Arial" w:hAnsi="Arial"/>
        </w:rPr>
        <w:t xml:space="preserve">One insert into </w:t>
      </w:r>
      <w:r>
        <w:rPr>
          <w:rFonts w:ascii="Consolas" w:cs="Consolas" w:eastAsia="Consolas" w:hAnsi="Consolas"/>
          <w:color w:val="223344"/>
          <w:sz w:val="19"/>
          <w:szCs w:val="19"/>
        </w:rPr>
        <w:t xml:space="preserve">scans</w:t>
      </w:r>
      <w:r>
        <w:rPr>
          <w:rFonts w:ascii="Arial" w:cs="Arial" w:eastAsia="Arial" w:hAnsi="Arial"/>
        </w:rPr>
        <w:t xml:space="preserve">: both paths, the extracted JSON, the violations JSON, the status, the owner and the category. Only then does the officer see the result screen — and from its detail view they can download the Improvement Notice.</w:t>
      </w:r>
    </w:p>
    <w:p>
      <w:pPr>
        <w:spacing w:after="140"/>
      </w:pPr>
    </w:p>
    <w:p>
      <w:pPr>
        <w:spacing w:after="160" w:before="0" w:line="288"/>
      </w:pPr>
      <w:r>
        <w:rPr>
          <w:rFonts w:ascii="Arial" w:cs="Arial" w:eastAsia="Arial" w:hAnsi="Arial"/>
          <w:b/>
          <w:bCs/>
        </w:rPr>
        <w:t xml:space="preserve">The two-second version.</w:t>
      </w:r>
      <w:r>
        <w:rPr>
          <w:rFonts w:ascii="Arial" w:cs="Arial" w:eastAsia="Arial" w:hAnsi="Arial"/>
        </w:rPr>
        <w:t xml:space="preserve"> Upload → authenticate → extract → evaluate → persist → report. The AI sits in one of those six steps, and it is the only step that is not deterministic.</w:t>
      </w:r>
    </w:p>
    <w:p>
      <w:pPr>
        <w:pStyle w:val="Heading1"/>
        <w:pBdr>
          <w:bottom w:val="single" w:color="002045" w:sz="8" w:space="6"/>
        </w:pBdr>
        <w:spacing w:after="180" w:before="420"/>
      </w:pPr>
      <w:r>
        <w:rPr>
          <w:rFonts w:ascii="Arial" w:cs="Arial" w:eastAsia="Arial" w:hAnsi="Arial"/>
          <w:b/>
          <w:bCs/>
          <w:color w:val="002045"/>
          <w:sz w:val="32"/>
          <w:szCs w:val="32"/>
        </w:rPr>
        <w:t xml:space="preserve">5. The AI layer</w:t>
      </w:r>
    </w:p>
    <w:p>
      <w:pPr>
        <w:spacing w:after="160" w:before="0" w:line="288"/>
      </w:pPr>
      <w:r>
        <w:rPr>
          <w:rFonts w:ascii="Arial" w:cs="Arial" w:eastAsia="Arial" w:hAnsi="Arial"/>
        </w:rPr>
        <w:t xml:space="preserve">The single most important sentence in this whole document: </w:t>
      </w:r>
      <w:r>
        <w:rPr>
          <w:rFonts w:ascii="Arial" w:cs="Arial" w:eastAsia="Arial" w:hAnsi="Arial"/>
          <w:b/>
          <w:bCs/>
        </w:rPr>
        <w:t xml:space="preserve">the model is an extractor, not a judge.</w:t>
      </w:r>
      <w:r>
        <w:rPr>
          <w:rFonts w:ascii="Arial" w:cs="Arial" w:eastAsia="Arial" w:hAnsi="Arial"/>
        </w:rPr>
        <w:t xml:space="preserve"> It never sees the rules, never knows what compliance means, and cannot produce a verdict. It converts pixels into seven named fields; everything after that is ordinary code.</w:t>
      </w:r>
    </w:p>
    <w:p>
      <w:pPr>
        <w:pStyle w:val="Heading2"/>
        <w:spacing w:after="120" w:before="320"/>
      </w:pPr>
      <w:r>
        <w:rPr>
          <w:rFonts w:ascii="Arial" w:cs="Arial" w:eastAsia="Arial" w:hAnsi="Arial"/>
          <w:b/>
          <w:bCs/>
          <w:color w:val="002045"/>
          <w:sz w:val="24"/>
          <w:szCs w:val="24"/>
        </w:rPr>
        <w:t xml:space="preserve">What actually goes up</w:t>
      </w:r>
    </w:p>
    <w:p>
      <w:pPr>
        <w:pStyle w:val="ListParagraph"/>
        <w:numPr>
          <w:ilvl w:val="0"/>
          <w:numId w:val="2"/>
        </w:numPr>
        <w:spacing w:after="90" w:line="288"/>
      </w:pPr>
      <w:r>
        <w:rPr>
          <w:rFonts w:ascii="Arial" w:cs="Arial" w:eastAsia="Arial" w:hAnsi="Arial"/>
        </w:rPr>
        <w:t xml:space="preserve">A fixed system instruction that names the task and gives one guideline per field — for example, </w:t>
      </w:r>
      <w:r>
        <w:rPr>
          <w:rFonts w:ascii="Consolas" w:cs="Consolas" w:eastAsia="Consolas" w:hAnsi="Consolas"/>
          <w:color w:val="223344"/>
          <w:sz w:val="19"/>
          <w:szCs w:val="19"/>
        </w:rPr>
        <w:t xml:space="preserve">product_name</w:t>
      </w:r>
      <w:r>
        <w:rPr>
          <w:rFonts w:ascii="Arial" w:cs="Arial" w:eastAsia="Arial" w:hAnsi="Arial"/>
        </w:rPr>
        <w:t xml:space="preserve"> must be the generic commodity name ("Potato Chips"), not the brand.</w:t>
      </w:r>
    </w:p>
    <w:p>
      <w:pPr>
        <w:pStyle w:val="ListParagraph"/>
        <w:numPr>
          <w:ilvl w:val="0"/>
          <w:numId w:val="2"/>
        </w:numPr>
        <w:spacing w:after="90" w:line="288"/>
      </w:pPr>
      <w:r>
        <w:rPr>
          <w:rFonts w:ascii="Arial" w:cs="Arial" w:eastAsia="Arial" w:hAnsi="Arial"/>
        </w:rPr>
        <w:t xml:space="preserve">Every photograph, labelled "Image 1 of N", in one request so the model can reconcile a declaration that spans panels.</w:t>
      </w:r>
    </w:p>
    <w:p>
      <w:pPr>
        <w:pStyle w:val="ListParagraph"/>
        <w:numPr>
          <w:ilvl w:val="0"/>
          <w:numId w:val="2"/>
        </w:numPr>
        <w:spacing w:after="90" w:line="288"/>
      </w:pPr>
      <w:r>
        <w:rPr>
          <w:rFonts w:ascii="Consolas" w:cs="Consolas" w:eastAsia="Consolas" w:hAnsi="Consolas"/>
          <w:color w:val="223344"/>
          <w:sz w:val="19"/>
          <w:szCs w:val="19"/>
        </w:rPr>
        <w:t xml:space="preserve">media_resolution=MEDIA_RESOLUTION_HIGH</w:t>
      </w:r>
      <w:r>
        <w:rPr>
          <w:rFonts w:ascii="Arial" w:cs="Arial" w:eastAsia="Arial" w:hAnsi="Arial"/>
        </w:rPr>
        <w:t xml:space="preserve">, which spends more image tokens per photo. This is the setting that recovers small, low-contrast print.</w:t>
      </w:r>
    </w:p>
    <w:p>
      <w:pPr>
        <w:pStyle w:val="ListParagraph"/>
        <w:numPr>
          <w:ilvl w:val="0"/>
          <w:numId w:val="2"/>
        </w:numPr>
        <w:spacing w:after="90" w:line="288"/>
      </w:pPr>
      <w:r>
        <w:rPr>
          <w:rFonts w:ascii="Arial" w:cs="Arial" w:eastAsia="Arial" w:hAnsi="Arial"/>
        </w:rPr>
        <w:t xml:space="preserve">A response configuration: </w:t>
      </w:r>
      <w:r>
        <w:rPr>
          <w:rFonts w:ascii="Consolas" w:cs="Consolas" w:eastAsia="Consolas" w:hAnsi="Consolas"/>
          <w:color w:val="223344"/>
          <w:sz w:val="19"/>
          <w:szCs w:val="19"/>
        </w:rPr>
        <w:t xml:space="preserve">response_mime_type="application/json"</w:t>
      </w:r>
      <w:r>
        <w:rPr>
          <w:rFonts w:ascii="Arial" w:cs="Arial" w:eastAsia="Arial" w:hAnsi="Arial"/>
        </w:rPr>
        <w:t xml:space="preserve"> plus </w:t>
      </w:r>
      <w:r>
        <w:rPr>
          <w:rFonts w:ascii="Consolas" w:cs="Consolas" w:eastAsia="Consolas" w:hAnsi="Consolas"/>
          <w:color w:val="223344"/>
          <w:sz w:val="19"/>
          <w:szCs w:val="19"/>
        </w:rPr>
        <w:t xml:space="preserve">response_schema=ExtractedData</w:t>
      </w:r>
      <w:r>
        <w:rPr>
          <w:rFonts w:ascii="Arial" w:cs="Arial" w:eastAsia="Arial" w:hAnsi="Arial"/>
        </w:rPr>
        <w:t xml:space="preserve"> — our Pydantic model handed to the SDK as the schema the reply must satisfy.</w:t>
      </w:r>
    </w:p>
    <w:p>
      <w:pPr>
        <w:pStyle w:val="Heading2"/>
        <w:spacing w:after="120" w:before="320"/>
      </w:pPr>
      <w:r>
        <w:rPr>
          <w:rFonts w:ascii="Arial" w:cs="Arial" w:eastAsia="Arial" w:hAnsi="Arial"/>
          <w:b/>
          <w:bCs/>
          <w:color w:val="002045"/>
          <w:sz w:val="24"/>
          <w:szCs w:val="24"/>
        </w:rPr>
        <w:t xml:space="preserve">What comes back</w:t>
      </w:r>
    </w:p>
    <w:tbl>
      <w:tblPr>
        <w:tblW w:type="dxa" w:w="9360"/>
        <w:tblBorders>
          <w:top w:val="single" w:color="C8D2DC" w:sz="4"/>
          <w:left w:val="single" w:color="C8D2DC" w:sz="4"/>
          <w:bottom w:val="single" w:color="C8D2DC" w:sz="4"/>
          <w:right w:val="single" w:color="C8D2DC" w:sz="4"/>
          <w:insideH w:val="single" w:color="C8D2DC" w:sz="4"/>
          <w:insideV w:val="single" w:color="C8D2DC" w:sz="4"/>
        </w:tblBorders>
      </w:tblPr>
      <w:tblGrid>
        <w:gridCol w:w="2600"/>
        <w:gridCol w:w="2560"/>
        <w:gridCol w:w="4200"/>
      </w:tblGrid>
      <w:tr>
        <w:trPr>
          <w:tblHeader/>
        </w:trPr>
        <w:tc>
          <w:tcPr>
            <w:tcW w:type="dxa" w:w="26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Field</w:t>
            </w:r>
          </w:p>
        </w:tc>
        <w:tc>
          <w:tcPr>
            <w:tcW w:type="dxa" w:w="2560"/>
            <w:shd w:fill="EDF2F7" w:color="auto" w:val="clear"/>
            <w:tcMar>
              <w:top w:type="dxa" w:w="90"/>
              <w:left w:type="dxa" w:w="130"/>
              <w:bottom w:type="dxa" w:w="90"/>
              <w:right w:type="dxa" w:w="130"/>
            </w:tcMar>
          </w:tcPr>
          <w:p>
            <w:pPr>
              <w:spacing w:after="0" w:line="264"/>
            </w:pPr>
            <w:r>
              <w:rPr>
                <w:rFonts w:ascii="Arial" w:cs="Arial" w:eastAsia="Arial" w:hAnsi="Arial"/>
                <w:b/>
                <w:bCs/>
              </w:rPr>
              <w:t xml:space="preserve">Type</w:t>
            </w:r>
          </w:p>
        </w:tc>
        <w:tc>
          <w:tcPr>
            <w:tcW w:type="dxa" w:w="42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Meaning</w:t>
            </w:r>
          </w:p>
        </w:tc>
      </w:tr>
      <w:tr>
        <w:tc>
          <w:tcPr>
            <w:tcW w:type="dxa" w:w="26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product_name</w:t>
            </w:r>
          </w:p>
        </w:tc>
        <w:tc>
          <w:tcPr>
            <w:tcW w:type="dxa" w:w="2560"/>
            <w:tcMar>
              <w:top w:type="dxa" w:w="90"/>
              <w:left w:type="dxa" w:w="130"/>
              <w:bottom w:type="dxa" w:w="90"/>
              <w:right w:type="dxa" w:w="130"/>
            </w:tcMar>
          </w:tcPr>
          <w:p>
            <w:pPr>
              <w:spacing w:after="0" w:line="264"/>
            </w:pPr>
            <w:r>
              <w:rPr>
                <w:rFonts w:ascii="Arial" w:cs="Arial" w:eastAsia="Arial" w:hAnsi="Arial"/>
              </w:rPr>
              <w:t xml:space="preserve">string or null</w:t>
            </w:r>
          </w:p>
        </w:tc>
        <w:tc>
          <w:tcPr>
            <w:tcW w:type="dxa" w:w="4200"/>
            <w:tcMar>
              <w:top w:type="dxa" w:w="90"/>
              <w:left w:type="dxa" w:w="130"/>
              <w:bottom w:type="dxa" w:w="90"/>
              <w:right w:type="dxa" w:w="130"/>
            </w:tcMar>
          </w:tcPr>
          <w:p>
            <w:pPr>
              <w:spacing w:after="0" w:line="264"/>
            </w:pPr>
            <w:r>
              <w:rPr>
                <w:rFonts w:ascii="Arial" w:cs="Arial" w:eastAsia="Arial" w:hAnsi="Arial"/>
              </w:rPr>
              <w:t xml:space="preserve">Generic commodity name, not the brand.</w:t>
            </w:r>
          </w:p>
        </w:tc>
      </w:tr>
      <w:tr>
        <w:tc>
          <w:tcPr>
            <w:tcW w:type="dxa" w:w="26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manufacturer_packer_importer</w:t>
            </w:r>
          </w:p>
        </w:tc>
        <w:tc>
          <w:tcPr>
            <w:tcW w:type="dxa" w:w="2560"/>
            <w:tcMar>
              <w:top w:type="dxa" w:w="90"/>
              <w:left w:type="dxa" w:w="130"/>
              <w:bottom w:type="dxa" w:w="90"/>
              <w:right w:type="dxa" w:w="130"/>
            </w:tcMar>
          </w:tcPr>
          <w:p>
            <w:pPr>
              <w:spacing w:after="0" w:line="264"/>
            </w:pPr>
            <w:r>
              <w:rPr>
                <w:rFonts w:ascii="Arial" w:cs="Arial" w:eastAsia="Arial" w:hAnsi="Arial"/>
              </w:rPr>
              <w:t xml:space="preserve">string or null</w:t>
            </w:r>
          </w:p>
        </w:tc>
        <w:tc>
          <w:tcPr>
            <w:tcW w:type="dxa" w:w="4200"/>
            <w:tcMar>
              <w:top w:type="dxa" w:w="90"/>
              <w:left w:type="dxa" w:w="130"/>
              <w:bottom w:type="dxa" w:w="90"/>
              <w:right w:type="dxa" w:w="130"/>
            </w:tcMar>
          </w:tcPr>
          <w:p>
            <w:pPr>
              <w:spacing w:after="0" w:line="264"/>
            </w:pPr>
            <w:r>
              <w:rPr>
                <w:rFonts w:ascii="Arial" w:cs="Arial" w:eastAsia="Arial" w:hAnsi="Arial"/>
              </w:rPr>
              <w:t xml:space="preserve">Name and complete address.</w:t>
            </w:r>
          </w:p>
        </w:tc>
      </w:tr>
      <w:tr>
        <w:tc>
          <w:tcPr>
            <w:tcW w:type="dxa" w:w="26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net_quantity</w:t>
            </w:r>
          </w:p>
        </w:tc>
        <w:tc>
          <w:tcPr>
            <w:tcW w:type="dxa" w:w="2560"/>
            <w:tcMar>
              <w:top w:type="dxa" w:w="90"/>
              <w:left w:type="dxa" w:w="130"/>
              <w:bottom w:type="dxa" w:w="90"/>
              <w:right w:type="dxa" w:w="130"/>
            </w:tcMar>
          </w:tcPr>
          <w:p>
            <w:pPr>
              <w:spacing w:after="0" w:line="264"/>
            </w:pPr>
            <w:r>
              <w:rPr>
                <w:rFonts w:ascii="Arial" w:cs="Arial" w:eastAsia="Arial" w:hAnsi="Arial"/>
              </w:rPr>
              <w:t xml:space="preserve">{ value, unit } or null</w:t>
            </w:r>
          </w:p>
        </w:tc>
        <w:tc>
          <w:tcPr>
            <w:tcW w:type="dxa" w:w="4200"/>
            <w:tcMar>
              <w:top w:type="dxa" w:w="90"/>
              <w:left w:type="dxa" w:w="130"/>
              <w:bottom w:type="dxa" w:w="90"/>
              <w:right w:type="dxa" w:w="130"/>
            </w:tcMar>
          </w:tcPr>
          <w:p>
            <w:pPr>
              <w:spacing w:after="0" w:line="264"/>
            </w:pPr>
            <w:r>
              <w:rPr>
                <w:rFonts w:ascii="Arial" w:cs="Arial" w:eastAsia="Arial" w:hAnsi="Arial"/>
              </w:rPr>
              <w:t xml:space="preserve">Magnitude and unit kept separate so the unit can be rule-checked on its own.</w:t>
            </w:r>
          </w:p>
        </w:tc>
      </w:tr>
      <w:tr>
        <w:tc>
          <w:tcPr>
            <w:tcW w:type="dxa" w:w="26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mrp</w:t>
            </w:r>
          </w:p>
        </w:tc>
        <w:tc>
          <w:tcPr>
            <w:tcW w:type="dxa" w:w="2560"/>
            <w:tcMar>
              <w:top w:type="dxa" w:w="90"/>
              <w:left w:type="dxa" w:w="130"/>
              <w:bottom w:type="dxa" w:w="90"/>
              <w:right w:type="dxa" w:w="130"/>
            </w:tcMar>
          </w:tcPr>
          <w:p>
            <w:pPr>
              <w:spacing w:after="0" w:line="264"/>
            </w:pPr>
            <w:r>
              <w:rPr>
                <w:rFonts w:ascii="Arial" w:cs="Arial" w:eastAsia="Arial" w:hAnsi="Arial"/>
              </w:rPr>
              <w:t xml:space="preserve">{ value, inclusive</w:t>
            </w:r>
            <w:r>
              <w:rPr>
                <w:rFonts w:ascii="Arial" w:cs="Arial" w:eastAsia="Arial" w:hAnsi="Arial"/>
                <w:i/>
                <w:iCs/>
              </w:rPr>
              <w:t xml:space="preserve">of</w:t>
            </w:r>
            <w:r>
              <w:rPr>
                <w:rFonts w:ascii="Arial" w:cs="Arial" w:eastAsia="Arial" w:hAnsi="Arial"/>
              </w:rPr>
              <w:t xml:space="preserve">taxes_stated } or null</w:t>
            </w:r>
          </w:p>
        </w:tc>
        <w:tc>
          <w:tcPr>
            <w:tcW w:type="dxa" w:w="4200"/>
            <w:tcMar>
              <w:top w:type="dxa" w:w="90"/>
              <w:left w:type="dxa" w:w="130"/>
              <w:bottom w:type="dxa" w:w="90"/>
              <w:right w:type="dxa" w:w="130"/>
            </w:tcMar>
          </w:tcPr>
          <w:p>
            <w:pPr>
              <w:spacing w:after="0" w:line="264"/>
            </w:pPr>
            <w:r>
              <w:rPr>
                <w:rFonts w:ascii="Arial" w:cs="Arial" w:eastAsia="Arial" w:hAnsi="Arial"/>
              </w:rPr>
              <w:t xml:space="preserve">The price, plus a boolean for whether the tax-inclusive wording literally appears.</w:t>
            </w:r>
          </w:p>
        </w:tc>
      </w:tr>
      <w:tr>
        <w:tc>
          <w:tcPr>
            <w:tcW w:type="dxa" w:w="26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mfg_or_pack_date</w:t>
            </w:r>
          </w:p>
        </w:tc>
        <w:tc>
          <w:tcPr>
            <w:tcW w:type="dxa" w:w="2560"/>
            <w:tcMar>
              <w:top w:type="dxa" w:w="90"/>
              <w:left w:type="dxa" w:w="130"/>
              <w:bottom w:type="dxa" w:w="90"/>
              <w:right w:type="dxa" w:w="130"/>
            </w:tcMar>
          </w:tcPr>
          <w:p>
            <w:pPr>
              <w:spacing w:after="0" w:line="264"/>
            </w:pPr>
            <w:r>
              <w:rPr>
                <w:rFonts w:ascii="Arial" w:cs="Arial" w:eastAsia="Arial" w:hAnsi="Arial"/>
              </w:rPr>
              <w:t xml:space="preserve">string or null</w:t>
            </w:r>
          </w:p>
        </w:tc>
        <w:tc>
          <w:tcPr>
            <w:tcW w:type="dxa" w:w="4200"/>
            <w:tcMar>
              <w:top w:type="dxa" w:w="90"/>
              <w:left w:type="dxa" w:w="130"/>
              <w:bottom w:type="dxa" w:w="90"/>
              <w:right w:type="dxa" w:w="130"/>
            </w:tcMar>
          </w:tcPr>
          <w:p>
            <w:pPr>
              <w:spacing w:after="0" w:line="264"/>
            </w:pPr>
            <w:r>
              <w:rPr>
                <w:rFonts w:ascii="Arial" w:cs="Arial" w:eastAsia="Arial" w:hAnsi="Arial"/>
              </w:rPr>
              <w:t xml:space="preserve">Month and year of manufacture, packing or import.</w:t>
            </w:r>
          </w:p>
        </w:tc>
      </w:tr>
      <w:tr>
        <w:tc>
          <w:tcPr>
            <w:tcW w:type="dxa" w:w="26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use_by_date</w:t>
            </w:r>
          </w:p>
        </w:tc>
        <w:tc>
          <w:tcPr>
            <w:tcW w:type="dxa" w:w="2560"/>
            <w:tcMar>
              <w:top w:type="dxa" w:w="90"/>
              <w:left w:type="dxa" w:w="130"/>
              <w:bottom w:type="dxa" w:w="90"/>
              <w:right w:type="dxa" w:w="130"/>
            </w:tcMar>
          </w:tcPr>
          <w:p>
            <w:pPr>
              <w:spacing w:after="0" w:line="264"/>
            </w:pPr>
            <w:r>
              <w:rPr>
                <w:rFonts w:ascii="Arial" w:cs="Arial" w:eastAsia="Arial" w:hAnsi="Arial"/>
              </w:rPr>
              <w:t xml:space="preserve">string or null</w:t>
            </w:r>
          </w:p>
        </w:tc>
        <w:tc>
          <w:tcPr>
            <w:tcW w:type="dxa" w:w="4200"/>
            <w:tcMar>
              <w:top w:type="dxa" w:w="90"/>
              <w:left w:type="dxa" w:w="130"/>
              <w:bottom w:type="dxa" w:w="90"/>
              <w:right w:type="dxa" w:w="130"/>
            </w:tcMar>
          </w:tcPr>
          <w:p>
            <w:pPr>
              <w:spacing w:after="0" w:line="264"/>
            </w:pPr>
            <w:r>
              <w:rPr>
                <w:rFonts w:ascii="Arial" w:cs="Arial" w:eastAsia="Arial" w:hAnsi="Arial"/>
              </w:rPr>
              <w:t xml:space="preserve">Use-by, best-before or expiry date, as printed.</w:t>
            </w:r>
          </w:p>
        </w:tc>
      </w:tr>
      <w:tr>
        <w:tc>
          <w:tcPr>
            <w:tcW w:type="dxa" w:w="26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lot_batch_number</w:t>
            </w:r>
          </w:p>
        </w:tc>
        <w:tc>
          <w:tcPr>
            <w:tcW w:type="dxa" w:w="2560"/>
            <w:tcMar>
              <w:top w:type="dxa" w:w="90"/>
              <w:left w:type="dxa" w:w="130"/>
              <w:bottom w:type="dxa" w:w="90"/>
              <w:right w:type="dxa" w:w="130"/>
            </w:tcMar>
          </w:tcPr>
          <w:p>
            <w:pPr>
              <w:spacing w:after="0" w:line="264"/>
            </w:pPr>
            <w:r>
              <w:rPr>
                <w:rFonts w:ascii="Arial" w:cs="Arial" w:eastAsia="Arial" w:hAnsi="Arial"/>
              </w:rPr>
              <w:t xml:space="preserve">string or null</w:t>
            </w:r>
          </w:p>
        </w:tc>
        <w:tc>
          <w:tcPr>
            <w:tcW w:type="dxa" w:w="4200"/>
            <w:tcMar>
              <w:top w:type="dxa" w:w="90"/>
              <w:left w:type="dxa" w:w="130"/>
              <w:bottom w:type="dxa" w:w="90"/>
              <w:right w:type="dxa" w:w="130"/>
            </w:tcMar>
          </w:tcPr>
          <w:p>
            <w:pPr>
              <w:spacing w:after="0" w:line="264"/>
            </w:pPr>
            <w:r>
              <w:rPr>
                <w:rFonts w:ascii="Arial" w:cs="Arial" w:eastAsia="Arial" w:hAnsi="Arial"/>
              </w:rPr>
              <w:t xml:space="preserve">Lot, batch or code number, as printed.</w:t>
            </w:r>
          </w:p>
        </w:tc>
      </w:tr>
      <w:tr>
        <w:tc>
          <w:tcPr>
            <w:tcW w:type="dxa" w:w="26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consumer_care</w:t>
            </w:r>
          </w:p>
        </w:tc>
        <w:tc>
          <w:tcPr>
            <w:tcW w:type="dxa" w:w="2560"/>
            <w:tcMar>
              <w:top w:type="dxa" w:w="90"/>
              <w:left w:type="dxa" w:w="130"/>
              <w:bottom w:type="dxa" w:w="90"/>
              <w:right w:type="dxa" w:w="130"/>
            </w:tcMar>
          </w:tcPr>
          <w:p>
            <w:pPr>
              <w:spacing w:after="0" w:line="264"/>
            </w:pPr>
            <w:r>
              <w:rPr>
                <w:rFonts w:ascii="Arial" w:cs="Arial" w:eastAsia="Arial" w:hAnsi="Arial"/>
              </w:rPr>
              <w:t xml:space="preserve">string or null</w:t>
            </w:r>
          </w:p>
        </w:tc>
        <w:tc>
          <w:tcPr>
            <w:tcW w:type="dxa" w:w="4200"/>
            <w:tcMar>
              <w:top w:type="dxa" w:w="90"/>
              <w:left w:type="dxa" w:w="130"/>
              <w:bottom w:type="dxa" w:w="90"/>
              <w:right w:type="dxa" w:w="130"/>
            </w:tcMar>
          </w:tcPr>
          <w:p>
            <w:pPr>
              <w:spacing w:after="0" w:line="264"/>
            </w:pPr>
            <w:r>
              <w:rPr>
                <w:rFonts w:ascii="Arial" w:cs="Arial" w:eastAsia="Arial" w:hAnsi="Arial"/>
              </w:rPr>
              <w:t xml:space="preserve">Grievance contact — name or designation, address, phone or email.</w:t>
            </w:r>
          </w:p>
        </w:tc>
      </w:tr>
      <w:tr>
        <w:tc>
          <w:tcPr>
            <w:tcW w:type="dxa" w:w="26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declarations_present</w:t>
            </w:r>
          </w:p>
        </w:tc>
        <w:tc>
          <w:tcPr>
            <w:tcW w:type="dxa" w:w="2560"/>
            <w:tcMar>
              <w:top w:type="dxa" w:w="90"/>
              <w:left w:type="dxa" w:w="130"/>
              <w:bottom w:type="dxa" w:w="90"/>
              <w:right w:type="dxa" w:w="130"/>
            </w:tcMar>
          </w:tcPr>
          <w:p>
            <w:pPr>
              <w:spacing w:after="0" w:line="264"/>
            </w:pPr>
            <w:r>
              <w:rPr>
                <w:rFonts w:ascii="Arial" w:cs="Arial" w:eastAsia="Arial" w:hAnsi="Arial"/>
              </w:rPr>
              <w:t xml:space="preserve">string[]</w:t>
            </w:r>
          </w:p>
        </w:tc>
        <w:tc>
          <w:tcPr>
            <w:tcW w:type="dxa" w:w="4200"/>
            <w:tcMar>
              <w:top w:type="dxa" w:w="90"/>
              <w:left w:type="dxa" w:w="130"/>
              <w:bottom w:type="dxa" w:w="90"/>
              <w:right w:type="dxa" w:w="130"/>
            </w:tcMar>
          </w:tcPr>
          <w:p>
            <w:pPr>
              <w:spacing w:after="0" w:line="264"/>
            </w:pPr>
            <w:r>
              <w:rPr>
                <w:rFonts w:ascii="Arial" w:cs="Arial" w:eastAsia="Arial" w:hAnsi="Arial"/>
              </w:rPr>
              <w:t xml:space="preserve">Everything spotted on the package, including things we do not rule on (ingredients, batch number). Useful evidence, not a verdict input.</w:t>
            </w:r>
          </w:p>
        </w:tc>
      </w:tr>
      <w:tr>
        <w:tc>
          <w:tcPr>
            <w:tcW w:type="dxa" w:w="26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declaration_block</w:t>
            </w:r>
          </w:p>
        </w:tc>
        <w:tc>
          <w:tcPr>
            <w:tcW w:type="dxa" w:w="2560"/>
            <w:tcMar>
              <w:top w:type="dxa" w:w="90"/>
              <w:left w:type="dxa" w:w="130"/>
              <w:bottom w:type="dxa" w:w="90"/>
              <w:right w:type="dxa" w:w="130"/>
            </w:tcMar>
          </w:tcPr>
          <w:p>
            <w:pPr>
              <w:spacing w:after="0" w:line="264"/>
            </w:pPr>
            <w:r>
              <w:rPr>
                <w:rFonts w:ascii="Arial" w:cs="Arial" w:eastAsia="Arial" w:hAnsi="Arial"/>
              </w:rPr>
              <w:t xml:space="preserve">object or null</w:t>
            </w:r>
          </w:p>
        </w:tc>
        <w:tc>
          <w:tcPr>
            <w:tcW w:type="dxa" w:w="4200"/>
            <w:tcMar>
              <w:top w:type="dxa" w:w="90"/>
              <w:left w:type="dxa" w:w="130"/>
              <w:bottom w:type="dxa" w:w="90"/>
              <w:right w:type="dxa" w:w="130"/>
            </w:tcMar>
          </w:tcPr>
          <w:p>
            <w:pPr>
              <w:spacing w:after="0" w:line="264"/>
            </w:pPr>
            <w:r>
              <w:rPr>
                <w:rFonts w:ascii="Arial" w:cs="Arial" w:eastAsia="Arial" w:hAnsi="Arial"/>
              </w:rPr>
              <w:t xml:space="preserve">How the declarations are laid out: which of them share one compact box, its print size relative to the rest of the panel, whether it was legible, and where it sits.</w:t>
            </w:r>
          </w:p>
        </w:tc>
      </w:tr>
    </w:tbl>
    <w:p>
      <w:pPr>
        <w:pStyle w:val="Heading2"/>
        <w:spacing w:after="120" w:before="320"/>
      </w:pPr>
      <w:r>
        <w:rPr>
          <w:rFonts w:ascii="Arial" w:cs="Arial" w:eastAsia="Arial" w:hAnsi="Arial"/>
          <w:b/>
          <w:bCs/>
          <w:color w:val="002045"/>
          <w:sz w:val="24"/>
          <w:szCs w:val="24"/>
        </w:rPr>
        <w:t xml:space="preserve">The cramped declaration block</w:t>
      </w:r>
    </w:p>
    <w:p>
      <w:pPr>
        <w:spacing w:after="160" w:before="0" w:line="288"/>
      </w:pPr>
      <w:r>
        <w:rPr>
          <w:rFonts w:ascii="Arial" w:cs="Arial" w:eastAsia="Arial" w:hAnsi="Arial"/>
        </w:rPr>
        <w:t xml:space="preserve">On a great many Indian packs the MRP, the use-by date and the lot number are not set in the printed artwork at all. They are ink-jetted, laser-coded or embossed onto the finished pack, squeezed into one small box, stacked on consecutive lines, in type much smaller than everything around them — usually near a seam, a flap, the base, or the barcode. This is the single most common thing an automated reader misses, and it is exactly where the legally interesting declarations live.</w:t>
      </w:r>
    </w:p>
    <w:p>
      <w:pPr>
        <w:spacing w:after="160" w:before="0" w:line="288"/>
      </w:pPr>
      <w:r>
        <w:rPr>
          <w:rFonts w:ascii="Arial" w:cs="Arial" w:eastAsia="Arial" w:hAnsi="Arial"/>
        </w:rPr>
        <w:t xml:space="preserve">Three things address it, and it is worth being able to name all three:</w:t>
      </w:r>
    </w:p>
    <w:p>
      <w:pPr>
        <w:pStyle w:val="ListParagraph"/>
        <w:numPr>
          <w:ilvl w:val="0"/>
          <w:numId w:val="2"/>
        </w:numPr>
        <w:spacing w:after="90" w:line="288"/>
      </w:pPr>
      <w:r>
        <w:rPr>
          <w:rFonts w:ascii="Arial" w:cs="Arial" w:eastAsia="Arial" w:hAnsi="Arial"/>
          <w:b/>
          <w:bCs/>
        </w:rPr>
        <w:t xml:space="preserve">Resolution.</w:t>
      </w:r>
      <w:r>
        <w:rPr>
          <w:rFonts w:ascii="Arial" w:cs="Arial" w:eastAsia="Arial" w:hAnsi="Arial"/>
        </w:rPr>
        <w:t xml:space="preserve"> </w:t>
      </w:r>
      <w:r>
        <w:rPr>
          <w:rFonts w:ascii="Consolas" w:cs="Consolas" w:eastAsia="Consolas" w:hAnsi="Consolas"/>
          <w:color w:val="223344"/>
          <w:sz w:val="19"/>
          <w:szCs w:val="19"/>
        </w:rPr>
        <w:t xml:space="preserve">media_resolution=HIGH</w:t>
      </w:r>
      <w:r>
        <w:rPr>
          <w:rFonts w:ascii="Arial" w:cs="Arial" w:eastAsia="Arial" w:hAnsi="Arial"/>
        </w:rPr>
        <w:t xml:space="preserve"> spends more image tokens per photograph. Small low-contrast text is precisely what the default setting throws away.</w:t>
      </w:r>
    </w:p>
    <w:p>
      <w:pPr>
        <w:pStyle w:val="ListParagraph"/>
        <w:numPr>
          <w:ilvl w:val="0"/>
          <w:numId w:val="2"/>
        </w:numPr>
        <w:spacing w:after="90" w:line="288"/>
      </w:pPr>
      <w:r>
        <w:rPr>
          <w:rFonts w:ascii="Arial" w:cs="Arial" w:eastAsia="Arial" w:hAnsi="Arial"/>
          <w:b/>
          <w:bCs/>
        </w:rPr>
        <w:t xml:space="preserve">Model tier.</w:t>
      </w:r>
      <w:r>
        <w:rPr>
          <w:rFonts w:ascii="Arial" w:cs="Arial" w:eastAsia="Arial" w:hAnsi="Arial"/>
        </w:rPr>
        <w:t xml:space="preserve"> The default moved from Flash-Lite to Flash for this reason; the lite tier was losing the block. It is still one environment variable, so the trade against cost stays open.</w:t>
      </w:r>
    </w:p>
    <w:p>
      <w:pPr>
        <w:pStyle w:val="ListParagraph"/>
        <w:numPr>
          <w:ilvl w:val="0"/>
          <w:numId w:val="2"/>
        </w:numPr>
        <w:spacing w:after="90" w:line="288"/>
      </w:pPr>
      <w:r>
        <w:rPr>
          <w:rFonts w:ascii="Arial" w:cs="Arial" w:eastAsia="Arial" w:hAnsi="Arial"/>
          <w:b/>
          <w:bCs/>
        </w:rPr>
        <w:t xml:space="preserve">The prompt.</w:t>
      </w:r>
      <w:r>
        <w:rPr>
          <w:rFonts w:ascii="Arial" w:cs="Arial" w:eastAsia="Arial" w:hAnsi="Arial"/>
        </w:rPr>
        <w:t xml:space="preserve"> The model is told this block exists, what it looks like, where to hunt for it — and, importantly, never to guess a value it cannot actually read. An unreadable field comes back null and is reported, rather than being invented.</w:t>
      </w:r>
    </w:p>
    <w:p>
      <w:pPr>
        <w:spacing w:after="160" w:before="0" w:line="288"/>
      </w:pPr>
      <w:r>
        <w:rPr>
          <w:rFonts w:ascii="Arial" w:cs="Arial" w:eastAsia="Arial" w:hAnsi="Arial"/>
        </w:rPr>
        <w:t xml:space="preserve">The fourth lever is the officer: if the block is genuinely too small for the camera, they add a close-up as an extra photo. That is a large part of why the photo count became variable.</w:t>
      </w:r>
    </w:p>
    <w:p>
      <w:pPr>
        <w:pStyle w:val="Heading2"/>
        <w:spacing w:after="120" w:before="320"/>
      </w:pPr>
      <w:r>
        <w:rPr>
          <w:rFonts w:ascii="Arial" w:cs="Arial" w:eastAsia="Arial" w:hAnsi="Arial"/>
          <w:b/>
          <w:bCs/>
          <w:color w:val="002045"/>
          <w:sz w:val="24"/>
          <w:szCs w:val="24"/>
        </w:rPr>
        <w:t xml:space="preserve">Three design decisions worth defending</w:t>
      </w:r>
    </w:p>
    <w:p>
      <w:pPr>
        <w:spacing w:after="160" w:before="0" w:line="288"/>
      </w:pPr>
      <w:r>
        <w:rPr>
          <w:rFonts w:ascii="Arial" w:cs="Arial" w:eastAsia="Arial" w:hAnsi="Arial"/>
          <w:b/>
          <w:bCs/>
        </w:rPr>
        <w:t xml:space="preserve">Structured output over prompt-and-parse.</w:t>
      </w:r>
      <w:r>
        <w:rPr>
          <w:rFonts w:ascii="Arial" w:cs="Arial" w:eastAsia="Arial" w:hAnsi="Arial"/>
        </w:rPr>
        <w:t xml:space="preserve"> Asking a model politely for JSON and then parsing it is the classic fragile path. Constraining the response to a schema, then re-validating it with </w:t>
      </w:r>
      <w:r>
        <w:rPr>
          <w:rFonts w:ascii="Consolas" w:cs="Consolas" w:eastAsia="Consolas" w:hAnsi="Consolas"/>
          <w:color w:val="223344"/>
          <w:sz w:val="19"/>
          <w:szCs w:val="19"/>
        </w:rPr>
        <w:t xml:space="preserve">model_validate_json</w:t>
      </w:r>
      <w:r>
        <w:rPr>
          <w:rFonts w:ascii="Arial" w:cs="Arial" w:eastAsia="Arial" w:hAnsi="Arial"/>
        </w:rPr>
        <w:t xml:space="preserve">, means a malformed reply raises an exception and becomes a clean 502 — it can never become a bad database row.</w:t>
      </w:r>
    </w:p>
    <w:p>
      <w:pPr>
        <w:spacing w:after="160" w:before="0" w:line="288"/>
      </w:pPr>
      <w:r>
        <w:rPr>
          <w:rFonts w:ascii="Arial" w:cs="Arial" w:eastAsia="Arial" w:hAnsi="Arial"/>
          <w:b/>
          <w:bCs/>
        </w:rPr>
        <w:t xml:space="preserve">Nullable everything.</w:t>
      </w:r>
      <w:r>
        <w:rPr>
          <w:rFonts w:ascii="Arial" w:cs="Arial" w:eastAsia="Arial" w:hAnsi="Arial"/>
        </w:rPr>
        <w:t xml:space="preserve"> Every declaration field defaults to </w:t>
      </w:r>
      <w:r>
        <w:rPr>
          <w:rFonts w:ascii="Consolas" w:cs="Consolas" w:eastAsia="Consolas" w:hAnsi="Consolas"/>
          <w:color w:val="223344"/>
          <w:sz w:val="19"/>
          <w:szCs w:val="19"/>
        </w:rPr>
        <w:t xml:space="preserve">null</w:t>
      </w:r>
      <w:r>
        <w:rPr>
          <w:rFonts w:ascii="Arial" w:cs="Arial" w:eastAsia="Arial" w:hAnsi="Arial"/>
        </w:rPr>
        <w:t xml:space="preserve">. A model that cannot find the MRP returns nothing rather than inventing something, and "nothing" is exactly what the rule engine treats as a violation. The failure mode and the legal test happen to agree.</w:t>
      </w:r>
    </w:p>
    <w:p>
      <w:pPr>
        <w:spacing w:after="160" w:before="0" w:line="288"/>
      </w:pPr>
      <w:r>
        <w:rPr>
          <w:rFonts w:ascii="Arial" w:cs="Arial" w:eastAsia="Arial" w:hAnsi="Arial"/>
          <w:b/>
          <w:bCs/>
        </w:rPr>
        <w:t xml:space="preserve">Splitting value from unit.</w:t>
      </w:r>
      <w:r>
        <w:rPr>
          <w:rFonts w:ascii="Arial" w:cs="Arial" w:eastAsia="Arial" w:hAnsi="Arial"/>
        </w:rPr>
        <w:t xml:space="preserve"> </w:t>
      </w:r>
      <w:r>
        <w:rPr>
          <w:rFonts w:ascii="Consolas" w:cs="Consolas" w:eastAsia="Consolas" w:hAnsi="Consolas"/>
          <w:color w:val="223344"/>
          <w:sz w:val="19"/>
          <w:szCs w:val="19"/>
        </w:rPr>
        <w:t xml:space="preserve">net_quantity</w:t>
      </w:r>
      <w:r>
        <w:rPr>
          <w:rFonts w:ascii="Arial" w:cs="Arial" w:eastAsia="Arial" w:hAnsi="Arial"/>
        </w:rPr>
        <w:t xml:space="preserve"> comes back as two fields, not the string "500g". That is what lets one rule ask "is this a standard metric unit?" and a different rule ask "is this a prohibited unit like dozen?" without either of them doing string surgery.</w:t>
      </w:r>
    </w:p>
    <w:p>
      <w:pPr>
        <w:pStyle w:val="Heading2"/>
        <w:spacing w:after="120" w:before="320"/>
      </w:pPr>
      <w:r>
        <w:rPr>
          <w:rFonts w:ascii="Arial" w:cs="Arial" w:eastAsia="Arial" w:hAnsi="Arial"/>
          <w:b/>
          <w:bCs/>
          <w:color w:val="002045"/>
          <w:sz w:val="24"/>
          <w:szCs w:val="24"/>
        </w:rPr>
        <w:t xml:space="preserve">The OCR road not taken</w:t>
      </w:r>
    </w:p>
    <w:p>
      <w:pPr>
        <w:spacing w:after="160" w:before="0" w:line="288"/>
      </w:pPr>
      <w:r>
        <w:rPr>
          <w:rFonts w:ascii="Arial" w:cs="Arial" w:eastAsia="Arial" w:hAnsi="Arial"/>
        </w:rPr>
        <w:t xml:space="preserve">The repository still contains </w:t>
      </w:r>
      <w:r>
        <w:rPr>
          <w:rFonts w:ascii="Consolas" w:cs="Consolas" w:eastAsia="Consolas" w:hAnsi="Consolas"/>
          <w:color w:val="223344"/>
          <w:sz w:val="19"/>
          <w:szCs w:val="19"/>
        </w:rPr>
        <w:t xml:space="preserve">backend/test_paddle_ocr.py</w:t>
      </w:r>
      <w:r>
        <w:rPr>
          <w:rFonts w:ascii="Arial" w:cs="Arial" w:eastAsia="Arial" w:hAnsi="Arial"/>
        </w:rPr>
        <w:t xml:space="preserve"> — a full alternative pipeline built and run as a comparison: PaddleOCR with contrast enhancement, confidence filtering, a regex field parser and a small live tester UI. It works, and it demonstrates the ceiling. Classical OCR returns a bag of text lines; you are then left writing regular expressions to guess which line is an address and which number is a price, on curved, glossy, multi-font, multilingual packaging. The vision-language model collapses recognition and field assignment into one step.</w:t>
      </w:r>
    </w:p>
    <w:p>
      <w:pPr>
        <w:pBdr>
          <w:left w:val="single" w:color="C8D2DC" w:sz="12" w:space="10"/>
        </w:pBdr>
        <w:spacing w:after="200" w:before="60" w:line="288"/>
        <w:ind w:left="360"/>
      </w:pPr>
      <w:r>
        <w:rPr>
          <w:rFonts w:ascii="Arial" w:cs="Arial" w:eastAsia="Arial" w:hAnsi="Arial"/>
          <w:i/>
          <w:iCs/>
          <w:color w:val="002045"/>
        </w:rPr>
        <w:t xml:space="preserve">"We built the alternative and can show you why we moved" is a much stronger answer than "we chose the popular option".</w:t>
      </w:r>
    </w:p>
    <w:p>
      <w:pPr>
        <w:pStyle w:val="Heading1"/>
        <w:pBdr>
          <w:bottom w:val="single" w:color="002045" w:sz="8" w:space="6"/>
        </w:pBdr>
        <w:spacing w:after="180" w:before="420"/>
      </w:pPr>
      <w:r>
        <w:rPr>
          <w:rFonts w:ascii="Arial" w:cs="Arial" w:eastAsia="Arial" w:hAnsi="Arial"/>
          <w:b/>
          <w:bCs/>
          <w:color w:val="002045"/>
          <w:sz w:val="32"/>
          <w:szCs w:val="32"/>
        </w:rPr>
        <w:t xml:space="preserve">6. The rule engine</w:t>
      </w:r>
    </w:p>
    <w:p>
      <w:pPr>
        <w:spacing w:after="160" w:before="0" w:line="288"/>
      </w:pPr>
      <w:r>
        <w:rPr>
          <w:rFonts w:ascii="Arial" w:cs="Arial" w:eastAsia="Arial" w:hAnsi="Arial"/>
        </w:rPr>
        <w:t xml:space="preserve">Roughly two hundred lines of pure Python with no I/O, no model, no randomness. Same input, same output, forever — which is what makes a regulatory verdict defensible. Each rule is a small function that returns true when the rule </w:t>
      </w:r>
      <w:r>
        <w:rPr>
          <w:rFonts w:ascii="Arial" w:cs="Arial" w:eastAsia="Arial" w:hAnsi="Arial"/>
          <w:i/>
          <w:iCs/>
        </w:rPr>
        <w:t xml:space="preserve">passes</w:t>
      </w:r>
      <w:r>
        <w:rPr>
          <w:rFonts w:ascii="Arial" w:cs="Arial" w:eastAsia="Arial" w:hAnsi="Arial"/>
        </w:rPr>
        <w:t xml:space="preserve">; a false becomes a violation.</w:t>
      </w:r>
    </w:p>
    <w:tbl>
      <w:tblPr>
        <w:tblW w:type="dxa" w:w="9360"/>
        <w:tblBorders>
          <w:top w:val="single" w:color="C8D2DC" w:sz="4"/>
          <w:left w:val="single" w:color="C8D2DC" w:sz="4"/>
          <w:bottom w:val="single" w:color="C8D2DC" w:sz="4"/>
          <w:right w:val="single" w:color="C8D2DC" w:sz="4"/>
          <w:insideH w:val="single" w:color="C8D2DC" w:sz="4"/>
          <w:insideV w:val="single" w:color="C8D2DC" w:sz="4"/>
        </w:tblBorders>
      </w:tblPr>
      <w:tblGrid>
        <w:gridCol w:w="460"/>
        <w:gridCol w:w="1500"/>
        <w:gridCol w:w="4000"/>
        <w:gridCol w:w="3400"/>
      </w:tblGrid>
      <w:tr>
        <w:trPr>
          <w:tblHeader/>
        </w:trPr>
        <w:tc>
          <w:tcPr>
            <w:tcW w:type="dxa" w:w="460"/>
            <w:shd w:fill="EDF2F7" w:color="auto" w:val="clear"/>
            <w:tcMar>
              <w:top w:type="dxa" w:w="90"/>
              <w:left w:type="dxa" w:w="130"/>
              <w:bottom w:type="dxa" w:w="90"/>
              <w:right w:type="dxa" w:w="130"/>
            </w:tcMar>
          </w:tcPr>
          <w:p>
            <w:pPr>
              <w:spacing w:after="0" w:line="264"/>
            </w:pPr>
            <w:r>
              <w:rPr>
                <w:rFonts w:ascii="Arial" w:cs="Arial" w:eastAsia="Arial" w:hAnsi="Arial"/>
                <w:b/>
                <w:bCs/>
              </w:rPr>
              <w:t xml:space="preserve">#</w:t>
            </w:r>
          </w:p>
        </w:tc>
        <w:tc>
          <w:tcPr>
            <w:tcW w:type="dxa" w:w="15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Citation</w:t>
            </w:r>
          </w:p>
        </w:tc>
        <w:tc>
          <w:tcPr>
            <w:tcW w:type="dxa" w:w="40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What the law requires</w:t>
            </w:r>
          </w:p>
        </w:tc>
        <w:tc>
          <w:tcPr>
            <w:tcW w:type="dxa" w:w="34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How we check it</w:t>
            </w:r>
          </w:p>
        </w:tc>
      </w:tr>
      <w:tr>
        <w:tc>
          <w:tcPr>
            <w:tcW w:type="dxa" w:w="460"/>
            <w:tcMar>
              <w:top w:type="dxa" w:w="90"/>
              <w:left w:type="dxa" w:w="130"/>
              <w:bottom w:type="dxa" w:w="90"/>
              <w:right w:type="dxa" w:w="130"/>
            </w:tcMar>
          </w:tcPr>
          <w:p>
            <w:pPr>
              <w:spacing w:after="0" w:line="264"/>
            </w:pPr>
            <w:r>
              <w:rPr>
                <w:rFonts w:ascii="Arial" w:cs="Arial" w:eastAsia="Arial" w:hAnsi="Arial"/>
              </w:rPr>
              <w:t xml:space="preserve">1</w:t>
            </w:r>
          </w:p>
        </w:tc>
        <w:tc>
          <w:tcPr>
            <w:tcW w:type="dxa" w:w="1500"/>
            <w:tcMar>
              <w:top w:type="dxa" w:w="90"/>
              <w:left w:type="dxa" w:w="130"/>
              <w:bottom w:type="dxa" w:w="90"/>
              <w:right w:type="dxa" w:w="130"/>
            </w:tcMar>
          </w:tcPr>
          <w:p>
            <w:pPr>
              <w:spacing w:after="0" w:line="264"/>
            </w:pPr>
            <w:r>
              <w:rPr>
                <w:rFonts w:ascii="Arial" w:cs="Arial" w:eastAsia="Arial" w:hAnsi="Arial"/>
              </w:rPr>
              <w:t xml:space="preserve">Rule 6(1)(a)</w:t>
            </w:r>
          </w:p>
        </w:tc>
        <w:tc>
          <w:tcPr>
            <w:tcW w:type="dxa" w:w="4000"/>
            <w:tcMar>
              <w:top w:type="dxa" w:w="90"/>
              <w:left w:type="dxa" w:w="130"/>
              <w:bottom w:type="dxa" w:w="90"/>
              <w:right w:type="dxa" w:w="130"/>
            </w:tcMar>
          </w:tcPr>
          <w:p>
            <w:pPr>
              <w:spacing w:after="0" w:line="264"/>
            </w:pPr>
            <w:r>
              <w:rPr>
                <w:rFonts w:ascii="Arial" w:cs="Arial" w:eastAsia="Arial" w:hAnsi="Arial"/>
              </w:rPr>
              <w:t xml:space="preserve">Name and address of the manufacturer, packer or importer</w:t>
            </w:r>
          </w:p>
        </w:tc>
        <w:tc>
          <w:tcPr>
            <w:tcW w:type="dxa" w:w="3400"/>
            <w:tcMar>
              <w:top w:type="dxa" w:w="90"/>
              <w:left w:type="dxa" w:w="130"/>
              <w:bottom w:type="dxa" w:w="90"/>
              <w:right w:type="dxa" w:w="130"/>
            </w:tcMar>
          </w:tcPr>
          <w:p>
            <w:pPr>
              <w:spacing w:after="0" w:line="264"/>
            </w:pPr>
            <w:r>
              <w:rPr>
                <w:rFonts w:ascii="Arial" w:cs="Arial" w:eastAsia="Arial" w:hAnsi="Arial"/>
              </w:rPr>
              <w:t xml:space="preserve">Field present and not blank</w:t>
            </w:r>
          </w:p>
        </w:tc>
      </w:tr>
      <w:tr>
        <w:tc>
          <w:tcPr>
            <w:tcW w:type="dxa" w:w="460"/>
            <w:tcMar>
              <w:top w:type="dxa" w:w="90"/>
              <w:left w:type="dxa" w:w="130"/>
              <w:bottom w:type="dxa" w:w="90"/>
              <w:right w:type="dxa" w:w="130"/>
            </w:tcMar>
          </w:tcPr>
          <w:p>
            <w:pPr>
              <w:spacing w:after="0" w:line="264"/>
            </w:pPr>
            <w:r>
              <w:rPr>
                <w:rFonts w:ascii="Arial" w:cs="Arial" w:eastAsia="Arial" w:hAnsi="Arial"/>
              </w:rPr>
              <w:t xml:space="preserve">2</w:t>
            </w:r>
          </w:p>
        </w:tc>
        <w:tc>
          <w:tcPr>
            <w:tcW w:type="dxa" w:w="1500"/>
            <w:tcMar>
              <w:top w:type="dxa" w:w="90"/>
              <w:left w:type="dxa" w:w="130"/>
              <w:bottom w:type="dxa" w:w="90"/>
              <w:right w:type="dxa" w:w="130"/>
            </w:tcMar>
          </w:tcPr>
          <w:p>
            <w:pPr>
              <w:spacing w:after="0" w:line="264"/>
            </w:pPr>
            <w:r>
              <w:rPr>
                <w:rFonts w:ascii="Arial" w:cs="Arial" w:eastAsia="Arial" w:hAnsi="Arial"/>
              </w:rPr>
              <w:t xml:space="preserve">Rule 6(1)(b)</w:t>
            </w:r>
          </w:p>
        </w:tc>
        <w:tc>
          <w:tcPr>
            <w:tcW w:type="dxa" w:w="4000"/>
            <w:tcMar>
              <w:top w:type="dxa" w:w="90"/>
              <w:left w:type="dxa" w:w="130"/>
              <w:bottom w:type="dxa" w:w="90"/>
              <w:right w:type="dxa" w:w="130"/>
            </w:tcMar>
          </w:tcPr>
          <w:p>
            <w:pPr>
              <w:spacing w:after="0" w:line="264"/>
            </w:pPr>
            <w:r>
              <w:rPr>
                <w:rFonts w:ascii="Arial" w:cs="Arial" w:eastAsia="Arial" w:hAnsi="Arial"/>
              </w:rPr>
              <w:t xml:space="preserve">Common or generic name of the commodity</w:t>
            </w:r>
          </w:p>
        </w:tc>
        <w:tc>
          <w:tcPr>
            <w:tcW w:type="dxa" w:w="3400"/>
            <w:tcMar>
              <w:top w:type="dxa" w:w="90"/>
              <w:left w:type="dxa" w:w="130"/>
              <w:bottom w:type="dxa" w:w="90"/>
              <w:right w:type="dxa" w:w="130"/>
            </w:tcMar>
          </w:tcPr>
          <w:p>
            <w:pPr>
              <w:spacing w:after="0" w:line="264"/>
            </w:pPr>
            <w:r>
              <w:rPr>
                <w:rFonts w:ascii="Arial" w:cs="Arial" w:eastAsia="Arial" w:hAnsi="Arial"/>
              </w:rPr>
              <w:t xml:space="preserve">Field present and not blank</w:t>
            </w:r>
          </w:p>
        </w:tc>
      </w:tr>
      <w:tr>
        <w:tc>
          <w:tcPr>
            <w:tcW w:type="dxa" w:w="460"/>
            <w:tcMar>
              <w:top w:type="dxa" w:w="90"/>
              <w:left w:type="dxa" w:w="130"/>
              <w:bottom w:type="dxa" w:w="90"/>
              <w:right w:type="dxa" w:w="130"/>
            </w:tcMar>
          </w:tcPr>
          <w:p>
            <w:pPr>
              <w:spacing w:after="0" w:line="264"/>
            </w:pPr>
            <w:r>
              <w:rPr>
                <w:rFonts w:ascii="Arial" w:cs="Arial" w:eastAsia="Arial" w:hAnsi="Arial"/>
              </w:rPr>
              <w:t xml:space="preserve">3</w:t>
            </w:r>
          </w:p>
        </w:tc>
        <w:tc>
          <w:tcPr>
            <w:tcW w:type="dxa" w:w="1500"/>
            <w:tcMar>
              <w:top w:type="dxa" w:w="90"/>
              <w:left w:type="dxa" w:w="130"/>
              <w:bottom w:type="dxa" w:w="90"/>
              <w:right w:type="dxa" w:w="130"/>
            </w:tcMar>
          </w:tcPr>
          <w:p>
            <w:pPr>
              <w:spacing w:after="0" w:line="264"/>
            </w:pPr>
            <w:r>
              <w:rPr>
                <w:rFonts w:ascii="Arial" w:cs="Arial" w:eastAsia="Arial" w:hAnsi="Arial"/>
              </w:rPr>
              <w:t xml:space="preserve">Rule 6(1)(c)</w:t>
            </w:r>
          </w:p>
        </w:tc>
        <w:tc>
          <w:tcPr>
            <w:tcW w:type="dxa" w:w="4000"/>
            <w:tcMar>
              <w:top w:type="dxa" w:w="90"/>
              <w:left w:type="dxa" w:w="130"/>
              <w:bottom w:type="dxa" w:w="90"/>
              <w:right w:type="dxa" w:w="130"/>
            </w:tcMar>
          </w:tcPr>
          <w:p>
            <w:pPr>
              <w:spacing w:after="0" w:line="264"/>
            </w:pPr>
            <w:r>
              <w:rPr>
                <w:rFonts w:ascii="Arial" w:cs="Arial" w:eastAsia="Arial" w:hAnsi="Arial"/>
              </w:rPr>
              <w:t xml:space="preserve">Net quantity in standard units</w:t>
            </w:r>
          </w:p>
        </w:tc>
        <w:tc>
          <w:tcPr>
            <w:tcW w:type="dxa" w:w="3400"/>
            <w:tcMar>
              <w:top w:type="dxa" w:w="90"/>
              <w:left w:type="dxa" w:w="130"/>
              <w:bottom w:type="dxa" w:w="90"/>
              <w:right w:type="dxa" w:w="130"/>
            </w:tcMar>
          </w:tcPr>
          <w:p>
            <w:pPr>
              <w:spacing w:after="0" w:line="264"/>
            </w:pPr>
            <w:r>
              <w:rPr>
                <w:rFonts w:ascii="Arial" w:cs="Arial" w:eastAsia="Arial" w:hAnsi="Arial"/>
              </w:rPr>
              <w:t xml:space="preserve">Value present and the unit normalises into the accepted metric set</w:t>
            </w:r>
          </w:p>
        </w:tc>
      </w:tr>
      <w:tr>
        <w:tc>
          <w:tcPr>
            <w:tcW w:type="dxa" w:w="460"/>
            <w:tcMar>
              <w:top w:type="dxa" w:w="90"/>
              <w:left w:type="dxa" w:w="130"/>
              <w:bottom w:type="dxa" w:w="90"/>
              <w:right w:type="dxa" w:w="130"/>
            </w:tcMar>
          </w:tcPr>
          <w:p>
            <w:pPr>
              <w:spacing w:after="0" w:line="264"/>
            </w:pPr>
            <w:r>
              <w:rPr>
                <w:rFonts w:ascii="Arial" w:cs="Arial" w:eastAsia="Arial" w:hAnsi="Arial"/>
              </w:rPr>
              <w:t xml:space="preserve">4</w:t>
            </w:r>
          </w:p>
        </w:tc>
        <w:tc>
          <w:tcPr>
            <w:tcW w:type="dxa" w:w="1500"/>
            <w:tcMar>
              <w:top w:type="dxa" w:w="90"/>
              <w:left w:type="dxa" w:w="130"/>
              <w:bottom w:type="dxa" w:w="90"/>
              <w:right w:type="dxa" w:w="130"/>
            </w:tcMar>
          </w:tcPr>
          <w:p>
            <w:pPr>
              <w:spacing w:after="0" w:line="264"/>
            </w:pPr>
            <w:r>
              <w:rPr>
                <w:rFonts w:ascii="Arial" w:cs="Arial" w:eastAsia="Arial" w:hAnsi="Arial"/>
              </w:rPr>
              <w:t xml:space="preserve">Rule 6(1)(d)</w:t>
            </w:r>
          </w:p>
        </w:tc>
        <w:tc>
          <w:tcPr>
            <w:tcW w:type="dxa" w:w="4000"/>
            <w:tcMar>
              <w:top w:type="dxa" w:w="90"/>
              <w:left w:type="dxa" w:w="130"/>
              <w:bottom w:type="dxa" w:w="90"/>
              <w:right w:type="dxa" w:w="130"/>
            </w:tcMar>
          </w:tcPr>
          <w:p>
            <w:pPr>
              <w:spacing w:after="0" w:line="264"/>
            </w:pPr>
            <w:r>
              <w:rPr>
                <w:rFonts w:ascii="Arial" w:cs="Arial" w:eastAsia="Arial" w:hAnsi="Arial"/>
              </w:rPr>
              <w:t xml:space="preserve">Month and year of manufacture, packing or import</w:t>
            </w:r>
          </w:p>
        </w:tc>
        <w:tc>
          <w:tcPr>
            <w:tcW w:type="dxa" w:w="3400"/>
            <w:tcMar>
              <w:top w:type="dxa" w:w="90"/>
              <w:left w:type="dxa" w:w="130"/>
              <w:bottom w:type="dxa" w:w="90"/>
              <w:right w:type="dxa" w:w="130"/>
            </w:tcMar>
          </w:tcPr>
          <w:p>
            <w:pPr>
              <w:spacing w:after="0" w:line="264"/>
            </w:pPr>
            <w:r>
              <w:rPr>
                <w:rFonts w:ascii="Arial" w:cs="Arial" w:eastAsia="Arial" w:hAnsi="Arial"/>
              </w:rPr>
              <w:t xml:space="preserve">Field present and not blank</w:t>
            </w:r>
          </w:p>
        </w:tc>
      </w:tr>
      <w:tr>
        <w:tc>
          <w:tcPr>
            <w:tcW w:type="dxa" w:w="460"/>
            <w:tcMar>
              <w:top w:type="dxa" w:w="90"/>
              <w:left w:type="dxa" w:w="130"/>
              <w:bottom w:type="dxa" w:w="90"/>
              <w:right w:type="dxa" w:w="130"/>
            </w:tcMar>
          </w:tcPr>
          <w:p>
            <w:pPr>
              <w:spacing w:after="0" w:line="264"/>
            </w:pPr>
            <w:r>
              <w:rPr>
                <w:rFonts w:ascii="Arial" w:cs="Arial" w:eastAsia="Arial" w:hAnsi="Arial"/>
              </w:rPr>
              <w:t xml:space="preserve">5</w:t>
            </w:r>
          </w:p>
        </w:tc>
        <w:tc>
          <w:tcPr>
            <w:tcW w:type="dxa" w:w="1500"/>
            <w:tcMar>
              <w:top w:type="dxa" w:w="90"/>
              <w:left w:type="dxa" w:w="130"/>
              <w:bottom w:type="dxa" w:w="90"/>
              <w:right w:type="dxa" w:w="130"/>
            </w:tcMar>
          </w:tcPr>
          <w:p>
            <w:pPr>
              <w:spacing w:after="0" w:line="264"/>
            </w:pPr>
            <w:r>
              <w:rPr>
                <w:rFonts w:ascii="Arial" w:cs="Arial" w:eastAsia="Arial" w:hAnsi="Arial"/>
              </w:rPr>
              <w:t xml:space="preserve">Rule 6(1)(e)</w:t>
            </w:r>
          </w:p>
        </w:tc>
        <w:tc>
          <w:tcPr>
            <w:tcW w:type="dxa" w:w="4000"/>
            <w:tcMar>
              <w:top w:type="dxa" w:w="90"/>
              <w:left w:type="dxa" w:w="130"/>
              <w:bottom w:type="dxa" w:w="90"/>
              <w:right w:type="dxa" w:w="130"/>
            </w:tcMar>
          </w:tcPr>
          <w:p>
            <w:pPr>
              <w:spacing w:after="0" w:line="264"/>
            </w:pPr>
            <w:r>
              <w:rPr>
                <w:rFonts w:ascii="Arial" w:cs="Arial" w:eastAsia="Arial" w:hAnsi="Arial"/>
              </w:rPr>
              <w:t xml:space="preserve">Retail sale price declared</w:t>
            </w:r>
          </w:p>
        </w:tc>
        <w:tc>
          <w:tcPr>
            <w:tcW w:type="dxa" w:w="3400"/>
            <w:tcMar>
              <w:top w:type="dxa" w:w="90"/>
              <w:left w:type="dxa" w:w="130"/>
              <w:bottom w:type="dxa" w:w="90"/>
              <w:right w:type="dxa" w:w="130"/>
            </w:tcMar>
          </w:tcPr>
          <w:p>
            <w:pPr>
              <w:spacing w:after="0" w:line="264"/>
            </w:pPr>
            <w:r>
              <w:rPr>
                <w:rFonts w:ascii="Arial" w:cs="Arial" w:eastAsia="Arial" w:hAnsi="Arial"/>
              </w:rPr>
              <w:t xml:space="preserve">MRP object present with a value</w:t>
            </w:r>
          </w:p>
        </w:tc>
      </w:tr>
      <w:tr>
        <w:tc>
          <w:tcPr>
            <w:tcW w:type="dxa" w:w="460"/>
            <w:tcMar>
              <w:top w:type="dxa" w:w="90"/>
              <w:left w:type="dxa" w:w="130"/>
              <w:bottom w:type="dxa" w:w="90"/>
              <w:right w:type="dxa" w:w="130"/>
            </w:tcMar>
          </w:tcPr>
          <w:p>
            <w:pPr>
              <w:spacing w:after="0" w:line="264"/>
            </w:pPr>
            <w:r>
              <w:rPr>
                <w:rFonts w:ascii="Arial" w:cs="Arial" w:eastAsia="Arial" w:hAnsi="Arial"/>
              </w:rPr>
              <w:t xml:space="preserve">6</w:t>
            </w:r>
          </w:p>
        </w:tc>
        <w:tc>
          <w:tcPr>
            <w:tcW w:type="dxa" w:w="1500"/>
            <w:tcMar>
              <w:top w:type="dxa" w:w="90"/>
              <w:left w:type="dxa" w:w="130"/>
              <w:bottom w:type="dxa" w:w="90"/>
              <w:right w:type="dxa" w:w="130"/>
            </w:tcMar>
          </w:tcPr>
          <w:p>
            <w:pPr>
              <w:spacing w:after="0" w:line="264"/>
            </w:pPr>
            <w:r>
              <w:rPr>
                <w:rFonts w:ascii="Arial" w:cs="Arial" w:eastAsia="Arial" w:hAnsi="Arial"/>
              </w:rPr>
              <w:t xml:space="preserve">Rule 2(m)</w:t>
            </w:r>
          </w:p>
        </w:tc>
        <w:tc>
          <w:tcPr>
            <w:tcW w:type="dxa" w:w="4000"/>
            <w:tcMar>
              <w:top w:type="dxa" w:w="90"/>
              <w:left w:type="dxa" w:w="130"/>
              <w:bottom w:type="dxa" w:w="90"/>
              <w:right w:type="dxa" w:w="130"/>
            </w:tcMar>
          </w:tcPr>
          <w:p>
            <w:pPr>
              <w:spacing w:after="0" w:line="264"/>
            </w:pPr>
            <w:r>
              <w:rPr>
                <w:rFonts w:ascii="Arial" w:cs="Arial" w:eastAsia="Arial" w:hAnsi="Arial"/>
              </w:rPr>
              <w:t xml:space="preserve">That price must be inclusive of all taxes</w:t>
            </w:r>
          </w:p>
        </w:tc>
        <w:tc>
          <w:tcPr>
            <w:tcW w:type="dxa" w:w="3400"/>
            <w:tcMar>
              <w:top w:type="dxa" w:w="90"/>
              <w:left w:type="dxa" w:w="130"/>
              <w:bottom w:type="dxa" w:w="90"/>
              <w:right w:type="dxa" w:w="130"/>
            </w:tcMar>
          </w:tcPr>
          <w:p>
            <w:pPr>
              <w:spacing w:after="0" w:line="264"/>
            </w:pPr>
            <w:r>
              <w:rPr>
                <w:rFonts w:ascii="Arial" w:cs="Arial" w:eastAsia="Arial" w:hAnsi="Arial"/>
              </w:rPr>
              <w:t xml:space="preserve">The tax-inclusive wording was literally read off the package</w:t>
            </w:r>
          </w:p>
        </w:tc>
      </w:tr>
      <w:tr>
        <w:tc>
          <w:tcPr>
            <w:tcW w:type="dxa" w:w="460"/>
            <w:tcMar>
              <w:top w:type="dxa" w:w="90"/>
              <w:left w:type="dxa" w:w="130"/>
              <w:bottom w:type="dxa" w:w="90"/>
              <w:right w:type="dxa" w:w="130"/>
            </w:tcMar>
          </w:tcPr>
          <w:p>
            <w:pPr>
              <w:spacing w:after="0" w:line="264"/>
            </w:pPr>
            <w:r>
              <w:rPr>
                <w:rFonts w:ascii="Arial" w:cs="Arial" w:eastAsia="Arial" w:hAnsi="Arial"/>
              </w:rPr>
              <w:t xml:space="preserve">7</w:t>
            </w:r>
          </w:p>
        </w:tc>
        <w:tc>
          <w:tcPr>
            <w:tcW w:type="dxa" w:w="1500"/>
            <w:tcMar>
              <w:top w:type="dxa" w:w="90"/>
              <w:left w:type="dxa" w:w="130"/>
              <w:bottom w:type="dxa" w:w="90"/>
              <w:right w:type="dxa" w:w="130"/>
            </w:tcMar>
          </w:tcPr>
          <w:p>
            <w:pPr>
              <w:spacing w:after="0" w:line="264"/>
            </w:pPr>
            <w:r>
              <w:rPr>
                <w:rFonts w:ascii="Arial" w:cs="Arial" w:eastAsia="Arial" w:hAnsi="Arial"/>
              </w:rPr>
              <w:t xml:space="preserve">Rule 6(2)</w:t>
            </w:r>
          </w:p>
        </w:tc>
        <w:tc>
          <w:tcPr>
            <w:tcW w:type="dxa" w:w="4000"/>
            <w:tcMar>
              <w:top w:type="dxa" w:w="90"/>
              <w:left w:type="dxa" w:w="130"/>
              <w:bottom w:type="dxa" w:w="90"/>
              <w:right w:type="dxa" w:w="130"/>
            </w:tcMar>
          </w:tcPr>
          <w:p>
            <w:pPr>
              <w:spacing w:after="0" w:line="264"/>
            </w:pPr>
            <w:r>
              <w:rPr>
                <w:rFonts w:ascii="Arial" w:cs="Arial" w:eastAsia="Arial" w:hAnsi="Arial"/>
              </w:rPr>
              <w:t xml:space="preserve">Consumer-care contact details</w:t>
            </w:r>
          </w:p>
        </w:tc>
        <w:tc>
          <w:tcPr>
            <w:tcW w:type="dxa" w:w="3400"/>
            <w:tcMar>
              <w:top w:type="dxa" w:w="90"/>
              <w:left w:type="dxa" w:w="130"/>
              <w:bottom w:type="dxa" w:w="90"/>
              <w:right w:type="dxa" w:w="130"/>
            </w:tcMar>
          </w:tcPr>
          <w:p>
            <w:pPr>
              <w:spacing w:after="0" w:line="264"/>
            </w:pPr>
            <w:r>
              <w:rPr>
                <w:rFonts w:ascii="Arial" w:cs="Arial" w:eastAsia="Arial" w:hAnsi="Arial"/>
              </w:rPr>
              <w:t xml:space="preserve">Field present and not blank</w:t>
            </w:r>
          </w:p>
        </w:tc>
      </w:tr>
      <w:tr>
        <w:tc>
          <w:tcPr>
            <w:tcW w:type="dxa" w:w="460"/>
            <w:tcMar>
              <w:top w:type="dxa" w:w="90"/>
              <w:left w:type="dxa" w:w="130"/>
              <w:bottom w:type="dxa" w:w="90"/>
              <w:right w:type="dxa" w:w="130"/>
            </w:tcMar>
          </w:tcPr>
          <w:p>
            <w:pPr>
              <w:spacing w:after="0" w:line="264"/>
            </w:pPr>
            <w:r>
              <w:rPr>
                <w:rFonts w:ascii="Arial" w:cs="Arial" w:eastAsia="Arial" w:hAnsi="Arial"/>
              </w:rPr>
              <w:t xml:space="preserve">8</w:t>
            </w:r>
          </w:p>
        </w:tc>
        <w:tc>
          <w:tcPr>
            <w:tcW w:type="dxa" w:w="1500"/>
            <w:tcMar>
              <w:top w:type="dxa" w:w="90"/>
              <w:left w:type="dxa" w:w="130"/>
              <w:bottom w:type="dxa" w:w="90"/>
              <w:right w:type="dxa" w:w="130"/>
            </w:tcMar>
          </w:tcPr>
          <w:p>
            <w:pPr>
              <w:spacing w:after="0" w:line="264"/>
            </w:pPr>
            <w:r>
              <w:rPr>
                <w:rFonts w:ascii="Arial" w:cs="Arial" w:eastAsia="Arial" w:hAnsi="Arial"/>
              </w:rPr>
              <w:t xml:space="preserve">Rule 13(4)</w:t>
            </w:r>
          </w:p>
        </w:tc>
        <w:tc>
          <w:tcPr>
            <w:tcW w:type="dxa" w:w="4000"/>
            <w:tcMar>
              <w:top w:type="dxa" w:w="90"/>
              <w:left w:type="dxa" w:w="130"/>
              <w:bottom w:type="dxa" w:w="90"/>
              <w:right w:type="dxa" w:w="130"/>
            </w:tcMar>
          </w:tcPr>
          <w:p>
            <w:pPr>
              <w:spacing w:after="0" w:line="264"/>
            </w:pPr>
            <w:r>
              <w:rPr>
                <w:rFonts w:ascii="Arial" w:cs="Arial" w:eastAsia="Arial" w:hAnsi="Arial"/>
              </w:rPr>
              <w:t xml:space="preserve">No non-standard units</w:t>
            </w:r>
          </w:p>
        </w:tc>
        <w:tc>
          <w:tcPr>
            <w:tcW w:type="dxa" w:w="3400"/>
            <w:tcMar>
              <w:top w:type="dxa" w:w="90"/>
              <w:left w:type="dxa" w:w="130"/>
              <w:bottom w:type="dxa" w:w="90"/>
              <w:right w:type="dxa" w:w="130"/>
            </w:tcMar>
          </w:tcPr>
          <w:p>
            <w:pPr>
              <w:spacing w:after="0" w:line="264"/>
            </w:pPr>
            <w:r>
              <w:rPr>
                <w:rFonts w:ascii="Arial" w:cs="Arial" w:eastAsia="Arial" w:hAnsi="Arial"/>
              </w:rPr>
              <w:t xml:space="preserve">Unit is not dozen, score, gross or pieces</w:t>
            </w:r>
          </w:p>
        </w:tc>
      </w:tr>
    </w:tbl>
    <w:p>
      <w:pPr>
        <w:pStyle w:val="Heading2"/>
        <w:spacing w:after="120" w:before="320"/>
      </w:pPr>
      <w:r>
        <w:rPr>
          <w:rFonts w:ascii="Arial" w:cs="Arial" w:eastAsia="Arial" w:hAnsi="Arial"/>
          <w:b/>
          <w:bCs/>
          <w:color w:val="002045"/>
          <w:sz w:val="24"/>
          <w:szCs w:val="24"/>
        </w:rPr>
        <w:t xml:space="preserve">Advisories — the second, weaker output</w:t>
      </w:r>
    </w:p>
    <w:p>
      <w:pPr>
        <w:spacing w:after="160" w:before="0" w:line="288"/>
      </w:pPr>
      <w:r>
        <w:rPr>
          <w:rFonts w:ascii="Arial" w:cs="Arial" w:eastAsia="Arial" w:hAnsi="Arial"/>
        </w:rPr>
        <w:t xml:space="preserve">Not everything worth telling an officer is a rule failure. A declaration printed in very small type may well breach the prescribed minimum letter height, but letter height has to be </w:t>
      </w:r>
      <w:r>
        <w:rPr>
          <w:rFonts w:ascii="Arial" w:cs="Arial" w:eastAsia="Arial" w:hAnsi="Arial"/>
          <w:b/>
          <w:bCs/>
        </w:rPr>
        <w:t xml:space="preserve">measured</w:t>
      </w:r>
      <w:r>
        <w:rPr>
          <w:rFonts w:ascii="Arial" w:cs="Arial" w:eastAsia="Arial" w:hAnsi="Arial"/>
        </w:rPr>
        <w:t xml:space="preserve">, and no photograph of unknown scale can measure it. Calling that a violation would be a verdict we cannot support; saying nothing would waste a real finding.</w:t>
      </w:r>
    </w:p>
    <w:p>
      <w:pPr>
        <w:spacing w:after="160" w:before="0" w:line="288"/>
      </w:pPr>
      <w:r>
        <w:rPr>
          <w:rFonts w:ascii="Arial" w:cs="Arial" w:eastAsia="Arial" w:hAnsi="Arial"/>
        </w:rPr>
        <w:t xml:space="preserve">So the engine has a second output. </w:t>
      </w:r>
      <w:r>
        <w:rPr>
          <w:rFonts w:ascii="Arial" w:cs="Arial" w:eastAsia="Arial" w:hAnsi="Arial"/>
          <w:b/>
          <w:bCs/>
        </w:rPr>
        <w:t xml:space="preserve">Advisories are observations, never verdicts.</w:t>
      </w:r>
      <w:r>
        <w:rPr>
          <w:rFonts w:ascii="Arial" w:cs="Arial" w:eastAsia="Arial" w:hAnsi="Arial"/>
        </w:rPr>
        <w:t xml:space="preserve"> They never enter the violations list and never change the status. Three exist today:</w:t>
      </w:r>
    </w:p>
    <w:p>
      <w:pPr>
        <w:pStyle w:val="ListParagraph"/>
        <w:numPr>
          <w:ilvl w:val="0"/>
          <w:numId w:val="2"/>
        </w:numPr>
        <w:spacing w:after="90" w:line="288"/>
      </w:pPr>
      <w:r>
        <w:rPr>
          <w:rFonts w:ascii="Arial" w:cs="Arial" w:eastAsia="Arial" w:hAnsi="Arial"/>
        </w:rPr>
        <w:t xml:space="preserve">The declarations share one compact block in small or very small type — grouping is permitted, but the size still has to be verified on the physical package.</w:t>
      </w:r>
    </w:p>
    <w:p>
      <w:pPr>
        <w:pStyle w:val="ListParagraph"/>
        <w:numPr>
          <w:ilvl w:val="0"/>
          <w:numId w:val="2"/>
        </w:numPr>
        <w:spacing w:after="90" w:line="288"/>
      </w:pPr>
      <w:r>
        <w:rPr>
          <w:rFonts w:ascii="Arial" w:cs="Arial" w:eastAsia="Arial" w:hAnsi="Arial"/>
        </w:rPr>
        <w:t xml:space="preserve">The block could not be read reliably from the photographs — re-scan it close up before issuing anything, because a declaration that is present but unreadable here is reported as missing.</w:t>
      </w:r>
    </w:p>
    <w:p>
      <w:pPr>
        <w:pStyle w:val="ListParagraph"/>
        <w:numPr>
          <w:ilvl w:val="0"/>
          <w:numId w:val="2"/>
        </w:numPr>
        <w:spacing w:after="90" w:line="288"/>
      </w:pPr>
      <w:r>
        <w:rPr>
          <w:rFonts w:ascii="Arial" w:cs="Arial" w:eastAsia="Arial" w:hAnsi="Arial"/>
        </w:rPr>
        <w:t xml:space="preserve">Only one photograph was supplied — a declaration on a panel that was never photographed will read as missing.</w:t>
      </w:r>
    </w:p>
    <w:p>
      <w:pPr>
        <w:spacing w:after="160" w:before="0" w:line="288"/>
      </w:pPr>
      <w:r>
        <w:rPr>
          <w:rFonts w:ascii="Arial" w:cs="Arial" w:eastAsia="Arial" w:hAnsi="Arial"/>
        </w:rPr>
        <w:t xml:space="preserve">They appear in their own section of the app and of the notice, under a heading that says plainly they are not findings of contravention. If a judge asks why this is not simply a ninth rule, that is the answer: it is the difference between what we can prove from a photograph and what we can only point at.</w:t>
      </w:r>
    </w:p>
    <w:p>
      <w:pPr>
        <w:pStyle w:val="Heading2"/>
        <w:spacing w:after="120" w:before="320"/>
      </w:pPr>
      <w:r>
        <w:rPr>
          <w:rFonts w:ascii="Arial" w:cs="Arial" w:eastAsia="Arial" w:hAnsi="Arial"/>
          <w:b/>
          <w:bCs/>
          <w:color w:val="002045"/>
          <w:sz w:val="24"/>
          <w:szCs w:val="24"/>
        </w:rPr>
        <w:t xml:space="preserve">The details that show craft</w:t>
      </w:r>
    </w:p>
    <w:p>
      <w:pPr>
        <w:spacing w:after="160" w:before="0" w:line="288"/>
      </w:pPr>
      <w:r>
        <w:rPr>
          <w:rFonts w:ascii="Arial" w:cs="Arial" w:eastAsia="Arial" w:hAnsi="Arial"/>
          <w:b/>
          <w:bCs/>
        </w:rPr>
        <w:t xml:space="preserve">Unit normalisation.</w:t>
      </w:r>
      <w:r>
        <w:rPr>
          <w:rFonts w:ascii="Arial" w:cs="Arial" w:eastAsia="Arial" w:hAnsi="Arial"/>
        </w:rPr>
        <w:t xml:space="preserve"> A package may print </w:t>
      </w:r>
      <w:r>
        <w:rPr>
          <w:rFonts w:ascii="Arial" w:cs="Arial" w:eastAsia="Arial" w:hAnsi="Arial"/>
          <w:i/>
          <w:iCs/>
        </w:rPr>
        <w:t xml:space="preserve">gm</w:t>
      </w:r>
      <w:r>
        <w:rPr>
          <w:rFonts w:ascii="Arial" w:cs="Arial" w:eastAsia="Arial" w:hAnsi="Arial"/>
        </w:rPr>
        <w:t xml:space="preserve">, </w:t>
      </w:r>
      <w:r>
        <w:rPr>
          <w:rFonts w:ascii="Arial" w:cs="Arial" w:eastAsia="Arial" w:hAnsi="Arial"/>
          <w:i/>
          <w:iCs/>
        </w:rPr>
        <w:t xml:space="preserve">Gms</w:t>
      </w:r>
      <w:r>
        <w:rPr>
          <w:rFonts w:ascii="Arial" w:cs="Arial" w:eastAsia="Arial" w:hAnsi="Arial"/>
        </w:rPr>
        <w:t xml:space="preserve">, </w:t>
      </w:r>
      <w:r>
        <w:rPr>
          <w:rFonts w:ascii="Arial" w:cs="Arial" w:eastAsia="Arial" w:hAnsi="Arial"/>
          <w:i/>
          <w:iCs/>
        </w:rPr>
        <w:t xml:space="preserve">GRAMS</w:t>
      </w:r>
      <w:r>
        <w:rPr>
          <w:rFonts w:ascii="Arial" w:cs="Arial" w:eastAsia="Arial" w:hAnsi="Arial"/>
        </w:rPr>
        <w:t xml:space="preserve"> or </w:t>
      </w:r>
      <w:r>
        <w:rPr>
          <w:rFonts w:ascii="Arial" w:cs="Arial" w:eastAsia="Arial" w:hAnsi="Arial"/>
          <w:i/>
          <w:iCs/>
        </w:rPr>
        <w:t xml:space="preserve">g.</w:t>
      </w:r>
      <w:r>
        <w:rPr>
          <w:rFonts w:ascii="Arial" w:cs="Arial" w:eastAsia="Arial" w:hAnsi="Arial"/>
        </w:rPr>
        <w:t xml:space="preserve"> for the same unit. Before any comparison, the unit is lowercased, trimmed, stripped of a trailing period and passed through an alias table, so all four collapse to </w:t>
      </w:r>
      <w:r>
        <w:rPr>
          <w:rFonts w:ascii="Consolas" w:cs="Consolas" w:eastAsia="Consolas" w:hAnsi="Consolas"/>
          <w:color w:val="223344"/>
          <w:sz w:val="19"/>
          <w:szCs w:val="19"/>
        </w:rPr>
        <w:t xml:space="preserve">g</w:t>
      </w:r>
      <w:r>
        <w:rPr>
          <w:rFonts w:ascii="Arial" w:cs="Arial" w:eastAsia="Arial" w:hAnsi="Arial"/>
        </w:rPr>
        <w:t xml:space="preserve">. The accepted set is </w:t>
      </w:r>
      <w:r>
        <w:rPr>
          <w:rFonts w:ascii="Consolas" w:cs="Consolas" w:eastAsia="Consolas" w:hAnsi="Consolas"/>
          <w:color w:val="223344"/>
          <w:sz w:val="19"/>
          <w:szCs w:val="19"/>
        </w:rPr>
        <w:t xml:space="preserve">g, kg, mg, ml, l, cm, m</w:t>
      </w:r>
      <w:r>
        <w:rPr>
          <w:rFonts w:ascii="Arial" w:cs="Arial" w:eastAsia="Arial" w:hAnsi="Arial"/>
        </w:rPr>
        <w:t xml:space="preserve"> plus a plain count. Both the alias table and the accepted set are plain dictionaries at the top of the file, deliberately editable by someone who is not a programmer.</w:t>
      </w:r>
    </w:p>
    <w:p>
      <w:pPr>
        <w:spacing w:after="160" w:before="0" w:line="288"/>
      </w:pPr>
      <w:r>
        <w:rPr>
          <w:rFonts w:ascii="Arial" w:cs="Arial" w:eastAsia="Arial" w:hAnsi="Arial"/>
          <w:b/>
          <w:bCs/>
        </w:rPr>
        <w:t xml:space="preserve">Guards against double-firing.</w:t>
      </w:r>
      <w:r>
        <w:rPr>
          <w:rFonts w:ascii="Arial" w:cs="Arial" w:eastAsia="Arial" w:hAnsi="Arial"/>
        </w:rPr>
        <w:t xml:space="preserve"> If there is no MRP at all, rule 5 fires and rule 6 stays silent — reporting "no price" and "price not marked tax-inclusive" as two separate offences would be misleading. The same guard exists between rules 3 and 8. Getting this right is the difference between a violation list an officer trusts and one they start ignoring.</w:t>
      </w:r>
    </w:p>
    <w:p>
      <w:pPr>
        <w:spacing w:after="160" w:before="0" w:line="288"/>
      </w:pPr>
      <w:r>
        <w:rPr>
          <w:rFonts w:ascii="Arial" w:cs="Arial" w:eastAsia="Arial" w:hAnsi="Arial"/>
          <w:b/>
          <w:bCs/>
        </w:rPr>
        <w:t xml:space="preserve">The category hook is empty on purpose.</w:t>
      </w:r>
      <w:r>
        <w:rPr>
          <w:rFonts w:ascii="Arial" w:cs="Arial" w:eastAsia="Arial" w:hAnsi="Arial"/>
        </w:rPr>
        <w:t xml:space="preserve"> Officers pick a product category and it is stored with every scan, but every category currently runs the same eight checks — because Rule 6 declarations apply to all packaged commodities regardless of what is inside. The code carries an empty </w:t>
      </w:r>
      <w:r>
        <w:rPr>
          <w:rFonts w:ascii="Consolas" w:cs="Consolas" w:eastAsia="Consolas" w:hAnsi="Consolas"/>
          <w:color w:val="223344"/>
          <w:sz w:val="19"/>
          <w:szCs w:val="19"/>
        </w:rPr>
        <w:t xml:space="preserve">CATEGORY_RULES</w:t>
      </w:r>
      <w:r>
        <w:rPr>
          <w:rFonts w:ascii="Arial" w:cs="Arial" w:eastAsia="Arial" w:hAnsi="Arial"/>
        </w:rPr>
        <w:t xml:space="preserve"> map with a comment explaining that genuinely category-specific </w:t>
      </w:r>
      <w:r>
        <w:rPr>
          <w:rFonts w:ascii="Arial" w:cs="Arial" w:eastAsia="Arial" w:hAnsi="Arial"/>
          <w:i/>
          <w:iCs/>
        </w:rPr>
        <w:t xml:space="preserve">metrology</w:t>
      </w:r>
      <w:r>
        <w:rPr>
          <w:rFonts w:ascii="Arial" w:cs="Arial" w:eastAsia="Arial" w:hAnsi="Arial"/>
        </w:rPr>
        <w:t xml:space="preserve"> rules can hook in there later, and that food-safety rules must not. That is an honest architectural placeholder, and saying so is stronger than pretending the dropdown does more than it does.</w:t>
      </w:r>
    </w:p>
    <w:p>
      <w:pPr>
        <w:spacing w:after="160" w:before="0" w:line="288"/>
      </w:pPr>
      <w:r>
        <w:rPr>
          <w:rFonts w:ascii="Arial" w:cs="Arial" w:eastAsia="Arial" w:hAnsi="Arial"/>
          <w:b/>
          <w:bCs/>
        </w:rPr>
        <w:t xml:space="preserve">If challenged on rule count.</w:t>
      </w:r>
      <w:r>
        <w:rPr>
          <w:rFonts w:ascii="Arial" w:cs="Arial" w:eastAsia="Arial" w:hAnsi="Arial"/>
        </w:rPr>
        <w:t xml:space="preserve"> Eight is not the whole of the 2011 Rules — it is the subset that can be verified from a photograph with certainty. Requirements about minimum letter height or the area of the principal display panel are measurable in principle, but need a calibrated reference in frame. Naming that boundary out loud is more convincing than claiming full coverage.</w:t>
      </w:r>
    </w:p>
    <w:p>
      <w:pPr>
        <w:pStyle w:val="Heading1"/>
        <w:pBdr>
          <w:bottom w:val="single" w:color="002045" w:sz="8" w:space="6"/>
        </w:pBdr>
        <w:spacing w:after="180" w:before="420"/>
      </w:pPr>
      <w:r>
        <w:rPr>
          <w:rFonts w:ascii="Arial" w:cs="Arial" w:eastAsia="Arial" w:hAnsi="Arial"/>
          <w:b/>
          <w:bCs/>
          <w:color w:val="002045"/>
          <w:sz w:val="32"/>
          <w:szCs w:val="32"/>
        </w:rPr>
        <w:t xml:space="preserve">7. Data, identity and integrity</w:t>
      </w:r>
    </w:p>
    <w:p>
      <w:pPr>
        <w:spacing w:after="160" w:before="0" w:line="288"/>
      </w:pPr>
      <w:r>
        <w:rPr>
          <w:rFonts w:ascii="Arial" w:cs="Arial" w:eastAsia="Arial" w:hAnsi="Arial"/>
        </w:rPr>
        <w:t xml:space="preserve">This chapter tends to attract the sharpest questions, because an inspection record is legal evidence. The short version: authorisation lives in the database, not in the interface, and inspection records have no write path for any client.</w:t>
      </w:r>
    </w:p>
    <w:p>
      <w:pPr>
        <w:pStyle w:val="Heading2"/>
        <w:spacing w:after="120" w:before="320"/>
      </w:pPr>
      <w:r>
        <w:rPr>
          <w:rFonts w:ascii="Arial" w:cs="Arial" w:eastAsia="Arial" w:hAnsi="Arial"/>
          <w:b/>
          <w:bCs/>
          <w:color w:val="002045"/>
          <w:sz w:val="24"/>
          <w:szCs w:val="24"/>
        </w:rPr>
        <w:t xml:space="preserve">Two tables</w:t>
      </w:r>
    </w:p>
    <w:tbl>
      <w:tblPr>
        <w:tblW w:type="dxa" w:w="9360"/>
        <w:tblBorders>
          <w:top w:val="single" w:color="C8D2DC" w:sz="4"/>
          <w:left w:val="single" w:color="C8D2DC" w:sz="4"/>
          <w:bottom w:val="single" w:color="C8D2DC" w:sz="4"/>
          <w:right w:val="single" w:color="C8D2DC" w:sz="4"/>
          <w:insideH w:val="single" w:color="C8D2DC" w:sz="4"/>
          <w:insideV w:val="single" w:color="C8D2DC" w:sz="4"/>
        </w:tblBorders>
      </w:tblPr>
      <w:tblGrid>
        <w:gridCol w:w="1300"/>
        <w:gridCol w:w="3660"/>
        <w:gridCol w:w="4400"/>
      </w:tblGrid>
      <w:tr>
        <w:trPr>
          <w:tblHeader/>
        </w:trPr>
        <w:tc>
          <w:tcPr>
            <w:tcW w:type="dxa" w:w="13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Table</w:t>
            </w:r>
          </w:p>
        </w:tc>
        <w:tc>
          <w:tcPr>
            <w:tcW w:type="dxa" w:w="3660"/>
            <w:shd w:fill="EDF2F7" w:color="auto" w:val="clear"/>
            <w:tcMar>
              <w:top w:type="dxa" w:w="90"/>
              <w:left w:type="dxa" w:w="130"/>
              <w:bottom w:type="dxa" w:w="90"/>
              <w:right w:type="dxa" w:w="130"/>
            </w:tcMar>
          </w:tcPr>
          <w:p>
            <w:pPr>
              <w:spacing w:after="0" w:line="264"/>
            </w:pPr>
            <w:r>
              <w:rPr>
                <w:rFonts w:ascii="Arial" w:cs="Arial" w:eastAsia="Arial" w:hAnsi="Arial"/>
                <w:b/>
                <w:bCs/>
              </w:rPr>
              <w:t xml:space="preserve">Holds</w:t>
            </w:r>
          </w:p>
        </w:tc>
        <w:tc>
          <w:tcPr>
            <w:tcW w:type="dxa" w:w="44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Client permissions under RLS</w:t>
            </w:r>
          </w:p>
        </w:tc>
      </w:tr>
      <w:tr>
        <w:tc>
          <w:tcPr>
            <w:tcW w:type="dxa" w:w="13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scans</w:t>
            </w:r>
          </w:p>
        </w:tc>
        <w:tc>
          <w:tcPr>
            <w:tcW w:type="dxa" w:w="3660"/>
            <w:tcMar>
              <w:top w:type="dxa" w:w="90"/>
              <w:left w:type="dxa" w:w="130"/>
              <w:bottom w:type="dxa" w:w="90"/>
              <w:right w:type="dxa" w:w="130"/>
            </w:tcMar>
          </w:tcPr>
          <w:p>
            <w:pPr>
              <w:spacing w:after="0" w:line="264"/>
            </w:pPr>
            <w:r>
              <w:rPr>
                <w:rFonts w:ascii="Arial" w:cs="Arial" w:eastAsia="Arial" w:hAnsi="Arial"/>
              </w:rPr>
              <w:t xml:space="preserve">Timestamp, the ordered evidence paths, extracted JSON, violations JSON, advisories JSON, status, category, owner id</w:t>
            </w:r>
          </w:p>
        </w:tc>
        <w:tc>
          <w:tcPr>
            <w:tcW w:type="dxa" w:w="4400"/>
            <w:tcMar>
              <w:top w:type="dxa" w:w="90"/>
              <w:left w:type="dxa" w:w="130"/>
              <w:bottom w:type="dxa" w:w="90"/>
              <w:right w:type="dxa" w:w="130"/>
            </w:tcMar>
          </w:tcPr>
          <w:p>
            <w:pPr>
              <w:spacing w:after="0" w:line="264"/>
            </w:pPr>
            <w:r>
              <w:rPr>
                <w:rFonts w:ascii="Arial" w:cs="Arial" w:eastAsia="Arial" w:hAnsi="Arial"/>
                <w:b/>
                <w:bCs/>
              </w:rPr>
              <w:t xml:space="preserve">Select only</w:t>
            </w:r>
            <w:r>
              <w:rPr>
                <w:rFonts w:ascii="Arial" w:cs="Arial" w:eastAsia="Arial" w:hAnsi="Arial"/>
              </w:rPr>
              <w:t xml:space="preserve"> — your own rows, or every row if you are an admin. There are deliberately no insert, update or delete policies at all.</w:t>
            </w:r>
          </w:p>
        </w:tc>
      </w:tr>
      <w:tr>
        <w:tc>
          <w:tcPr>
            <w:tcW w:type="dxa" w:w="1300"/>
            <w:tcMar>
              <w:top w:type="dxa" w:w="90"/>
              <w:left w:type="dxa" w:w="130"/>
              <w:bottom w:type="dxa" w:w="90"/>
              <w:right w:type="dxa" w:w="130"/>
            </w:tcMar>
          </w:tcPr>
          <w:p>
            <w:pPr>
              <w:spacing w:after="0" w:line="264"/>
            </w:pPr>
            <w:r>
              <w:rPr>
                <w:rFonts w:ascii="Consolas" w:cs="Consolas" w:eastAsia="Consolas" w:hAnsi="Consolas"/>
                <w:color w:val="223344"/>
                <w:sz w:val="19"/>
                <w:szCs w:val="19"/>
              </w:rPr>
              <w:t xml:space="preserve">profiles</w:t>
            </w:r>
          </w:p>
        </w:tc>
        <w:tc>
          <w:tcPr>
            <w:tcW w:type="dxa" w:w="3660"/>
            <w:tcMar>
              <w:top w:type="dxa" w:w="90"/>
              <w:left w:type="dxa" w:w="130"/>
              <w:bottom w:type="dxa" w:w="90"/>
              <w:right w:type="dxa" w:w="130"/>
            </w:tcMar>
          </w:tcPr>
          <w:p>
            <w:pPr>
              <w:spacing w:after="0" w:line="264"/>
            </w:pPr>
            <w:r>
              <w:rPr>
                <w:rFonts w:ascii="Arial" w:cs="Arial" w:eastAsia="Arial" w:hAnsi="Arial"/>
              </w:rPr>
              <w:t xml:space="preserve">One row per user: email, full name, role, status</w:t>
            </w:r>
          </w:p>
        </w:tc>
        <w:tc>
          <w:tcPr>
            <w:tcW w:type="dxa" w:w="4400"/>
            <w:tcMar>
              <w:top w:type="dxa" w:w="90"/>
              <w:left w:type="dxa" w:w="130"/>
              <w:bottom w:type="dxa" w:w="90"/>
              <w:right w:type="dxa" w:w="130"/>
            </w:tcMar>
          </w:tcPr>
          <w:p>
            <w:pPr>
              <w:spacing w:after="0" w:line="264"/>
            </w:pPr>
            <w:r>
              <w:rPr>
                <w:rFonts w:ascii="Arial" w:cs="Arial" w:eastAsia="Arial" w:hAnsi="Arial"/>
              </w:rPr>
              <w:t xml:space="preserve">Read your own; admins read all and may update role, status and name. No client can insert — a database trigger creates the row.</w:t>
            </w:r>
          </w:p>
        </w:tc>
      </w:tr>
    </w:tbl>
    <w:p>
      <w:pPr>
        <w:pStyle w:val="Heading2"/>
        <w:spacing w:after="120" w:before="320"/>
      </w:pPr>
      <w:r>
        <w:rPr>
          <w:rFonts w:ascii="Arial" w:cs="Arial" w:eastAsia="Arial" w:hAnsi="Arial"/>
          <w:b/>
          <w:bCs/>
          <w:color w:val="002045"/>
          <w:sz w:val="24"/>
          <w:szCs w:val="24"/>
        </w:rPr>
        <w:t xml:space="preserve">Why the records are genuinely immutable</w:t>
      </w:r>
    </w:p>
    <w:p>
      <w:pPr>
        <w:spacing w:after="160" w:before="0" w:line="288"/>
      </w:pPr>
      <w:r>
        <w:rPr>
          <w:rFonts w:ascii="Arial" w:cs="Arial" w:eastAsia="Arial" w:hAnsi="Arial"/>
        </w:rPr>
        <w:t xml:space="preserve">Row-level security denies by default: a table with RLS on and no policy for an operation forbids that operation entirely. We wrote a select policy for </w:t>
      </w:r>
      <w:r>
        <w:rPr>
          <w:rFonts w:ascii="Consolas" w:cs="Consolas" w:eastAsia="Consolas" w:hAnsi="Consolas"/>
          <w:color w:val="223344"/>
          <w:sz w:val="19"/>
          <w:szCs w:val="19"/>
        </w:rPr>
        <w:t xml:space="preserve">scans</w:t>
      </w:r>
      <w:r>
        <w:rPr>
          <w:rFonts w:ascii="Arial" w:cs="Arial" w:eastAsia="Arial" w:hAnsi="Arial"/>
        </w:rPr>
        <w:t xml:space="preserve"> and nothing else. So no signed-in user — officer or admin, through our UI or through a hand-crafted request with a stolen anon key — can alter or remove an inspection. Writes happen only through the backend's service-role key, and the backend's only write is an insert. There is no update statement against </w:t>
      </w:r>
      <w:r>
        <w:rPr>
          <w:rFonts w:ascii="Consolas" w:cs="Consolas" w:eastAsia="Consolas" w:hAnsi="Consolas"/>
          <w:color w:val="223344"/>
          <w:sz w:val="19"/>
          <w:szCs w:val="19"/>
        </w:rPr>
        <w:t xml:space="preserve">scans</w:t>
      </w:r>
      <w:r>
        <w:rPr>
          <w:rFonts w:ascii="Arial" w:cs="Arial" w:eastAsia="Arial" w:hAnsi="Arial"/>
        </w:rPr>
        <w:t xml:space="preserve"> anywhere in the codebase.</w:t>
      </w:r>
    </w:p>
    <w:p>
      <w:pPr>
        <w:pStyle w:val="Heading2"/>
        <w:spacing w:after="120" w:before="320"/>
      </w:pPr>
      <w:r>
        <w:rPr>
          <w:rFonts w:ascii="Arial" w:cs="Arial" w:eastAsia="Arial" w:hAnsi="Arial"/>
          <w:b/>
          <w:bCs/>
          <w:color w:val="002045"/>
          <w:sz w:val="24"/>
          <w:szCs w:val="24"/>
        </w:rPr>
        <w:t xml:space="preserve">The two keys, and why it matters</w:t>
      </w:r>
    </w:p>
    <w:p>
      <w:pPr>
        <w:pStyle w:val="ListParagraph"/>
        <w:numPr>
          <w:ilvl w:val="0"/>
          <w:numId w:val="2"/>
        </w:numPr>
        <w:spacing w:after="90" w:line="288"/>
      </w:pPr>
      <w:r>
        <w:rPr>
          <w:rFonts w:ascii="Arial" w:cs="Arial" w:eastAsia="Arial" w:hAnsi="Arial"/>
          <w:b/>
          <w:bCs/>
        </w:rPr>
        <w:t xml:space="preserve">Anon key</w:t>
      </w:r>
      <w:r>
        <w:rPr>
          <w:rFonts w:ascii="Arial" w:cs="Arial" w:eastAsia="Arial" w:hAnsi="Arial"/>
        </w:rPr>
        <w:t xml:space="preserve"> — public by design, shipped inside the browser bundle. On its own it can do nothing except what RLS policies explicitly allow: read your own rows, upload into the evidence bucket.</w:t>
      </w:r>
    </w:p>
    <w:p>
      <w:pPr>
        <w:pStyle w:val="ListParagraph"/>
        <w:numPr>
          <w:ilvl w:val="0"/>
          <w:numId w:val="2"/>
        </w:numPr>
        <w:spacing w:after="90" w:line="288"/>
      </w:pPr>
      <w:r>
        <w:rPr>
          <w:rFonts w:ascii="Arial" w:cs="Arial" w:eastAsia="Arial" w:hAnsi="Arial"/>
          <w:b/>
          <w:bCs/>
        </w:rPr>
        <w:t xml:space="preserve">Service-role key</w:t>
      </w:r>
      <w:r>
        <w:rPr>
          <w:rFonts w:ascii="Arial" w:cs="Arial" w:eastAsia="Arial" w:hAnsi="Arial"/>
        </w:rPr>
        <w:t xml:space="preserve"> — bypasses RLS completely. It exists only as an environment variable on the backend host, is never committed, and never reaches the client. This single split is why the frontend and backend are separate programs at all.</w:t>
      </w:r>
    </w:p>
    <w:p>
      <w:pPr>
        <w:spacing w:after="160" w:before="0" w:line="288"/>
      </w:pPr>
      <w:r>
        <w:rPr>
          <w:rFonts w:ascii="Arial" w:cs="Arial" w:eastAsia="Arial" w:hAnsi="Arial"/>
        </w:rPr>
        <w:t xml:space="preserve">Evidence photographs are read the same way. The app never touches the bucket directly: it asks the backend, which checks the same owner-or-admin rule as the notice and then mints a short-lived signed URL with its service-role key. Nothing about that depends on a storage policy, and the link expires.</w:t>
      </w:r>
    </w:p>
    <w:p>
      <w:pPr>
        <w:pStyle w:val="Heading2"/>
        <w:spacing w:after="120" w:before="320"/>
      </w:pPr>
      <w:r>
        <w:rPr>
          <w:rFonts w:ascii="Arial" w:cs="Arial" w:eastAsia="Arial" w:hAnsi="Arial"/>
          <w:b/>
          <w:bCs/>
          <w:color w:val="002045"/>
          <w:sz w:val="24"/>
          <w:szCs w:val="24"/>
        </w:rPr>
        <w:t xml:space="preserve">Getting in, and getting a role</w:t>
      </w:r>
    </w:p>
    <w:p>
      <w:pPr>
        <w:spacing w:after="160" w:before="0" w:line="288"/>
      </w:pPr>
      <w:r>
        <w:rPr>
          <w:rFonts w:ascii="Arial" w:cs="Arial" w:eastAsia="Arial" w:hAnsi="Arial"/>
        </w:rPr>
        <w:t xml:space="preserve">Sign-in is Google OAuth through Supabase; we never see or store a password. On the very first sign-in a database trigger creates the profile and derives the role from the email address: an explicit administrator allow-list becomes </w:t>
      </w:r>
      <w:r>
        <w:rPr>
          <w:rFonts w:ascii="Consolas" w:cs="Consolas" w:eastAsia="Consolas" w:hAnsi="Consolas"/>
          <w:color w:val="223344"/>
          <w:sz w:val="19"/>
          <w:szCs w:val="19"/>
        </w:rPr>
        <w:t xml:space="preserve">admin</w:t>
      </w:r>
      <w:r>
        <w:rPr>
          <w:rFonts w:ascii="Arial" w:cs="Arial" w:eastAsia="Arial" w:hAnsi="Arial"/>
        </w:rPr>
        <w:t xml:space="preserve">, an institutional domain becomes </w:t>
      </w:r>
      <w:r>
        <w:rPr>
          <w:rFonts w:ascii="Consolas" w:cs="Consolas" w:eastAsia="Consolas" w:hAnsi="Consolas"/>
          <w:color w:val="223344"/>
          <w:sz w:val="19"/>
          <w:szCs w:val="19"/>
        </w:rPr>
        <w:t xml:space="preserve">officer</w:t>
      </w:r>
      <w:r>
        <w:rPr>
          <w:rFonts w:ascii="Arial" w:cs="Arial" w:eastAsia="Arial" w:hAnsi="Arial"/>
        </w:rPr>
        <w:t xml:space="preserve">, and anyone else becomes </w:t>
      </w:r>
      <w:r>
        <w:rPr>
          <w:rFonts w:ascii="Consolas" w:cs="Consolas" w:eastAsia="Consolas" w:hAnsi="Consolas"/>
          <w:color w:val="223344"/>
          <w:sz w:val="19"/>
          <w:szCs w:val="19"/>
        </w:rPr>
        <w:t xml:space="preserve">none</w:t>
      </w:r>
      <w:r>
        <w:rPr>
          <w:rFonts w:ascii="Arial" w:cs="Arial" w:eastAsia="Arial" w:hAnsi="Arial"/>
        </w:rPr>
        <w:t xml:space="preserve"> — signed in, but shown an access-denied screen. An admin can afterwards promote, demote or deactivate anyone from the Users screen, and a deactivated account is refused at the door.</w:t>
      </w:r>
    </w:p>
    <w:p>
      <w:pPr>
        <w:spacing w:after="160" w:before="0" w:line="288"/>
      </w:pPr>
      <w:r>
        <w:rPr>
          <w:rFonts w:ascii="Arial" w:cs="Arial" w:eastAsia="Arial" w:hAnsi="Arial"/>
        </w:rPr>
        <w:t xml:space="preserve">One subtlety worth having ready: the admin check runs through a </w:t>
      </w:r>
      <w:r>
        <w:rPr>
          <w:rFonts w:ascii="Consolas" w:cs="Consolas" w:eastAsia="Consolas" w:hAnsi="Consolas"/>
          <w:color w:val="223344"/>
          <w:sz w:val="19"/>
          <w:szCs w:val="19"/>
        </w:rPr>
        <w:t xml:space="preserve">SECURITY DEFINER</w:t>
      </w:r>
      <w:r>
        <w:rPr>
          <w:rFonts w:ascii="Arial" w:cs="Arial" w:eastAsia="Arial" w:hAnsi="Arial"/>
        </w:rPr>
        <w:t xml:space="preserve"> helper function. Without it, the policy on </w:t>
      </w:r>
      <w:r>
        <w:rPr>
          <w:rFonts w:ascii="Consolas" w:cs="Consolas" w:eastAsia="Consolas" w:hAnsi="Consolas"/>
          <w:color w:val="223344"/>
          <w:sz w:val="19"/>
          <w:szCs w:val="19"/>
        </w:rPr>
        <w:t xml:space="preserve">profiles</w:t>
      </w:r>
      <w:r>
        <w:rPr>
          <w:rFonts w:ascii="Arial" w:cs="Arial" w:eastAsia="Arial" w:hAnsi="Arial"/>
        </w:rPr>
        <w:t xml:space="preserve"> would have to read </w:t>
      </w:r>
      <w:r>
        <w:rPr>
          <w:rFonts w:ascii="Consolas" w:cs="Consolas" w:eastAsia="Consolas" w:hAnsi="Consolas"/>
          <w:color w:val="223344"/>
          <w:sz w:val="19"/>
          <w:szCs w:val="19"/>
        </w:rPr>
        <w:t xml:space="preserve">profiles</w:t>
      </w:r>
      <w:r>
        <w:rPr>
          <w:rFonts w:ascii="Arial" w:cs="Arial" w:eastAsia="Arial" w:hAnsi="Arial"/>
        </w:rPr>
        <w:t xml:space="preserve"> to decide whether you may read </w:t>
      </w:r>
      <w:r>
        <w:rPr>
          <w:rFonts w:ascii="Consolas" w:cs="Consolas" w:eastAsia="Consolas" w:hAnsi="Consolas"/>
          <w:color w:val="223344"/>
          <w:sz w:val="19"/>
          <w:szCs w:val="19"/>
        </w:rPr>
        <w:t xml:space="preserve">profiles</w:t>
      </w:r>
      <w:r>
        <w:rPr>
          <w:rFonts w:ascii="Arial" w:cs="Arial" w:eastAsia="Arial" w:hAnsi="Arial"/>
        </w:rPr>
        <w:t xml:space="preserve"> — an infinite recursion. The helper is the standard fix.</w:t>
      </w:r>
    </w:p>
    <w:p>
      <w:pPr>
        <w:pStyle w:val="Heading2"/>
        <w:spacing w:after="120" w:before="320"/>
      </w:pPr>
      <w:r>
        <w:rPr>
          <w:rFonts w:ascii="Arial" w:cs="Arial" w:eastAsia="Arial" w:hAnsi="Arial"/>
          <w:b/>
          <w:bCs/>
          <w:color w:val="002045"/>
          <w:sz w:val="24"/>
          <w:szCs w:val="24"/>
        </w:rPr>
        <w:t xml:space="preserve">Separation of duties</w:t>
      </w:r>
    </w:p>
    <w:p>
      <w:pPr>
        <w:spacing w:after="160" w:before="0" w:line="288"/>
      </w:pPr>
      <w:r>
        <w:rPr>
          <w:rFonts w:ascii="Arial" w:cs="Arial" w:eastAsia="Arial" w:hAnsi="Arial"/>
        </w:rPr>
        <w:t xml:space="preserve">Admins supervise; they do not inspect. The scan routes redirect an admin away even on a direct URL, so the audit trail can never contain an inspection filed by the person who oversees the inspectors. Officers, symmetrically, cannot reach user management. Both boundaries exist in the router and in the database.</w:t>
      </w:r>
    </w:p>
    <w:p>
      <w:pPr>
        <w:pStyle w:val="Heading1"/>
        <w:pBdr>
          <w:bottom w:val="single" w:color="002045" w:sz="8" w:space="6"/>
        </w:pBdr>
        <w:spacing w:after="180" w:before="420"/>
      </w:pPr>
      <w:r>
        <w:rPr>
          <w:rFonts w:ascii="Arial" w:cs="Arial" w:eastAsia="Arial" w:hAnsi="Arial"/>
          <w:b/>
          <w:bCs/>
          <w:color w:val="002045"/>
          <w:sz w:val="32"/>
          <w:szCs w:val="32"/>
        </w:rPr>
        <w:t xml:space="preserve">8. The Improvement Notice</w:t>
      </w:r>
    </w:p>
    <w:p>
      <w:pPr>
        <w:spacing w:after="160" w:before="0" w:line="288"/>
      </w:pPr>
      <w:r>
        <w:rPr>
          <w:rFonts w:ascii="Arial" w:cs="Arial" w:eastAsia="Arial" w:hAnsi="Arial"/>
        </w:rPr>
        <w:t xml:space="preserve">The reason this project ends in a document rather than a dashboard: an improvement notice is the actual first instrument of Legal Metrology enforcement. Producing one is what makes the tool usable at the point of inspection instead of afterwards, at a desk.</w:t>
      </w:r>
    </w:p>
    <w:p>
      <w:pPr>
        <w:spacing w:after="160" w:before="0" w:line="288"/>
      </w:pPr>
      <w:r>
        <w:rPr>
          <w:rFonts w:ascii="Arial" w:cs="Arial" w:eastAsia="Arial" w:hAnsi="Arial"/>
        </w:rPr>
        <w:t xml:space="preserve">An A4 portrait PDF is rendered on demand from a stored record and carries a reference number, the inspection date and the officer's name, the extracted declarations, a verdict block colour-coded green or red, a table of every violation against its rule citation, a separate section for any advisories, every evidence photograph, and a stated compliance period of thirty days.</w:t>
      </w:r>
    </w:p>
    <w:p>
      <w:pPr>
        <w:pStyle w:val="Heading2"/>
        <w:spacing w:after="120" w:before="320"/>
      </w:pPr>
      <w:r>
        <w:rPr>
          <w:rFonts w:ascii="Arial" w:cs="Arial" w:eastAsia="Arial" w:hAnsi="Arial"/>
          <w:b/>
          <w:bCs/>
          <w:color w:val="002045"/>
          <w:sz w:val="24"/>
          <w:szCs w:val="24"/>
        </w:rPr>
        <w:t xml:space="preserve">How it is built</w:t>
      </w:r>
    </w:p>
    <w:p>
      <w:pPr>
        <w:pStyle w:val="ListParagraph"/>
        <w:numPr>
          <w:ilvl w:val="0"/>
          <w:numId w:val="2"/>
        </w:numPr>
        <w:spacing w:after="90" w:line="288"/>
      </w:pPr>
      <w:r>
        <w:rPr>
          <w:rFonts w:ascii="Arial" w:cs="Arial" w:eastAsia="Arial" w:hAnsi="Arial"/>
        </w:rPr>
        <w:t xml:space="preserve">A Jinja2 HTML template converted by </w:t>
      </w:r>
      <w:r>
        <w:rPr>
          <w:rFonts w:ascii="Arial" w:cs="Arial" w:eastAsia="Arial" w:hAnsi="Arial"/>
          <w:b/>
          <w:bCs/>
        </w:rPr>
        <w:t xml:space="preserve">xhtml2pdf</w:t>
      </w:r>
      <w:r>
        <w:rPr>
          <w:rFonts w:ascii="Arial" w:cs="Arial" w:eastAsia="Arial" w:hAnsi="Arial"/>
        </w:rPr>
        <w:t xml:space="preserve"> — pure Python with no native system libraries, which is why it builds unchanged on a Windows laptop and on Render's free tier. The trade-off is an older CSS dialect: table-based layout, no flexbox or grid.</w:t>
      </w:r>
    </w:p>
    <w:p>
      <w:pPr>
        <w:pStyle w:val="ListParagraph"/>
        <w:numPr>
          <w:ilvl w:val="0"/>
          <w:numId w:val="2"/>
        </w:numPr>
        <w:spacing w:after="90" w:line="288"/>
      </w:pPr>
      <w:r>
        <w:rPr>
          <w:rFonts w:ascii="Arial" w:cs="Arial" w:eastAsia="Arial" w:hAnsi="Arial"/>
        </w:rPr>
        <w:t xml:space="preserve">Evidence photographs are downscaled with Pillow and embedded as base64 data URIs, so the PDF is a single self-contained file with no external image requests and no expiring links.</w:t>
      </w:r>
    </w:p>
    <w:p>
      <w:pPr>
        <w:pStyle w:val="ListParagraph"/>
        <w:numPr>
          <w:ilvl w:val="0"/>
          <w:numId w:val="2"/>
        </w:numPr>
        <w:spacing w:after="90" w:line="288"/>
      </w:pPr>
      <w:r>
        <w:rPr>
          <w:rFonts w:ascii="Arial" w:cs="Arial" w:eastAsia="Arial" w:hAnsi="Arial"/>
        </w:rPr>
        <w:t xml:space="preserve">Generation is strictly read-only. It reads the immutable record and writes nothing back, so the same scan produces the same notice today and in a year.</w:t>
      </w:r>
    </w:p>
    <w:p>
      <w:pPr>
        <w:pStyle w:val="ListParagraph"/>
        <w:numPr>
          <w:ilvl w:val="0"/>
          <w:numId w:val="2"/>
        </w:numPr>
        <w:spacing w:after="90" w:line="288"/>
      </w:pPr>
      <w:r>
        <w:rPr>
          <w:rFonts w:ascii="Arial" w:cs="Arial" w:eastAsia="Arial" w:hAnsi="Arial"/>
        </w:rPr>
        <w:t xml:space="preserve">Access is checked twice: a valid token, and then ownership — only the officer who filed the scan or an admin can download its notice.</w:t>
      </w:r>
    </w:p>
    <w:p>
      <w:pPr>
        <w:spacing w:after="160" w:before="0" w:line="288"/>
      </w:pPr>
      <w:r>
        <w:rPr>
          <w:rFonts w:ascii="Arial" w:cs="Arial" w:eastAsia="Arial" w:hAnsi="Arial"/>
        </w:rPr>
        <w:t xml:space="preserve">A compliant package still produces a notice, with a green verdict block and a clean bill of health instead of a violation table. That matters in the field: the officer has something to hand over either way.</w:t>
      </w:r>
    </w:p>
    <w:p>
      <w:pPr>
        <w:pStyle w:val="Heading1"/>
        <w:pBdr>
          <w:bottom w:val="single" w:color="002045" w:sz="8" w:space="6"/>
        </w:pBdr>
        <w:spacing w:after="180" w:before="420"/>
      </w:pPr>
      <w:r>
        <w:rPr>
          <w:rFonts w:ascii="Arial" w:cs="Arial" w:eastAsia="Arial" w:hAnsi="Arial"/>
          <w:b/>
          <w:bCs/>
          <w:color w:val="002045"/>
          <w:sz w:val="32"/>
          <w:szCs w:val="32"/>
        </w:rPr>
        <w:t xml:space="preserve">9. Deployment and operations</w:t>
      </w:r>
    </w:p>
    <w:tbl>
      <w:tblPr>
        <w:tblW w:type="dxa" w:w="9360"/>
        <w:tblBorders>
          <w:top w:val="single" w:color="C8D2DC" w:sz="4"/>
          <w:left w:val="single" w:color="C8D2DC" w:sz="4"/>
          <w:bottom w:val="single" w:color="C8D2DC" w:sz="4"/>
          <w:right w:val="single" w:color="C8D2DC" w:sz="4"/>
          <w:insideH w:val="single" w:color="C8D2DC" w:sz="4"/>
          <w:insideV w:val="single" w:color="C8D2DC" w:sz="4"/>
        </w:tblBorders>
      </w:tblPr>
      <w:tblGrid>
        <w:gridCol w:w="1900"/>
        <w:gridCol w:w="1800"/>
        <w:gridCol w:w="5660"/>
      </w:tblGrid>
      <w:tr>
        <w:trPr>
          <w:tblHeader/>
        </w:trPr>
        <w:tc>
          <w:tcPr>
            <w:tcW w:type="dxa" w:w="19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Piece</w:t>
            </w:r>
          </w:p>
        </w:tc>
        <w:tc>
          <w:tcPr>
            <w:tcW w:type="dxa" w:w="18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Where</w:t>
            </w:r>
          </w:p>
        </w:tc>
        <w:tc>
          <w:tcPr>
            <w:tcW w:type="dxa" w:w="5660"/>
            <w:shd w:fill="EDF2F7" w:color="auto" w:val="clear"/>
            <w:tcMar>
              <w:top w:type="dxa" w:w="90"/>
              <w:left w:type="dxa" w:w="130"/>
              <w:bottom w:type="dxa" w:w="90"/>
              <w:right w:type="dxa" w:w="130"/>
            </w:tcMar>
          </w:tcPr>
          <w:p>
            <w:pPr>
              <w:spacing w:after="0" w:line="264"/>
            </w:pPr>
            <w:r>
              <w:rPr>
                <w:rFonts w:ascii="Arial" w:cs="Arial" w:eastAsia="Arial" w:hAnsi="Arial"/>
                <w:b/>
                <w:bCs/>
              </w:rPr>
              <w:t xml:space="preserve">Notes</w:t>
            </w:r>
          </w:p>
        </w:tc>
      </w:tr>
      <w:tr>
        <w:tc>
          <w:tcPr>
            <w:tcW w:type="dxa" w:w="1900"/>
            <w:tcMar>
              <w:top w:type="dxa" w:w="90"/>
              <w:left w:type="dxa" w:w="130"/>
              <w:bottom w:type="dxa" w:w="90"/>
              <w:right w:type="dxa" w:w="130"/>
            </w:tcMar>
          </w:tcPr>
          <w:p>
            <w:pPr>
              <w:spacing w:after="0" w:line="264"/>
            </w:pPr>
            <w:r>
              <w:rPr>
                <w:rFonts w:ascii="Arial" w:cs="Arial" w:eastAsia="Arial" w:hAnsi="Arial"/>
              </w:rPr>
              <w:t xml:space="preserve">React SPA</w:t>
            </w:r>
          </w:p>
        </w:tc>
        <w:tc>
          <w:tcPr>
            <w:tcW w:type="dxa" w:w="1800"/>
            <w:tcMar>
              <w:top w:type="dxa" w:w="90"/>
              <w:left w:type="dxa" w:w="130"/>
              <w:bottom w:type="dxa" w:w="90"/>
              <w:right w:type="dxa" w:w="130"/>
            </w:tcMar>
          </w:tcPr>
          <w:p>
            <w:pPr>
              <w:spacing w:after="0" w:line="264"/>
            </w:pPr>
            <w:r>
              <w:rPr>
                <w:rFonts w:ascii="Arial" w:cs="Arial" w:eastAsia="Arial" w:hAnsi="Arial"/>
              </w:rPr>
              <w:t xml:space="preserve">Vercel</w:t>
            </w:r>
          </w:p>
        </w:tc>
        <w:tc>
          <w:tcPr>
            <w:tcW w:type="dxa" w:w="5660"/>
            <w:tcMar>
              <w:top w:type="dxa" w:w="90"/>
              <w:left w:type="dxa" w:w="130"/>
              <w:bottom w:type="dxa" w:w="90"/>
              <w:right w:type="dxa" w:w="130"/>
            </w:tcMar>
          </w:tcPr>
          <w:p>
            <w:pPr>
              <w:spacing w:after="0" w:line="264"/>
            </w:pPr>
            <w:r>
              <w:rPr>
                <w:rFonts w:ascii="Arial" w:cs="Arial" w:eastAsia="Arial" w:hAnsi="Arial"/>
              </w:rPr>
              <w:t xml:space="preserve">Root directory </w:t>
            </w:r>
            <w:r>
              <w:rPr>
                <w:rFonts w:ascii="Consolas" w:cs="Consolas" w:eastAsia="Consolas" w:hAnsi="Consolas"/>
                <w:color w:val="223344"/>
                <w:sz w:val="19"/>
                <w:szCs w:val="19"/>
              </w:rPr>
              <w:t xml:space="preserve">frontend</w:t>
            </w:r>
            <w:r>
              <w:rPr>
                <w:rFonts w:ascii="Arial" w:cs="Arial" w:eastAsia="Arial" w:hAnsi="Arial"/>
              </w:rPr>
              <w:t xml:space="preserve">, Vite build to </w:t>
            </w:r>
            <w:r>
              <w:rPr>
                <w:rFonts w:ascii="Consolas" w:cs="Consolas" w:eastAsia="Consolas" w:hAnsi="Consolas"/>
                <w:color w:val="223344"/>
                <w:sz w:val="19"/>
                <w:szCs w:val="19"/>
              </w:rPr>
              <w:t xml:space="preserve">dist</w:t>
            </w:r>
            <w:r>
              <w:rPr>
                <w:rFonts w:ascii="Arial" w:cs="Arial" w:eastAsia="Arial" w:hAnsi="Arial"/>
              </w:rPr>
              <w:t xml:space="preserve">. A rewrite config keeps deep links working on refresh. Environment variables are baked in at build time, so changing one needs a redeploy.</w:t>
            </w:r>
          </w:p>
        </w:tc>
      </w:tr>
      <w:tr>
        <w:tc>
          <w:tcPr>
            <w:tcW w:type="dxa" w:w="1900"/>
            <w:tcMar>
              <w:top w:type="dxa" w:w="90"/>
              <w:left w:type="dxa" w:w="130"/>
              <w:bottom w:type="dxa" w:w="90"/>
              <w:right w:type="dxa" w:w="130"/>
            </w:tcMar>
          </w:tcPr>
          <w:p>
            <w:pPr>
              <w:spacing w:after="0" w:line="264"/>
            </w:pPr>
            <w:r>
              <w:rPr>
                <w:rFonts w:ascii="Arial" w:cs="Arial" w:eastAsia="Arial" w:hAnsi="Arial"/>
              </w:rPr>
              <w:t xml:space="preserve">FastAPI</w:t>
            </w:r>
          </w:p>
        </w:tc>
        <w:tc>
          <w:tcPr>
            <w:tcW w:type="dxa" w:w="1800"/>
            <w:tcMar>
              <w:top w:type="dxa" w:w="90"/>
              <w:left w:type="dxa" w:w="130"/>
              <w:bottom w:type="dxa" w:w="90"/>
              <w:right w:type="dxa" w:w="130"/>
            </w:tcMar>
          </w:tcPr>
          <w:p>
            <w:pPr>
              <w:spacing w:after="0" w:line="264"/>
            </w:pPr>
            <w:r>
              <w:rPr>
                <w:rFonts w:ascii="Arial" w:cs="Arial" w:eastAsia="Arial" w:hAnsi="Arial"/>
              </w:rPr>
              <w:t xml:space="preserve">Render, free plan</w:t>
            </w:r>
          </w:p>
        </w:tc>
        <w:tc>
          <w:tcPr>
            <w:tcW w:type="dxa" w:w="5660"/>
            <w:tcMar>
              <w:top w:type="dxa" w:w="90"/>
              <w:left w:type="dxa" w:w="130"/>
              <w:bottom w:type="dxa" w:w="90"/>
              <w:right w:type="dxa" w:w="130"/>
            </w:tcMar>
          </w:tcPr>
          <w:p>
            <w:pPr>
              <w:spacing w:after="0" w:line="264"/>
            </w:pPr>
            <w:r>
              <w:rPr>
                <w:rFonts w:ascii="Arial" w:cs="Arial" w:eastAsia="Arial" w:hAnsi="Arial"/>
              </w:rPr>
              <w:t xml:space="preserve">Declared in </w:t>
            </w:r>
            <w:r>
              <w:rPr>
                <w:rFonts w:ascii="Consolas" w:cs="Consolas" w:eastAsia="Consolas" w:hAnsi="Consolas"/>
                <w:color w:val="223344"/>
                <w:sz w:val="19"/>
                <w:szCs w:val="19"/>
              </w:rPr>
              <w:t xml:space="preserve">render.yaml</w:t>
            </w:r>
            <w:r>
              <w:rPr>
                <w:rFonts w:ascii="Arial" w:cs="Arial" w:eastAsia="Arial" w:hAnsi="Arial"/>
              </w:rPr>
              <w:t xml:space="preserve"> as a blueprint — runtime, Python version, build and start commands and the health-check path are all in version control. Secrets are marked </w:t>
            </w:r>
            <w:r>
              <w:rPr>
                <w:rFonts w:ascii="Consolas" w:cs="Consolas" w:eastAsia="Consolas" w:hAnsi="Consolas"/>
                <w:color w:val="223344"/>
                <w:sz w:val="19"/>
                <w:szCs w:val="19"/>
              </w:rPr>
              <w:t xml:space="preserve">sync: false</w:t>
            </w:r>
            <w:r>
              <w:rPr>
                <w:rFonts w:ascii="Arial" w:cs="Arial" w:eastAsia="Arial" w:hAnsi="Arial"/>
              </w:rPr>
              <w:t xml:space="preserve"> and typed into the dashboard, never committed.</w:t>
            </w:r>
          </w:p>
        </w:tc>
      </w:tr>
      <w:tr>
        <w:tc>
          <w:tcPr>
            <w:tcW w:type="dxa" w:w="1900"/>
            <w:tcMar>
              <w:top w:type="dxa" w:w="90"/>
              <w:left w:type="dxa" w:w="130"/>
              <w:bottom w:type="dxa" w:w="90"/>
              <w:right w:type="dxa" w:w="130"/>
            </w:tcMar>
          </w:tcPr>
          <w:p>
            <w:pPr>
              <w:spacing w:after="0" w:line="264"/>
            </w:pPr>
            <w:r>
              <w:rPr>
                <w:rFonts w:ascii="Arial" w:cs="Arial" w:eastAsia="Arial" w:hAnsi="Arial"/>
              </w:rPr>
              <w:t xml:space="preserve">Postgres, Auth, Storage</w:t>
            </w:r>
          </w:p>
        </w:tc>
        <w:tc>
          <w:tcPr>
            <w:tcW w:type="dxa" w:w="1800"/>
            <w:tcMar>
              <w:top w:type="dxa" w:w="90"/>
              <w:left w:type="dxa" w:w="130"/>
              <w:bottom w:type="dxa" w:w="90"/>
              <w:right w:type="dxa" w:w="130"/>
            </w:tcMar>
          </w:tcPr>
          <w:p>
            <w:pPr>
              <w:spacing w:after="0" w:line="264"/>
            </w:pPr>
            <w:r>
              <w:rPr>
                <w:rFonts w:ascii="Arial" w:cs="Arial" w:eastAsia="Arial" w:hAnsi="Arial"/>
              </w:rPr>
              <w:t xml:space="preserve">Supabase</w:t>
            </w:r>
          </w:p>
        </w:tc>
        <w:tc>
          <w:tcPr>
            <w:tcW w:type="dxa" w:w="5660"/>
            <w:tcMar>
              <w:top w:type="dxa" w:w="90"/>
              <w:left w:type="dxa" w:w="130"/>
              <w:bottom w:type="dxa" w:w="90"/>
              <w:right w:type="dxa" w:w="130"/>
            </w:tcMar>
          </w:tcPr>
          <w:p>
            <w:pPr>
              <w:spacing w:after="0" w:line="264"/>
            </w:pPr>
            <w:r>
              <w:rPr>
                <w:rFonts w:ascii="Arial" w:cs="Arial" w:eastAsia="Arial" w:hAnsi="Arial"/>
              </w:rPr>
              <w:t xml:space="preserve">The entire schema, trigger set and every RLS policy live in one idempotent SQL file that can be re-run safely.</w:t>
            </w:r>
          </w:p>
        </w:tc>
      </w:tr>
    </w:tbl>
    <w:p>
      <w:pPr>
        <w:pStyle w:val="Heading2"/>
        <w:spacing w:after="120" w:before="320"/>
      </w:pPr>
      <w:r>
        <w:rPr>
          <w:rFonts w:ascii="Arial" w:cs="Arial" w:eastAsia="Arial" w:hAnsi="Arial"/>
          <w:b/>
          <w:bCs/>
          <w:color w:val="002045"/>
          <w:sz w:val="24"/>
          <w:szCs w:val="24"/>
        </w:rPr>
        <w:t xml:space="preserve">Operational facts to have ready</w:t>
      </w:r>
    </w:p>
    <w:p>
      <w:pPr>
        <w:pStyle w:val="ListParagraph"/>
        <w:numPr>
          <w:ilvl w:val="0"/>
          <w:numId w:val="2"/>
        </w:numPr>
        <w:spacing w:after="90" w:line="288"/>
      </w:pPr>
      <w:r>
        <w:rPr>
          <w:rFonts w:ascii="Arial" w:cs="Arial" w:eastAsia="Arial" w:hAnsi="Arial"/>
          <w:b/>
          <w:bCs/>
        </w:rPr>
        <w:t xml:space="preserve">Cold starts.</w:t>
      </w:r>
      <w:r>
        <w:rPr>
          <w:rFonts w:ascii="Arial" w:cs="Arial" w:eastAsia="Arial" w:hAnsi="Arial"/>
        </w:rPr>
        <w:t xml:space="preserve"> The free Render instance sleeps after about fifteen minutes idle and takes roughly fifty seconds to wake. Before any demo, hit </w:t>
      </w:r>
      <w:r>
        <w:rPr>
          <w:rFonts w:ascii="Consolas" w:cs="Consolas" w:eastAsia="Consolas" w:hAnsi="Consolas"/>
          <w:color w:val="223344"/>
          <w:sz w:val="19"/>
          <w:szCs w:val="19"/>
        </w:rPr>
        <w:t xml:space="preserve">/health</w:t>
      </w:r>
      <w:r>
        <w:rPr>
          <w:rFonts w:ascii="Arial" w:cs="Arial" w:eastAsia="Arial" w:hAnsi="Arial"/>
        </w:rPr>
        <w:t xml:space="preserve"> to warm it. If a scan is slow live, say "that is the free tier waking up" — it is true and it is fixable with a paid plan.</w:t>
      </w:r>
    </w:p>
    <w:p>
      <w:pPr>
        <w:pStyle w:val="ListParagraph"/>
        <w:numPr>
          <w:ilvl w:val="0"/>
          <w:numId w:val="2"/>
        </w:numPr>
        <w:spacing w:after="90" w:line="288"/>
      </w:pPr>
      <w:r>
        <w:rPr>
          <w:rFonts w:ascii="Arial" w:cs="Arial" w:eastAsia="Arial" w:hAnsi="Arial"/>
          <w:b/>
          <w:bCs/>
        </w:rPr>
        <w:t xml:space="preserve">CORS is an explicit allow-list.</w:t>
      </w:r>
      <w:r>
        <w:rPr>
          <w:rFonts w:ascii="Arial" w:cs="Arial" w:eastAsia="Arial" w:hAnsi="Arial"/>
        </w:rPr>
        <w:t xml:space="preserve"> Origins come from a comma-separated environment variable, so the deployed frontend is named rather than a wildcard.</w:t>
      </w:r>
    </w:p>
    <w:p>
      <w:pPr>
        <w:pStyle w:val="ListParagraph"/>
        <w:numPr>
          <w:ilvl w:val="0"/>
          <w:numId w:val="2"/>
        </w:numPr>
        <w:spacing w:after="90" w:line="288"/>
      </w:pPr>
      <w:r>
        <w:rPr>
          <w:rFonts w:ascii="Arial" w:cs="Arial" w:eastAsia="Arial" w:hAnsi="Arial"/>
          <w:b/>
          <w:bCs/>
        </w:rPr>
        <w:t xml:space="preserve">Swapping the model is a configuration change.</w:t>
      </w:r>
      <w:r>
        <w:rPr>
          <w:rFonts w:ascii="Arial" w:cs="Arial" w:eastAsia="Arial" w:hAnsi="Arial"/>
        </w:rPr>
        <w:t xml:space="preserve"> </w:t>
      </w:r>
      <w:r>
        <w:rPr>
          <w:rFonts w:ascii="Consolas" w:cs="Consolas" w:eastAsia="Consolas" w:hAnsi="Consolas"/>
          <w:color w:val="223344"/>
          <w:sz w:val="19"/>
          <w:szCs w:val="19"/>
        </w:rPr>
        <w:t xml:space="preserve">GEMINI_MODEL</w:t>
      </w:r>
      <w:r>
        <w:rPr>
          <w:rFonts w:ascii="Arial" w:cs="Arial" w:eastAsia="Arial" w:hAnsi="Arial"/>
        </w:rPr>
        <w:t xml:space="preserve"> is an environment variable; moving to a larger model for accuracy, or a cheaper one for cost, needs no code change and no redeploy of the frontend.</w:t>
      </w:r>
    </w:p>
    <w:p>
      <w:pPr>
        <w:pStyle w:val="ListParagraph"/>
        <w:numPr>
          <w:ilvl w:val="0"/>
          <w:numId w:val="2"/>
        </w:numPr>
        <w:spacing w:after="90" w:line="288"/>
      </w:pPr>
      <w:r>
        <w:rPr>
          <w:rFonts w:ascii="Arial" w:cs="Arial" w:eastAsia="Arial" w:hAnsi="Arial"/>
          <w:b/>
          <w:bCs/>
        </w:rPr>
        <w:t xml:space="preserve">Nothing is scheduled or queued.</w:t>
      </w:r>
      <w:r>
        <w:rPr>
          <w:rFonts w:ascii="Arial" w:cs="Arial" w:eastAsia="Arial" w:hAnsi="Arial"/>
        </w:rPr>
        <w:t xml:space="preserve"> A scan is one synchronous request. Be straight about it — the honest scaling answer is in chapter 11.</w:t>
      </w:r>
    </w:p>
    <w:p>
      <w:r>
        <w:br w:type="page"/>
      </w:r>
    </w:p>
    <w:p>
      <w:pPr>
        <w:pStyle w:val="Heading1"/>
        <w:pBdr>
          <w:bottom w:val="single" w:color="002045" w:sz="8" w:space="6"/>
        </w:pBdr>
        <w:spacing w:after="180" w:before="420"/>
      </w:pPr>
      <w:r>
        <w:rPr>
          <w:rFonts w:ascii="Arial" w:cs="Arial" w:eastAsia="Arial" w:hAnsi="Arial"/>
          <w:b/>
          <w:bCs/>
          <w:color w:val="002045"/>
          <w:sz w:val="32"/>
          <w:szCs w:val="32"/>
        </w:rPr>
        <w:t xml:space="preserve">10. The question bank</w:t>
      </w:r>
    </w:p>
    <w:p>
      <w:pPr>
        <w:spacing w:after="160" w:before="0" w:line="288"/>
      </w:pPr>
      <w:r>
        <w:rPr>
          <w:rFonts w:ascii="Arial" w:cs="Arial" w:eastAsia="Arial" w:hAnsi="Arial"/>
        </w:rPr>
        <w:t xml:space="preserve">Thirty-nine questions, grouped by where they come from. Each answer is short enough to say out loud. Where an indented italic line appears, that is the sentence to actually use.</w:t>
      </w:r>
    </w:p>
    <w:p>
      <w:pPr>
        <w:pStyle w:val="Heading2"/>
        <w:spacing w:after="120" w:before="320"/>
      </w:pPr>
      <w:r>
        <w:rPr>
          <w:rFonts w:ascii="Arial" w:cs="Arial" w:eastAsia="Arial" w:hAnsi="Arial"/>
          <w:b/>
          <w:bCs/>
          <w:color w:val="002045"/>
          <w:sz w:val="24"/>
          <w:szCs w:val="24"/>
        </w:rPr>
        <w:t xml:space="preserve">Architecture and engineering</w:t>
      </w:r>
    </w:p>
    <w:p>
      <w:pPr>
        <w:keepNext/>
        <w:spacing w:after="90" w:before="260"/>
      </w:pPr>
      <w:r>
        <w:rPr>
          <w:rFonts w:ascii="Arial" w:cs="Arial" w:eastAsia="Arial" w:hAnsi="Arial"/>
          <w:b/>
          <w:bCs/>
          <w:color w:val="141C24"/>
          <w:sz w:val="22"/>
          <w:szCs w:val="22"/>
        </w:rPr>
        <w:t xml:space="preserve">Why two programs? Why not one app?</w:t>
      </w:r>
    </w:p>
    <w:p>
      <w:pPr>
        <w:spacing w:after="110" w:before="0" w:line="288"/>
      </w:pPr>
      <w:r>
        <w:rPr>
          <w:rFonts w:ascii="Arial" w:cs="Arial" w:eastAsia="Arial" w:hAnsi="Arial"/>
        </w:rPr>
        <w:t xml:space="preserve">Because of two secrets. The Gemini key and the Supabase service-role key must never be in a browser bundle — anything shipped to a browser is public, no matter how it is minified. The backend exists to be the one place those keys live, and therefore the one place inspection records can be written.</w:t>
      </w:r>
    </w:p>
    <w:p>
      <w:pPr>
        <w:pBdr>
          <w:left w:val="single" w:color="C8D2DC" w:sz="12" w:space="10"/>
        </w:pBdr>
        <w:spacing w:after="200" w:before="60" w:line="288"/>
        <w:ind w:left="360"/>
      </w:pPr>
      <w:r>
        <w:rPr>
          <w:rFonts w:ascii="Arial" w:cs="Arial" w:eastAsia="Arial" w:hAnsi="Arial"/>
          <w:i/>
          <w:iCs/>
          <w:color w:val="002045"/>
        </w:rPr>
        <w:t xml:space="preserve">"The split is not architectural fashion — it is the boundary between what a user can hold and what only the server can hold."</w:t>
      </w:r>
    </w:p>
    <w:p>
      <w:pPr>
        <w:keepNext/>
        <w:spacing w:after="90" w:before="260"/>
      </w:pPr>
      <w:r>
        <w:rPr>
          <w:rFonts w:ascii="Arial" w:cs="Arial" w:eastAsia="Arial" w:hAnsi="Arial"/>
          <w:b/>
          <w:bCs/>
          <w:color w:val="141C24"/>
          <w:sz w:val="22"/>
          <w:szCs w:val="22"/>
        </w:rPr>
        <w:t xml:space="preserve">Why FastAPI rather than Node or Django?</w:t>
      </w:r>
    </w:p>
    <w:p>
      <w:pPr>
        <w:spacing w:after="110" w:before="0" w:line="288"/>
      </w:pPr>
      <w:r>
        <w:rPr>
          <w:rFonts w:ascii="Arial" w:cs="Arial" w:eastAsia="Arial" w:hAnsi="Arial"/>
        </w:rPr>
        <w:t xml:space="preserve">Three reasons. The AI SDK and the imaging libraries are Python-first. Pydantic models do double duty — they validate our API and they </w:t>
      </w:r>
      <w:r>
        <w:rPr>
          <w:rFonts w:ascii="Arial" w:cs="Arial" w:eastAsia="Arial" w:hAnsi="Arial"/>
          <w:i/>
          <w:iCs/>
        </w:rPr>
        <w:t xml:space="preserve">are</w:t>
      </w:r>
      <w:r>
        <w:rPr>
          <w:rFonts w:ascii="Arial" w:cs="Arial" w:eastAsia="Arial" w:hAnsi="Arial"/>
        </w:rPr>
        <w:t xml:space="preserve"> the schema handed to Gemini, so there is one definition of a label instead of two that can drift. And the interactive OpenAPI docs come free, which matters when a second developer joins.</w:t>
      </w:r>
    </w:p>
    <w:p>
      <w:pPr>
        <w:keepNext/>
        <w:spacing w:after="90" w:before="260"/>
      </w:pPr>
      <w:r>
        <w:rPr>
          <w:rFonts w:ascii="Arial" w:cs="Arial" w:eastAsia="Arial" w:hAnsi="Arial"/>
          <w:b/>
          <w:bCs/>
          <w:color w:val="141C24"/>
          <w:sz w:val="22"/>
          <w:szCs w:val="22"/>
        </w:rPr>
        <w:t xml:space="preserve">Why does the browser upload photos directly to storage instead of sending them to your API?</w:t>
      </w:r>
    </w:p>
    <w:p>
      <w:pPr>
        <w:spacing w:after="110" w:before="0" w:line="288"/>
      </w:pPr>
      <w:r>
        <w:rPr>
          <w:rFonts w:ascii="Arial" w:cs="Arial" w:eastAsia="Arial" w:hAnsi="Arial"/>
        </w:rPr>
        <w:t xml:space="preserve">It avoids moving several megabytes of image twice — once to us, once to storage. The API request stays small JSON, our free-tier backend never handles multipart uploads, and the upload is governed by a storage policy rather than by our code. The backend then pulls the bytes from storage, which it must do anyway to send them to Gemini.</w:t>
      </w:r>
    </w:p>
    <w:p>
      <w:pPr>
        <w:keepNext/>
        <w:spacing w:after="90" w:before="260"/>
      </w:pPr>
      <w:r>
        <w:rPr>
          <w:rFonts w:ascii="Arial" w:cs="Arial" w:eastAsia="Arial" w:hAnsi="Arial"/>
          <w:b/>
          <w:bCs/>
          <w:color w:val="141C24"/>
          <w:sz w:val="22"/>
          <w:szCs w:val="22"/>
        </w:rPr>
        <w:t xml:space="preserve">What happens if the backend is down mid-scan?</w:t>
      </w:r>
    </w:p>
    <w:p>
      <w:pPr>
        <w:spacing w:after="110" w:before="0" w:line="288"/>
      </w:pPr>
      <w:r>
        <w:rPr>
          <w:rFonts w:ascii="Arial" w:cs="Arial" w:eastAsia="Arial" w:hAnsi="Arial"/>
        </w:rPr>
        <w:t xml:space="preserve">The photo upload succeeds, the scan request fails, and the officer sees an error banner. No record is written, because the database insert is the last thing that happens before responding. There are no partial inspections in the table.</w:t>
      </w:r>
    </w:p>
    <w:p>
      <w:pPr>
        <w:keepNext/>
        <w:spacing w:after="90" w:before="260"/>
      </w:pPr>
      <w:r>
        <w:rPr>
          <w:rFonts w:ascii="Arial" w:cs="Arial" w:eastAsia="Arial" w:hAnsi="Arial"/>
          <w:b/>
          <w:bCs/>
          <w:color w:val="141C24"/>
          <w:sz w:val="22"/>
          <w:szCs w:val="22"/>
        </w:rPr>
        <w:t xml:space="preserve">How long does a scan take?</w:t>
      </w:r>
    </w:p>
    <w:p>
      <w:pPr>
        <w:spacing w:after="110" w:before="0" w:line="288"/>
      </w:pPr>
      <w:r>
        <w:rPr>
          <w:rFonts w:ascii="Arial" w:cs="Arial" w:eastAsia="Arial" w:hAnsi="Arial"/>
        </w:rPr>
        <w:t xml:space="preserve">A few seconds, dominated by the Gemini call — plus up to about fifty seconds if the free-tier backend was asleep. Upload time depends on the officer's connection; the rule engine itself is microseconds.</w:t>
      </w:r>
    </w:p>
    <w:p>
      <w:pPr>
        <w:keepNext/>
        <w:spacing w:after="90" w:before="260"/>
      </w:pPr>
      <w:r>
        <w:rPr>
          <w:rFonts w:ascii="Arial" w:cs="Arial" w:eastAsia="Arial" w:hAnsi="Arial"/>
          <w:b/>
          <w:bCs/>
          <w:color w:val="141C24"/>
          <w:sz w:val="22"/>
          <w:szCs w:val="22"/>
        </w:rPr>
        <w:t xml:space="preserve">Why send every photo in one API call rather than one call per photo?</w:t>
      </w:r>
    </w:p>
    <w:p>
      <w:pPr>
        <w:spacing w:after="110" w:before="0" w:line="288"/>
      </w:pPr>
      <w:r>
        <w:rPr>
          <w:rFonts w:ascii="Arial" w:cs="Arial" w:eastAsia="Arial" w:hAnsi="Arial"/>
        </w:rPr>
        <w:t xml:space="preserve">Cost and latency, but mostly context. A declaration can begin on the front and finish on the back, and the small MRP block on one panel has to be reconciled with the price printed in the artwork on another. Separate calls would produce separate partial answers that we would then have to merge in code, badly. One call sees the whole package.</w:t>
      </w:r>
    </w:p>
    <w:p>
      <w:pPr>
        <w:keepNext/>
        <w:spacing w:after="90" w:before="260"/>
      </w:pPr>
      <w:r>
        <w:rPr>
          <w:rFonts w:ascii="Arial" w:cs="Arial" w:eastAsia="Arial" w:hAnsi="Arial"/>
          <w:b/>
          <w:bCs/>
          <w:color w:val="141C24"/>
          <w:sz w:val="22"/>
          <w:szCs w:val="22"/>
        </w:rPr>
        <w:t xml:space="preserve">Is there any caching or queueing?</w:t>
      </w:r>
    </w:p>
    <w:p>
      <w:pPr>
        <w:spacing w:after="110" w:before="0" w:line="288"/>
      </w:pPr>
      <w:r>
        <w:rPr>
          <w:rFonts w:ascii="Arial" w:cs="Arial" w:eastAsia="Arial" w:hAnsi="Arial"/>
        </w:rPr>
        <w:t xml:space="preserve">No. One scan, one synchronous request. At field volumes that is the right shape; at national volume you would put the extraction on a queue with workers. We know where that seam would go.</w:t>
      </w:r>
    </w:p>
    <w:p>
      <w:pPr>
        <w:keepNext/>
        <w:spacing w:after="90" w:before="260"/>
      </w:pPr>
      <w:r>
        <w:rPr>
          <w:rFonts w:ascii="Arial" w:cs="Arial" w:eastAsia="Arial" w:hAnsi="Arial"/>
          <w:b/>
          <w:bCs/>
          <w:color w:val="141C24"/>
          <w:sz w:val="22"/>
          <w:szCs w:val="22"/>
        </w:rPr>
        <w:t xml:space="preserve">Is it a native app?</w:t>
      </w:r>
    </w:p>
    <w:p>
      <w:pPr>
        <w:spacing w:after="110" w:before="0" w:line="288"/>
      </w:pPr>
      <w:r>
        <w:rPr>
          <w:rFonts w:ascii="Arial" w:cs="Arial" w:eastAsia="Arial" w:hAnsi="Arial"/>
        </w:rPr>
        <w:t xml:space="preserve">No — a mobile-first web app. That means no install, no store review, and instant updates for every officer, which matters for a government deployment. The camera is reached through a standard capture attribute, so it behaves like a native camera on a phone.</w:t>
      </w:r>
    </w:p>
    <w:p>
      <w:pPr>
        <w:pStyle w:val="Heading2"/>
        <w:spacing w:after="120" w:before="320"/>
      </w:pPr>
      <w:r>
        <w:rPr>
          <w:rFonts w:ascii="Arial" w:cs="Arial" w:eastAsia="Arial" w:hAnsi="Arial"/>
          <w:b/>
          <w:bCs/>
          <w:color w:val="002045"/>
          <w:sz w:val="24"/>
          <w:szCs w:val="24"/>
        </w:rPr>
        <w:t xml:space="preserve">The AI</w:t>
      </w:r>
    </w:p>
    <w:p>
      <w:pPr>
        <w:keepNext/>
        <w:spacing w:after="90" w:before="260"/>
      </w:pPr>
      <w:r>
        <w:rPr>
          <w:rFonts w:ascii="Arial" w:cs="Arial" w:eastAsia="Arial" w:hAnsi="Arial"/>
          <w:b/>
          <w:bCs/>
          <w:color w:val="141C24"/>
          <w:sz w:val="22"/>
          <w:szCs w:val="22"/>
        </w:rPr>
        <w:t xml:space="preserve">Which model, and why that one?</w:t>
      </w:r>
    </w:p>
    <w:p>
      <w:pPr>
        <w:spacing w:after="110" w:before="0" w:line="288"/>
      </w:pPr>
      <w:r>
        <w:rPr>
          <w:rFonts w:ascii="Arial" w:cs="Arial" w:eastAsia="Arial" w:hAnsi="Arial"/>
        </w:rPr>
        <w:t xml:space="preserve">Gemini 3.5 Flash, set through the </w:t>
      </w:r>
      <w:r>
        <w:rPr>
          <w:rFonts w:ascii="Consolas" w:cs="Consolas" w:eastAsia="Consolas" w:hAnsi="Consolas"/>
          <w:color w:val="223344"/>
          <w:sz w:val="19"/>
          <w:szCs w:val="19"/>
        </w:rPr>
        <w:t xml:space="preserve">GEMINI_MODEL</w:t>
      </w:r>
      <w:r>
        <w:rPr>
          <w:rFonts w:ascii="Arial" w:cs="Arial" w:eastAsia="Arial" w:hAnsi="Arial"/>
        </w:rPr>
        <w:t xml:space="preserve"> environment variable. We started on Flash-Lite — the task is bounded extraction into a fixed schema, so the cheap tier is tempting — and moved up when it turned out to be losing the small ink-jet MRP and batch blocks that matter most. That is a one-variable change, so the cost trade stays available in either direction.</w:t>
      </w:r>
    </w:p>
    <w:p>
      <w:pPr>
        <w:keepNext/>
        <w:spacing w:after="90" w:before="260"/>
      </w:pPr>
      <w:r>
        <w:rPr>
          <w:rFonts w:ascii="Arial" w:cs="Arial" w:eastAsia="Arial" w:hAnsi="Arial"/>
          <w:b/>
          <w:bCs/>
          <w:color w:val="141C24"/>
          <w:sz w:val="22"/>
          <w:szCs w:val="22"/>
        </w:rPr>
        <w:t xml:space="preserve">Why a vision model instead of OCR? Is OCR not cheaper?</w:t>
      </w:r>
    </w:p>
    <w:p>
      <w:pPr>
        <w:spacing w:after="110" w:before="0" w:line="288"/>
      </w:pPr>
      <w:r>
        <w:rPr>
          <w:rFonts w:ascii="Arial" w:cs="Arial" w:eastAsia="Arial" w:hAnsi="Arial"/>
        </w:rPr>
        <w:t xml:space="preserve">OCR gives you text lines; it does not tell you which line is the packer's address and which number is the MRP. We built that alternative — PaddleOCR with image enhancement and a regex field parser, still in the repo as </w:t>
      </w:r>
      <w:r>
        <w:rPr>
          <w:rFonts w:ascii="Consolas" w:cs="Consolas" w:eastAsia="Consolas" w:hAnsi="Consolas"/>
          <w:color w:val="223344"/>
          <w:sz w:val="19"/>
          <w:szCs w:val="19"/>
        </w:rPr>
        <w:t xml:space="preserve">backend/test_paddle_ocr.py</w:t>
      </w:r>
      <w:r>
        <w:rPr>
          <w:rFonts w:ascii="Arial" w:cs="Arial" w:eastAsia="Arial" w:hAnsi="Arial"/>
        </w:rPr>
        <w:t xml:space="preserve"> — and the parser is where it falls down on real packaging: curved surfaces, glare, mixed scripts, prices in three formats. The vision model does recognition and field assignment together.</w:t>
      </w:r>
    </w:p>
    <w:p>
      <w:pPr>
        <w:pBdr>
          <w:left w:val="single" w:color="C8D2DC" w:sz="12" w:space="10"/>
        </w:pBdr>
        <w:spacing w:after="200" w:before="60" w:line="288"/>
        <w:ind w:left="360"/>
      </w:pPr>
      <w:r>
        <w:rPr>
          <w:rFonts w:ascii="Arial" w:cs="Arial" w:eastAsia="Arial" w:hAnsi="Arial"/>
          <w:i/>
          <w:iCs/>
          <w:color w:val="002045"/>
        </w:rPr>
        <w:t xml:space="preserve">"We did not pick the model because it is fashionable. We built the OCR version first and can show you exactly where it breaks."</w:t>
      </w:r>
    </w:p>
    <w:p>
      <w:pPr>
        <w:keepNext/>
        <w:spacing w:after="90" w:before="260"/>
      </w:pPr>
      <w:r>
        <w:rPr>
          <w:rFonts w:ascii="Arial" w:cs="Arial" w:eastAsia="Arial" w:hAnsi="Arial"/>
          <w:b/>
          <w:bCs/>
          <w:color w:val="141C24"/>
          <w:sz w:val="22"/>
          <w:szCs w:val="22"/>
        </w:rPr>
        <w:t xml:space="preserve">How do you know the AI is not hallucinating the verdict?</w:t>
      </w:r>
    </w:p>
    <w:p>
      <w:pPr>
        <w:spacing w:after="110" w:before="0" w:line="288"/>
      </w:pPr>
      <w:r>
        <w:rPr>
          <w:rFonts w:ascii="Arial" w:cs="Arial" w:eastAsia="Arial" w:hAnsi="Arial"/>
        </w:rPr>
        <w:t xml:space="preserve">It cannot. The model is never told what compliance means and never returns a verdict — it returns seven fields. The pass or fail decision is made afterwards by a Python function you can read in one sitting. Two different systems: one fallible and probabilistic, one deterministic and auditable, with a hard line between them.</w:t>
      </w:r>
    </w:p>
    <w:p>
      <w:pPr>
        <w:pBdr>
          <w:left w:val="single" w:color="C8D2DC" w:sz="12" w:space="10"/>
        </w:pBdr>
        <w:spacing w:after="200" w:before="60" w:line="288"/>
        <w:ind w:left="360"/>
      </w:pPr>
      <w:r>
        <w:rPr>
          <w:rFonts w:ascii="Arial" w:cs="Arial" w:eastAsia="Arial" w:hAnsi="Arial"/>
          <w:i/>
          <w:iCs/>
          <w:color w:val="002045"/>
        </w:rPr>
        <w:t xml:space="preserve">"The AI reads the label. The law is applied by code."</w:t>
      </w:r>
    </w:p>
    <w:p>
      <w:pPr>
        <w:keepNext/>
        <w:spacing w:after="90" w:before="260"/>
      </w:pPr>
      <w:r>
        <w:rPr>
          <w:rFonts w:ascii="Arial" w:cs="Arial" w:eastAsia="Arial" w:hAnsi="Arial"/>
          <w:b/>
          <w:bCs/>
          <w:color w:val="141C24"/>
          <w:sz w:val="22"/>
          <w:szCs w:val="22"/>
        </w:rPr>
        <w:t xml:space="preserve">What stops it returning broken JSON?</w:t>
      </w:r>
    </w:p>
    <w:p>
      <w:pPr>
        <w:spacing w:after="110" w:before="0" w:line="288"/>
      </w:pPr>
      <w:r>
        <w:rPr>
          <w:rFonts w:ascii="Arial" w:cs="Arial" w:eastAsia="Arial" w:hAnsi="Arial"/>
        </w:rPr>
        <w:t xml:space="preserve">We do not ask for JSON, we constrain it: the response schema is our Pydantic model, and the reply is re-validated on arrival. If validation fails the request becomes a 502 error and nothing is stored. A malformed response can never become a database row.</w:t>
      </w:r>
    </w:p>
    <w:p>
      <w:pPr>
        <w:keepNext/>
        <w:spacing w:after="90" w:before="260"/>
      </w:pPr>
      <w:r>
        <w:rPr>
          <w:rFonts w:ascii="Arial" w:cs="Arial" w:eastAsia="Arial" w:hAnsi="Arial"/>
          <w:b/>
          <w:bCs/>
          <w:color w:val="141C24"/>
          <w:sz w:val="22"/>
          <w:szCs w:val="22"/>
        </w:rPr>
        <w:t xml:space="preserve">What if a field genuinely is not on the package?</w:t>
      </w:r>
    </w:p>
    <w:p>
      <w:pPr>
        <w:spacing w:after="110" w:before="0" w:line="288"/>
      </w:pPr>
      <w:r>
        <w:rPr>
          <w:rFonts w:ascii="Arial" w:cs="Arial" w:eastAsia="Arial" w:hAnsi="Arial"/>
        </w:rPr>
        <w:t xml:space="preserve">Every field is nullable and defaults to null, so the model reports absence rather than inventing a value. And absence is precisely what the rule engine treats as a violation — which is also what the law says. The failure mode and the legal test point the same way.</w:t>
      </w:r>
    </w:p>
    <w:p>
      <w:pPr>
        <w:keepNext/>
        <w:spacing w:after="90" w:before="260"/>
      </w:pPr>
      <w:r>
        <w:rPr>
          <w:rFonts w:ascii="Arial" w:cs="Arial" w:eastAsia="Arial" w:hAnsi="Arial"/>
          <w:b/>
          <w:bCs/>
          <w:color w:val="141C24"/>
          <w:sz w:val="22"/>
          <w:szCs w:val="22"/>
        </w:rPr>
        <w:t xml:space="preserve">What is your accuracy?</w:t>
      </w:r>
    </w:p>
    <w:p>
      <w:pPr>
        <w:spacing w:after="110" w:before="0" w:line="288"/>
      </w:pPr>
      <w:r>
        <w:rPr>
          <w:rFonts w:ascii="Arial" w:cs="Arial" w:eastAsia="Arial" w:hAnsi="Arial"/>
        </w:rPr>
        <w:t xml:space="preserve">Be straight here. We have not yet run a labelled benchmark, so we quote no number. What we can tell you is exactly what we would measure: per-field precision and recall against a hand-labelled set of real packages, reported separately for each of the seven fields, with special attention to the false-compliant rate — a package wrongly cleared is the only error class that lets a violation escape.</w:t>
      </w:r>
    </w:p>
    <w:p>
      <w:pPr>
        <w:pBdr>
          <w:left w:val="single" w:color="C8D2DC" w:sz="12" w:space="10"/>
        </w:pBdr>
        <w:spacing w:after="200" w:before="60" w:line="288"/>
        <w:ind w:left="360"/>
      </w:pPr>
      <w:r>
        <w:rPr>
          <w:rFonts w:ascii="Arial" w:cs="Arial" w:eastAsia="Arial" w:hAnsi="Arial"/>
          <w:i/>
          <w:iCs/>
          <w:color w:val="002045"/>
        </w:rPr>
        <w:t xml:space="preserve">"We would rather tell you our benchmark is the next milestone than quote a number we have not earned."</w:t>
      </w:r>
    </w:p>
    <w:p>
      <w:pPr>
        <w:keepNext/>
        <w:spacing w:after="90" w:before="260"/>
      </w:pPr>
      <w:r>
        <w:rPr>
          <w:rFonts w:ascii="Arial" w:cs="Arial" w:eastAsia="Arial" w:hAnsi="Arial"/>
          <w:b/>
          <w:bCs/>
          <w:color w:val="141C24"/>
          <w:sz w:val="22"/>
          <w:szCs w:val="22"/>
        </w:rPr>
        <w:t xml:space="preserve">What is your worst failure mode?</w:t>
      </w:r>
    </w:p>
    <w:p>
      <w:pPr>
        <w:spacing w:after="110" w:before="0" w:line="288"/>
      </w:pPr>
      <w:r>
        <w:rPr>
          <w:rFonts w:ascii="Arial" w:cs="Arial" w:eastAsia="Arial" w:hAnsi="Arial"/>
        </w:rPr>
        <w:t xml:space="preserve">A false compliant — the model reads a declaration that is not really legible on the package. Three things blunt it: the officer sees every extracted value next to the verdict and can tell immediately if something is wrong, the evidence photographs are stored immutably so any dispute can be re-examined, and the output is an improvement notice rather than a penalty, so a human decision still sits between the tool and any consequence.</w:t>
      </w:r>
    </w:p>
    <w:p>
      <w:pPr>
        <w:keepNext/>
        <w:spacing w:after="90" w:before="260"/>
      </w:pPr>
      <w:r>
        <w:rPr>
          <w:rFonts w:ascii="Arial" w:cs="Arial" w:eastAsia="Arial" w:hAnsi="Arial"/>
          <w:b/>
          <w:bCs/>
          <w:color w:val="141C24"/>
          <w:sz w:val="22"/>
          <w:szCs w:val="22"/>
        </w:rPr>
        <w:t xml:space="preserve">Did you fine-tune, and would you?</w:t>
      </w:r>
    </w:p>
    <w:p>
      <w:pPr>
        <w:spacing w:after="110" w:before="0" w:line="288"/>
      </w:pPr>
      <w:r>
        <w:rPr>
          <w:rFonts w:ascii="Arial" w:cs="Arial" w:eastAsia="Arial" w:hAnsi="Arial"/>
        </w:rPr>
        <w:t xml:space="preserve">No. Schema-constrained zero-shot extraction gets the structure without a training set. Fine-tuning would need a labelled corpus of Indian package labels — which is the same corpus we need for the accuracy benchmark. Build the benchmark first; it tells you whether fine-tuning is even worth it.</w:t>
      </w:r>
    </w:p>
    <w:p>
      <w:pPr>
        <w:keepNext/>
        <w:spacing w:after="90" w:before="260"/>
      </w:pPr>
      <w:r>
        <w:rPr>
          <w:rFonts w:ascii="Arial" w:cs="Arial" w:eastAsia="Arial" w:hAnsi="Arial"/>
          <w:b/>
          <w:bCs/>
          <w:color w:val="141C24"/>
          <w:sz w:val="22"/>
          <w:szCs w:val="22"/>
        </w:rPr>
        <w:t xml:space="preserve">What does it cost per scan?</w:t>
      </w:r>
    </w:p>
    <w:p>
      <w:pPr>
        <w:spacing w:after="110" w:before="0" w:line="288"/>
      </w:pPr>
      <w:r>
        <w:rPr>
          <w:rFonts w:ascii="Arial" w:cs="Arial" w:eastAsia="Arial" w:hAnsi="Arial"/>
        </w:rPr>
        <w:t xml:space="preserve">One call to a small vision model with one to four images and a short response — fractions of a rupee at current pricing. Storage and Postgres are negligible at this size. The design decision that matters is that a scan is </w:t>
      </w:r>
      <w:r>
        <w:rPr>
          <w:rFonts w:ascii="Arial" w:cs="Arial" w:eastAsia="Arial" w:hAnsi="Arial"/>
          <w:i/>
          <w:iCs/>
        </w:rPr>
        <w:t xml:space="preserve">one</w:t>
      </w:r>
      <w:r>
        <w:rPr>
          <w:rFonts w:ascii="Arial" w:cs="Arial" w:eastAsia="Arial" w:hAnsi="Arial"/>
        </w:rPr>
        <w:t xml:space="preserve"> model call, not a chain of them.</w:t>
      </w:r>
    </w:p>
    <w:p>
      <w:pPr>
        <w:keepNext/>
        <w:spacing w:after="90" w:before="260"/>
      </w:pPr>
      <w:r>
        <w:rPr>
          <w:rFonts w:ascii="Arial" w:cs="Arial" w:eastAsia="Arial" w:hAnsi="Arial"/>
          <w:b/>
          <w:bCs/>
          <w:color w:val="141C24"/>
          <w:sz w:val="22"/>
          <w:szCs w:val="22"/>
        </w:rPr>
        <w:t xml:space="preserve">Does it work offline?</w:t>
      </w:r>
    </w:p>
    <w:p>
      <w:pPr>
        <w:spacing w:after="110" w:before="0" w:line="288"/>
      </w:pPr>
      <w:r>
        <w:rPr>
          <w:rFonts w:ascii="Arial" w:cs="Arial" w:eastAsia="Arial" w:hAnsi="Arial"/>
        </w:rPr>
        <w:t xml:space="preserve">Not today — extraction needs the API. The honest path to offline is the OCR pipeline we already prototyped, running on-device for a degraded first pass, with a full re-scan when connectivity returns. Worth naming as a roadmap item for rural inspection, not claiming as a feature.</w:t>
      </w:r>
    </w:p>
    <w:p>
      <w:pPr>
        <w:keepNext/>
        <w:spacing w:after="90" w:before="260"/>
      </w:pPr>
      <w:r>
        <w:rPr>
          <w:rFonts w:ascii="Arial" w:cs="Arial" w:eastAsia="Arial" w:hAnsi="Arial"/>
          <w:b/>
          <w:bCs/>
          <w:color w:val="141C24"/>
          <w:sz w:val="22"/>
          <w:szCs w:val="22"/>
        </w:rPr>
        <w:t xml:space="preserve">Why let an officer scan a single photo, if that produces false violations?</w:t>
      </w:r>
    </w:p>
    <w:p>
      <w:pPr>
        <w:spacing w:after="110" w:before="0" w:line="288"/>
      </w:pPr>
      <w:r>
        <w:rPr>
          <w:rFonts w:ascii="Arial" w:cs="Arial" w:eastAsia="Arial" w:hAnsi="Arial"/>
        </w:rPr>
        <w:t xml:space="preserve">Because the alternative is worse: forcing four photos of a sachet that only has two printed surfaces trains people to shoot filler. The honest handling is to allow one and then say so — a single-photo scan always carries an advisory warning that a declaration on an un-photographed panel reads as missing. The officer decides whether the flag is real or whether they need another angle.</w:t>
      </w:r>
    </w:p>
    <w:p>
      <w:pPr>
        <w:pBdr>
          <w:left w:val="single" w:color="C8D2DC" w:sz="12" w:space="10"/>
        </w:pBdr>
        <w:spacing w:after="200" w:before="60" w:line="288"/>
        <w:ind w:left="360"/>
      </w:pPr>
      <w:r>
        <w:rPr>
          <w:rFonts w:ascii="Arial" w:cs="Arial" w:eastAsia="Arial" w:hAnsi="Arial"/>
          <w:i/>
          <w:iCs/>
          <w:color w:val="002045"/>
        </w:rPr>
        <w:t xml:space="preserve">"We would rather flag our own blind spot than pretend one photo saw everything."</w:t>
      </w:r>
    </w:p>
    <w:p>
      <w:pPr>
        <w:keepNext/>
        <w:spacing w:after="90" w:before="260"/>
      </w:pPr>
      <w:r>
        <w:rPr>
          <w:rFonts w:ascii="Arial" w:cs="Arial" w:eastAsia="Arial" w:hAnsi="Arial"/>
          <w:b/>
          <w:bCs/>
          <w:color w:val="141C24"/>
          <w:sz w:val="22"/>
          <w:szCs w:val="22"/>
        </w:rPr>
        <w:t xml:space="preserve">What do you do when the print is too small to read?</w:t>
      </w:r>
    </w:p>
    <w:p>
      <w:pPr>
        <w:spacing w:after="110" w:before="0" w:line="288"/>
      </w:pPr>
      <w:r>
        <w:rPr>
          <w:rFonts w:ascii="Arial" w:cs="Arial" w:eastAsia="Arial" w:hAnsi="Arial"/>
        </w:rPr>
        <w:t xml:space="preserve">Say so, rather than guess. The model is instructed to return null for anything it cannot actually read and to mark the block illegible; that produces an advisory telling the officer to re-scan it close up or check by hand. A guessed MRP that happens to be wrong is far more dangerous in a compliance record than an admitted blank.</w:t>
      </w:r>
    </w:p>
    <w:p>
      <w:pPr>
        <w:keepNext/>
        <w:spacing w:after="90" w:before="260"/>
      </w:pPr>
      <w:r>
        <w:rPr>
          <w:rFonts w:ascii="Arial" w:cs="Arial" w:eastAsia="Arial" w:hAnsi="Arial"/>
          <w:b/>
          <w:bCs/>
          <w:color w:val="141C24"/>
          <w:sz w:val="22"/>
          <w:szCs w:val="22"/>
        </w:rPr>
        <w:t xml:space="preserve">Is an advisory just a violation you were afraid to call?</w:t>
      </w:r>
    </w:p>
    <w:p>
      <w:pPr>
        <w:spacing w:after="110" w:before="0" w:line="288"/>
      </w:pPr>
      <w:r>
        <w:rPr>
          <w:rFonts w:ascii="Arial" w:cs="Arial" w:eastAsia="Arial" w:hAnsi="Arial"/>
        </w:rPr>
        <w:t xml:space="preserve">No — it is a finding we cannot prove from the evidence we have. The prescribed minimum letter height is a measurement, and a photograph of unknown scale cannot measure it. We can see that the type is unusually small and say exactly that; turning it into a contravention would be asserting something the photo does not establish. The same discipline is why we check eight rules and not thirty.</w:t>
      </w:r>
    </w:p>
    <w:p>
      <w:pPr>
        <w:pStyle w:val="Heading2"/>
        <w:spacing w:after="120" w:before="320"/>
      </w:pPr>
      <w:r>
        <w:rPr>
          <w:rFonts w:ascii="Arial" w:cs="Arial" w:eastAsia="Arial" w:hAnsi="Arial"/>
          <w:b/>
          <w:bCs/>
          <w:color w:val="002045"/>
          <w:sz w:val="24"/>
          <w:szCs w:val="24"/>
        </w:rPr>
        <w:t xml:space="preserve">The law and the domain</w:t>
      </w:r>
    </w:p>
    <w:p>
      <w:pPr>
        <w:keepNext/>
        <w:spacing w:after="90" w:before="260"/>
      </w:pPr>
      <w:r>
        <w:rPr>
          <w:rFonts w:ascii="Arial" w:cs="Arial" w:eastAsia="Arial" w:hAnsi="Arial"/>
          <w:b/>
          <w:bCs/>
          <w:color w:val="141C24"/>
          <w:sz w:val="22"/>
          <w:szCs w:val="22"/>
        </w:rPr>
        <w:t xml:space="preserve">Which law, exactly?</w:t>
      </w:r>
    </w:p>
    <w:p>
      <w:pPr>
        <w:spacing w:after="110" w:before="0" w:line="288"/>
      </w:pPr>
      <w:r>
        <w:rPr>
          <w:rFonts w:ascii="Arial" w:cs="Arial" w:eastAsia="Arial" w:hAnsi="Arial"/>
        </w:rPr>
        <w:t xml:space="preserve">The Legal Metrology Act, 2009, and under it the Legal Metrology (Packaged Commodities) Rules, 2011. Our checks cite Rule 6(1)(a) through (e), Rule 6(2), Rule 2(m) and Rule 13(4). Every violation the app produces names its citation, in the interface and on the notice.</w:t>
      </w:r>
    </w:p>
    <w:p>
      <w:pPr>
        <w:keepNext/>
        <w:spacing w:after="90" w:before="260"/>
      </w:pPr>
      <w:r>
        <w:rPr>
          <w:rFonts w:ascii="Arial" w:cs="Arial" w:eastAsia="Arial" w:hAnsi="Arial"/>
          <w:b/>
          <w:bCs/>
          <w:color w:val="141C24"/>
          <w:sz w:val="22"/>
          <w:szCs w:val="22"/>
        </w:rPr>
        <w:t xml:space="preserve">Only eight rules? The Rules run to far more than that.</w:t>
      </w:r>
    </w:p>
    <w:p>
      <w:pPr>
        <w:spacing w:after="110" w:before="0" w:line="288"/>
      </w:pPr>
      <w:r>
        <w:rPr>
          <w:rFonts w:ascii="Arial" w:cs="Arial" w:eastAsia="Arial" w:hAnsi="Arial"/>
        </w:rPr>
        <w:t xml:space="preserve">Eight is the photograph-verifiable subset of the mandatory declarations. Requirements about minimum letter height or the proportion of the principal display panel are real, but verifying them from an uncalibrated phone photo would be guesswork, and a compliance tool that guesses is worse than none. Adding a rule is a small dictionary entry when we can check it honestly.</w:t>
      </w:r>
    </w:p>
    <w:p>
      <w:pPr>
        <w:keepNext/>
        <w:spacing w:after="90" w:before="260"/>
      </w:pPr>
      <w:r>
        <w:rPr>
          <w:rFonts w:ascii="Arial" w:cs="Arial" w:eastAsia="Arial" w:hAnsi="Arial"/>
          <w:b/>
          <w:bCs/>
          <w:color w:val="141C24"/>
          <w:sz w:val="22"/>
          <w:szCs w:val="22"/>
        </w:rPr>
        <w:t xml:space="preserve">Why is "MRP inclusive of taxes" a separate rule from "MRP present"?</w:t>
      </w:r>
    </w:p>
    <w:p>
      <w:pPr>
        <w:spacing w:after="110" w:before="0" w:line="288"/>
      </w:pPr>
      <w:r>
        <w:rPr>
          <w:rFonts w:ascii="Arial" w:cs="Arial" w:eastAsia="Arial" w:hAnsi="Arial"/>
        </w:rPr>
        <w:t xml:space="preserve">They are two distinct legal failures. Rule 6(1)(e) requires the price to be declared; Rule 2(m) defines that price as inclusive of all taxes, so a price printed without that wording is a different offence from no price at all. We check both — with a guard so a missing price does not fire both at once.</w:t>
      </w:r>
    </w:p>
    <w:p>
      <w:pPr>
        <w:keepNext/>
        <w:spacing w:after="90" w:before="260"/>
      </w:pPr>
      <w:r>
        <w:rPr>
          <w:rFonts w:ascii="Arial" w:cs="Arial" w:eastAsia="Arial" w:hAnsi="Arial"/>
          <w:b/>
          <w:bCs/>
          <w:color w:val="141C24"/>
          <w:sz w:val="22"/>
          <w:szCs w:val="22"/>
        </w:rPr>
        <w:t xml:space="preserve">Why does the category dropdown not change which rules run?</w:t>
      </w:r>
    </w:p>
    <w:p>
      <w:pPr>
        <w:spacing w:after="110" w:before="0" w:line="288"/>
      </w:pPr>
      <w:r>
        <w:rPr>
          <w:rFonts w:ascii="Arial" w:cs="Arial" w:eastAsia="Arial" w:hAnsi="Arial"/>
        </w:rPr>
        <w:t xml:space="preserve">Because Rule 6 declarations apply to every packaged commodity regardless of contents. The category is recorded for reporting and analysis, and the code has a documented, deliberately empty hook where genuinely category-specific metrology rules could attach. What will never go there is food-safety or drug rules — different Acts, different regulators.</w:t>
      </w:r>
    </w:p>
    <w:p>
      <w:pPr>
        <w:pBdr>
          <w:left w:val="single" w:color="C8D2DC" w:sz="12" w:space="10"/>
        </w:pBdr>
        <w:spacing w:after="200" w:before="60" w:line="288"/>
        <w:ind w:left="360"/>
      </w:pPr>
      <w:r>
        <w:rPr>
          <w:rFonts w:ascii="Arial" w:cs="Arial" w:eastAsia="Arial" w:hAnsi="Arial"/>
          <w:i/>
          <w:iCs/>
          <w:color w:val="002045"/>
        </w:rPr>
        <w:t xml:space="preserve">"It is an empty extension point, and we labelled it as one rather than pretending the dropdown does more than it does."</w:t>
      </w:r>
    </w:p>
    <w:p>
      <w:pPr>
        <w:keepNext/>
        <w:spacing w:after="90" w:before="260"/>
      </w:pPr>
      <w:r>
        <w:rPr>
          <w:rFonts w:ascii="Arial" w:cs="Arial" w:eastAsia="Arial" w:hAnsi="Arial"/>
          <w:b/>
          <w:bCs/>
          <w:color w:val="141C24"/>
          <w:sz w:val="22"/>
          <w:szCs w:val="22"/>
        </w:rPr>
        <w:t xml:space="preserve">Does it decide penalties?</w:t>
      </w:r>
    </w:p>
    <w:p>
      <w:pPr>
        <w:spacing w:after="110" w:before="0" w:line="288"/>
      </w:pPr>
      <w:r>
        <w:rPr>
          <w:rFonts w:ascii="Arial" w:cs="Arial" w:eastAsia="Arial" w:hAnsi="Arial"/>
        </w:rPr>
        <w:t xml:space="preserve">No, and that is a deliberate boundary. It produces an Improvement Notice with a thirty-day compliance period — the standard first step. Adjudication and penalties remain with the officer and the department. The tool speeds up detection and documentation, not judgement.</w:t>
      </w:r>
    </w:p>
    <w:p>
      <w:pPr>
        <w:keepNext/>
        <w:spacing w:after="90" w:before="260"/>
      </w:pPr>
      <w:r>
        <w:rPr>
          <w:rFonts w:ascii="Arial" w:cs="Arial" w:eastAsia="Arial" w:hAnsi="Arial"/>
          <w:b/>
          <w:bCs/>
          <w:color w:val="141C24"/>
          <w:sz w:val="22"/>
          <w:szCs w:val="22"/>
        </w:rPr>
        <w:t xml:space="preserve">Could a packer use this to check themselves before shipping?</w:t>
      </w:r>
    </w:p>
    <w:p>
      <w:pPr>
        <w:spacing w:after="110" w:before="0" w:line="288"/>
      </w:pPr>
      <w:r>
        <w:rPr>
          <w:rFonts w:ascii="Arial" w:cs="Arial" w:eastAsia="Arial" w:hAnsi="Arial"/>
        </w:rPr>
        <w:t xml:space="preserve">The engine would work unchanged — that is an obvious second market, and arguably the higher-impact one, since it prevents violations instead of catching them. It is a roles-and-onboarding change, not an engineering one.</w:t>
      </w:r>
    </w:p>
    <w:p>
      <w:pPr>
        <w:keepNext/>
        <w:spacing w:after="90" w:before="260"/>
      </w:pPr>
      <w:r>
        <w:rPr>
          <w:rFonts w:ascii="Arial" w:cs="Arial" w:eastAsia="Arial" w:hAnsi="Arial"/>
          <w:b/>
          <w:bCs/>
          <w:color w:val="141C24"/>
          <w:sz w:val="22"/>
          <w:szCs w:val="22"/>
        </w:rPr>
        <w:t xml:space="preserve">What about e-commerce listings?</w:t>
      </w:r>
    </w:p>
    <w:p>
      <w:pPr>
        <w:spacing w:after="110" w:before="0" w:line="288"/>
      </w:pPr>
      <w:r>
        <w:rPr>
          <w:rFonts w:ascii="Arial" w:cs="Arial" w:eastAsia="Arial" w:hAnsi="Arial"/>
        </w:rPr>
        <w:t xml:space="preserve">The 2011 Rules were extended to cover online listings, and our rule engine does not care where the fields came from — it takes a structured object, not an image. Pointing it at listing pages instead of photographs is a new input adapter in front of the same engine.</w:t>
      </w:r>
    </w:p>
    <w:p>
      <w:pPr>
        <w:pStyle w:val="Heading2"/>
        <w:spacing w:after="120" w:before="320"/>
      </w:pPr>
      <w:r>
        <w:rPr>
          <w:rFonts w:ascii="Arial" w:cs="Arial" w:eastAsia="Arial" w:hAnsi="Arial"/>
          <w:b/>
          <w:bCs/>
          <w:color w:val="002045"/>
          <w:sz w:val="24"/>
          <w:szCs w:val="24"/>
        </w:rPr>
        <w:t xml:space="preserve">Security and evidence</w:t>
      </w:r>
    </w:p>
    <w:p>
      <w:pPr>
        <w:keepNext/>
        <w:spacing w:after="90" w:before="260"/>
      </w:pPr>
      <w:r>
        <w:rPr>
          <w:rFonts w:ascii="Arial" w:cs="Arial" w:eastAsia="Arial" w:hAnsi="Arial"/>
          <w:b/>
          <w:bCs/>
          <w:color w:val="141C24"/>
          <w:sz w:val="22"/>
          <w:szCs w:val="22"/>
        </w:rPr>
        <w:t xml:space="preserve">How do you know the caller is a real officer?</w:t>
      </w:r>
    </w:p>
    <w:p>
      <w:pPr>
        <w:spacing w:after="110" w:before="0" w:line="288"/>
      </w:pPr>
      <w:r>
        <w:rPr>
          <w:rFonts w:ascii="Arial" w:cs="Arial" w:eastAsia="Arial" w:hAnsi="Arial"/>
        </w:rPr>
        <w:t xml:space="preserve">Google sign-in through Supabase issues a token; the frontend sends it as a bearer header; the backend validates it against Supabase's auth server rather than trusting a local decode, then re-reads the caller's profile and confirms the role is officer or admin and the account is active. Both checks happen on every single request — a token alone is not enough.</w:t>
      </w:r>
    </w:p>
    <w:p>
      <w:pPr>
        <w:keepNext/>
        <w:spacing w:after="90" w:before="260"/>
      </w:pPr>
      <w:r>
        <w:rPr>
          <w:rFonts w:ascii="Arial" w:cs="Arial" w:eastAsia="Arial" w:hAnsi="Arial"/>
          <w:b/>
          <w:bCs/>
          <w:color w:val="141C24"/>
          <w:sz w:val="22"/>
          <w:szCs w:val="22"/>
        </w:rPr>
        <w:t xml:space="preserve">Could an officer file a scan under someone else's name?</w:t>
      </w:r>
    </w:p>
    <w:p>
      <w:pPr>
        <w:spacing w:after="110" w:before="0" w:line="288"/>
      </w:pPr>
      <w:r>
        <w:rPr>
          <w:rFonts w:ascii="Arial" w:cs="Arial" w:eastAsia="Arial" w:hAnsi="Arial"/>
        </w:rPr>
        <w:t xml:space="preserve">No. The owner is taken from the validated token, not from the request body. A client can put whatever user id it likes in the payload and it is ignored for ownership.</w:t>
      </w:r>
    </w:p>
    <w:p>
      <w:pPr>
        <w:keepNext/>
        <w:spacing w:after="90" w:before="260"/>
      </w:pPr>
      <w:r>
        <w:rPr>
          <w:rFonts w:ascii="Arial" w:cs="Arial" w:eastAsia="Arial" w:hAnsi="Arial"/>
          <w:b/>
          <w:bCs/>
          <w:color w:val="141C24"/>
          <w:sz w:val="22"/>
          <w:szCs w:val="22"/>
        </w:rPr>
        <w:t xml:space="preserve">Can an inspection record be edited or deleted afterwards?</w:t>
      </w:r>
    </w:p>
    <w:p>
      <w:pPr>
        <w:spacing w:after="110" w:before="0" w:line="288"/>
      </w:pPr>
      <w:r>
        <w:rPr>
          <w:rFonts w:ascii="Arial" w:cs="Arial" w:eastAsia="Arial" w:hAnsi="Arial"/>
        </w:rPr>
        <w:t xml:space="preserve">Not by any client, including an admin. Row-level security denies by default, and we wrote only a select policy for the scans table — no insert, update or delete policy exists, so those operations are forbidden outright. The backend's service key is the only writer, and it only ever inserts.</w:t>
      </w:r>
    </w:p>
    <w:p>
      <w:pPr>
        <w:pBdr>
          <w:left w:val="single" w:color="C8D2DC" w:sz="12" w:space="10"/>
        </w:pBdr>
        <w:spacing w:after="200" w:before="60" w:line="288"/>
        <w:ind w:left="360"/>
      </w:pPr>
      <w:r>
        <w:rPr>
          <w:rFonts w:ascii="Arial" w:cs="Arial" w:eastAsia="Arial" w:hAnsi="Arial"/>
          <w:i/>
          <w:iCs/>
          <w:color w:val="002045"/>
        </w:rPr>
        <w:t xml:space="preserve">"Immutability is not a rule we follow. It is a permission that was never granted."</w:t>
      </w:r>
    </w:p>
    <w:p>
      <w:pPr>
        <w:keepNext/>
        <w:spacing w:after="90" w:before="260"/>
      </w:pPr>
      <w:r>
        <w:rPr>
          <w:rFonts w:ascii="Arial" w:cs="Arial" w:eastAsia="Arial" w:hAnsi="Arial"/>
          <w:b/>
          <w:bCs/>
          <w:color w:val="141C24"/>
          <w:sz w:val="22"/>
          <w:szCs w:val="22"/>
        </w:rPr>
        <w:t xml:space="preserve">Is the service-role key not a huge liability?</w:t>
      </w:r>
    </w:p>
    <w:p>
      <w:pPr>
        <w:spacing w:after="110" w:before="0" w:line="288"/>
      </w:pPr>
      <w:r>
        <w:rPr>
          <w:rFonts w:ascii="Arial" w:cs="Arial" w:eastAsia="Arial" w:hAnsi="Arial"/>
        </w:rPr>
        <w:t xml:space="preserve">It is, which is why it exists in exactly one place: an environment variable on the backend host. Not in the repository, not in the frontend bundle, not in any response. If it ever leaked, rotating it in the dashboard invalidates it immediately. The browser only ever holds the anon key, which is powerless beyond what the policies allow.</w:t>
      </w:r>
    </w:p>
    <w:p>
      <w:pPr>
        <w:keepNext/>
        <w:spacing w:after="90" w:before="260"/>
      </w:pPr>
      <w:r>
        <w:rPr>
          <w:rFonts w:ascii="Arial" w:cs="Arial" w:eastAsia="Arial" w:hAnsi="Arial"/>
          <w:b/>
          <w:bCs/>
          <w:color w:val="141C24"/>
          <w:sz w:val="22"/>
          <w:szCs w:val="22"/>
        </w:rPr>
        <w:t xml:space="preserve">Can an officer see other officers' inspections?</w:t>
      </w:r>
    </w:p>
    <w:p>
      <w:pPr>
        <w:spacing w:after="110" w:before="0" w:line="288"/>
      </w:pPr>
      <w:r>
        <w:rPr>
          <w:rFonts w:ascii="Arial" w:cs="Arial" w:eastAsia="Arial" w:hAnsi="Arial"/>
        </w:rPr>
        <w:t xml:space="preserve">No. The policy scopes reads to your own rows unless you are an admin — and that is enforced in the database, so it holds even if someone bypasses our interface entirely and queries with the public key directly.</w:t>
      </w:r>
    </w:p>
    <w:p>
      <w:pPr>
        <w:keepNext/>
        <w:spacing w:after="90" w:before="260"/>
      </w:pPr>
      <w:r>
        <w:rPr>
          <w:rFonts w:ascii="Arial" w:cs="Arial" w:eastAsia="Arial" w:hAnsi="Arial"/>
          <w:b/>
          <w:bCs/>
          <w:color w:val="141C24"/>
          <w:sz w:val="22"/>
          <w:szCs w:val="22"/>
        </w:rPr>
        <w:t xml:space="preserve">What stops someone burning through your AI credits?</w:t>
      </w:r>
    </w:p>
    <w:p>
      <w:pPr>
        <w:spacing w:after="110" w:before="0" w:line="288"/>
      </w:pPr>
      <w:r>
        <w:rPr>
          <w:rFonts w:ascii="Arial" w:cs="Arial" w:eastAsia="Arial" w:hAnsi="Arial"/>
        </w:rPr>
        <w:t xml:space="preserve">Authentication first — the scan endpoint is closed to anonymous callers — then a per-user limit of twenty scans a minute. Be upfront about the limitation: it is held in the process's memory, so it resets on restart and would not be shared across multiple instances. A shared store is the fix, and it is a small one.</w:t>
      </w:r>
    </w:p>
    <w:p>
      <w:pPr>
        <w:keepNext/>
        <w:spacing w:after="90" w:before="260"/>
      </w:pPr>
      <w:r>
        <w:rPr>
          <w:rFonts w:ascii="Arial" w:cs="Arial" w:eastAsia="Arial" w:hAnsi="Arial"/>
          <w:b/>
          <w:bCs/>
          <w:color w:val="141C24"/>
          <w:sz w:val="22"/>
          <w:szCs w:val="22"/>
        </w:rPr>
        <w:t xml:space="preserve">What personal data do you hold?</w:t>
      </w:r>
    </w:p>
    <w:p>
      <w:pPr>
        <w:spacing w:after="110" w:before="0" w:line="288"/>
      </w:pPr>
      <w:r>
        <w:rPr>
          <w:rFonts w:ascii="Arial" w:cs="Arial" w:eastAsia="Arial" w:hAnsi="Arial"/>
        </w:rPr>
        <w:t xml:space="preserve">The officer's name and email from Google, their user id on each scan for attribution, and the package photographs. No consumer data, no payment data, no passwords — sign-in is delegated to Google entirely.</w:t>
      </w:r>
    </w:p>
    <w:p>
      <w:pPr>
        <w:pStyle w:val="Heading2"/>
        <w:spacing w:after="120" w:before="320"/>
      </w:pPr>
      <w:r>
        <w:rPr>
          <w:rFonts w:ascii="Arial" w:cs="Arial" w:eastAsia="Arial" w:hAnsi="Arial"/>
          <w:b/>
          <w:bCs/>
          <w:color w:val="002045"/>
          <w:sz w:val="24"/>
          <w:szCs w:val="24"/>
        </w:rPr>
        <w:t xml:space="preserve">Product and scale</w:t>
      </w:r>
    </w:p>
    <w:p>
      <w:pPr>
        <w:keepNext/>
        <w:spacing w:after="90" w:before="260"/>
      </w:pPr>
      <w:r>
        <w:rPr>
          <w:rFonts w:ascii="Arial" w:cs="Arial" w:eastAsia="Arial" w:hAnsi="Arial"/>
          <w:b/>
          <w:bCs/>
          <w:color w:val="141C24"/>
          <w:sz w:val="22"/>
          <w:szCs w:val="22"/>
        </w:rPr>
        <w:t xml:space="preserve">Who uses this, and where?</w:t>
      </w:r>
    </w:p>
    <w:p>
      <w:pPr>
        <w:spacing w:after="110" w:before="0" w:line="288"/>
      </w:pPr>
      <w:r>
        <w:rPr>
          <w:rFonts w:ascii="Arial" w:cs="Arial" w:eastAsia="Arial" w:hAnsi="Arial"/>
        </w:rPr>
        <w:t xml:space="preserve">A Legal Metrology inspector standing in a shop, a warehouse or a market, holding a phone in one hand and a package in the other. That posture is why the interface is mobile-first, with large touch targets, a bottom navigation bar and a two-tap capture flow.</w:t>
      </w:r>
    </w:p>
    <w:p>
      <w:pPr>
        <w:keepNext/>
        <w:spacing w:after="90" w:before="260"/>
      </w:pPr>
      <w:r>
        <w:rPr>
          <w:rFonts w:ascii="Arial" w:cs="Arial" w:eastAsia="Arial" w:hAnsi="Arial"/>
          <w:b/>
          <w:bCs/>
          <w:color w:val="141C24"/>
          <w:sz w:val="22"/>
          <w:szCs w:val="22"/>
        </w:rPr>
        <w:t xml:space="preserve">What breaks first at scale?</w:t>
      </w:r>
    </w:p>
    <w:p>
      <w:pPr>
        <w:spacing w:after="110" w:before="0" w:line="288"/>
      </w:pPr>
      <w:r>
        <w:rPr>
          <w:rFonts w:ascii="Arial" w:cs="Arial" w:eastAsia="Arial" w:hAnsi="Arial"/>
        </w:rPr>
        <w:t xml:space="preserve">In order: the free-tier backend's cold starts and single instance; the in-memory rate limiter, which stops being correct the moment there are two instances; and then the synchronous scan itself, which would want a queue and workers. None of these is a redesign — they are the ordinary steps from a demo deployment to a production one, and knowing the order is the point.</w:t>
      </w:r>
    </w:p>
    <w:p>
      <w:pPr>
        <w:keepNext/>
        <w:spacing w:after="90" w:before="260"/>
      </w:pPr>
      <w:r>
        <w:rPr>
          <w:rFonts w:ascii="Arial" w:cs="Arial" w:eastAsia="Arial" w:hAnsi="Arial"/>
          <w:b/>
          <w:bCs/>
          <w:color w:val="141C24"/>
          <w:sz w:val="22"/>
          <w:szCs w:val="22"/>
        </w:rPr>
        <w:t xml:space="preserve">What is next on the roadmap?</w:t>
      </w:r>
    </w:p>
    <w:p>
      <w:pPr>
        <w:spacing w:after="110" w:before="0" w:line="288"/>
      </w:pPr>
      <w:r>
        <w:rPr>
          <w:rFonts w:ascii="Arial" w:cs="Arial" w:eastAsia="Arial" w:hAnsi="Arial"/>
        </w:rPr>
        <w:t xml:space="preserve">A labelled accuracy benchmark with per-field precision and recall; an officer correction workflow that records a corrected extraction as a new, linked record so the original evidence stays untouched and the corrections become training data; e-commerce listing checks against the same engine; shared-store rate limiting; and district or state-level reporting for admins.</w:t>
      </w:r>
    </w:p>
    <w:p>
      <w:pPr>
        <w:keepNext/>
        <w:spacing w:after="90" w:before="260"/>
      </w:pPr>
      <w:r>
        <w:rPr>
          <w:rFonts w:ascii="Arial" w:cs="Arial" w:eastAsia="Arial" w:hAnsi="Arial"/>
          <w:b/>
          <w:bCs/>
          <w:color w:val="141C24"/>
          <w:sz w:val="22"/>
          <w:szCs w:val="22"/>
        </w:rPr>
        <w:t xml:space="preserve">What would you do differently if you started again?</w:t>
      </w:r>
    </w:p>
    <w:p>
      <w:pPr>
        <w:spacing w:after="110" w:before="0" w:line="288"/>
      </w:pPr>
      <w:r>
        <w:rPr>
          <w:rFonts w:ascii="Arial" w:cs="Arial" w:eastAsia="Arial" w:hAnsi="Arial"/>
        </w:rPr>
        <w:t xml:space="preserve">Two things. Tests around the rule engine first — it is pure functions with no I/O, the easiest code in the project to test and the most important to get right. And keep the frontend types in lockstep with the backend schema: the product name was extracted and adjudicated for a while before the results screen ever showed it, which one generated shared type would have prevented.</w:t>
      </w:r>
    </w:p>
    <w:p>
      <w:r>
        <w:br w:type="page"/>
      </w:r>
    </w:p>
    <w:p>
      <w:pPr>
        <w:pStyle w:val="Heading1"/>
        <w:pBdr>
          <w:bottom w:val="single" w:color="002045" w:sz="8" w:space="6"/>
        </w:pBdr>
        <w:spacing w:after="180" w:before="420"/>
      </w:pPr>
      <w:r>
        <w:rPr>
          <w:rFonts w:ascii="Arial" w:cs="Arial" w:eastAsia="Arial" w:hAnsi="Arial"/>
          <w:b/>
          <w:bCs/>
          <w:color w:val="002045"/>
          <w:sz w:val="32"/>
          <w:szCs w:val="32"/>
        </w:rPr>
        <w:t xml:space="preserve">11. Known gaps, honest answers</w:t>
      </w:r>
    </w:p>
    <w:p>
      <w:pPr>
        <w:spacing w:after="160" w:before="0" w:line="288"/>
      </w:pPr>
      <w:r>
        <w:rPr>
          <w:rFonts w:ascii="Arial" w:cs="Arial" w:eastAsia="Arial" w:hAnsi="Arial"/>
        </w:rPr>
        <w:t xml:space="preserve">Read this chapter before any demo. Every item here is real and verified in the code. Being the first to name a limitation is worth more than being caught not knowing it.</w:t>
      </w:r>
    </w:p>
    <w:p>
      <w:pPr>
        <w:keepNext/>
        <w:spacing w:after="90" w:before="280"/>
      </w:pPr>
      <w:r>
        <w:rPr>
          <w:rFonts w:ascii="Arial" w:cs="Arial" w:eastAsia="Arial" w:hAnsi="Arial"/>
          <w:b/>
          <w:bCs/>
          <w:color w:val="141C24"/>
          <w:sz w:val="22"/>
          <w:szCs w:val="22"/>
        </w:rPr>
        <w:t xml:space="preserve">The evidence bucket is currently public in the deployed project  </w:t>
      </w:r>
      <w:r>
        <w:rPr>
          <w:rFonts w:ascii="Consolas" w:cs="Consolas" w:eastAsia="Consolas" w:hAnsi="Consolas"/>
          <w:color w:val="991B1B"/>
          <w:sz w:val="16"/>
          <w:szCs w:val="16"/>
        </w:rPr>
        <w:t xml:space="preserve">[REAL GAP]</w:t>
      </w:r>
    </w:p>
    <w:p>
      <w:pPr>
        <w:spacing w:after="110" w:before="0" w:line="288"/>
      </w:pPr>
      <w:r>
        <w:rPr>
          <w:rFonts w:ascii="Arial" w:cs="Arial" w:eastAsia="Arial" w:hAnsi="Arial"/>
        </w:rPr>
        <w:t xml:space="preserve">The schema creates </w:t>
      </w:r>
      <w:r>
        <w:rPr>
          <w:rFonts w:ascii="Consolas" w:cs="Consolas" w:eastAsia="Consolas" w:hAnsi="Consolas"/>
          <w:color w:val="223344"/>
          <w:sz w:val="19"/>
          <w:szCs w:val="19"/>
        </w:rPr>
        <w:t xml:space="preserve">evidence-photos</w:t>
      </w:r>
      <w:r>
        <w:rPr>
          <w:rFonts w:ascii="Arial" w:cs="Arial" w:eastAsia="Arial" w:hAnsi="Arial"/>
        </w:rPr>
        <w:t xml:space="preserve"> as a private bucket, but in the live Supabase project the bucket's public flag is on — so anyone holding an object URL can fetch an evidence photograph without signing in. The filenames are random UUIDs, which is obscurity, not access control. The app no longer relies on that flag (it uses backend-minted signed URLs), so the bucket can be switched to private in the Supabase dashboard with nothing breaking — including the notice.</w:t>
      </w:r>
    </w:p>
    <w:p>
      <w:pPr>
        <w:spacing w:after="160" w:before="0" w:line="288"/>
      </w:pPr>
      <w:r>
        <w:rPr>
          <w:rFonts w:ascii="Arial" w:cs="Arial" w:eastAsia="Arial" w:hAnsi="Arial"/>
          <w:b/>
          <w:bCs/>
        </w:rPr>
        <w:t xml:space="preserve">If asked:</w:t>
      </w:r>
      <w:r>
        <w:rPr>
          <w:rFonts w:ascii="Arial" w:cs="Arial" w:eastAsia="Arial" w:hAnsi="Arial"/>
        </w:rPr>
        <w:t xml:space="preserve"> "Verified and fixable in one toggle — the application layer already assumes the bucket is private."</w:t>
      </w:r>
    </w:p>
    <w:p>
      <w:pPr>
        <w:keepNext/>
        <w:spacing w:after="90" w:before="280"/>
      </w:pPr>
      <w:r>
        <w:rPr>
          <w:rFonts w:ascii="Arial" w:cs="Arial" w:eastAsia="Arial" w:hAnsi="Arial"/>
          <w:b/>
          <w:bCs/>
          <w:color w:val="141C24"/>
          <w:sz w:val="22"/>
          <w:szCs w:val="22"/>
        </w:rPr>
        <w:t xml:space="preserve">The legibility advisory cites a description, not a rule number  </w:t>
      </w:r>
      <w:r>
        <w:rPr>
          <w:rFonts w:ascii="Consolas" w:cs="Consolas" w:eastAsia="Consolas" w:hAnsi="Consolas"/>
          <w:color w:val="B45309"/>
          <w:sz w:val="16"/>
          <w:szCs w:val="16"/>
        </w:rPr>
        <w:t xml:space="preserve">[ACKNOWLEDGED]</w:t>
      </w:r>
    </w:p>
    <w:p>
      <w:pPr>
        <w:spacing w:after="60" w:before="0" w:line="288"/>
      </w:pPr>
      <w:r>
        <w:rPr>
          <w:rFonts w:ascii="Arial" w:cs="Arial" w:eastAsia="Arial" w:hAnsi="Arial"/>
        </w:rPr>
        <w:t xml:space="preserve">The advisory for small print is referenced as ‘LMPC 2011 — legibility of declarations’ rather than a rule and schedule number. The Rules do prescribe minimum letter heights, but the exact citation has not been confirmed by anyone qualified, and an unverified citation printed on an issued notice is worse than none. There is a comment in the rule engine flagging it for whoever confirms it.</w:t>
      </w:r>
    </w:p>
    <w:p>
      <w:pPr>
        <w:keepNext/>
        <w:spacing w:after="90" w:before="280"/>
      </w:pPr>
      <w:r>
        <w:rPr>
          <w:rFonts w:ascii="Arial" w:cs="Arial" w:eastAsia="Arial" w:hAnsi="Arial"/>
          <w:b/>
          <w:bCs/>
          <w:color w:val="141C24"/>
          <w:sz w:val="22"/>
          <w:szCs w:val="22"/>
        </w:rPr>
        <w:t xml:space="preserve">Rate limiting is per process, in memory  </w:t>
      </w:r>
      <w:r>
        <w:rPr>
          <w:rFonts w:ascii="Consolas" w:cs="Consolas" w:eastAsia="Consolas" w:hAnsi="Consolas"/>
          <w:color w:val="B45309"/>
          <w:sz w:val="16"/>
          <w:szCs w:val="16"/>
        </w:rPr>
        <w:t xml:space="preserve">[BY DESIGN, FOR NOW]</w:t>
      </w:r>
    </w:p>
    <w:p>
      <w:pPr>
        <w:spacing w:after="60" w:before="0" w:line="288"/>
      </w:pPr>
      <w:r>
        <w:rPr>
          <w:rFonts w:ascii="Arial" w:cs="Arial" w:eastAsia="Arial" w:hAnsi="Arial"/>
        </w:rPr>
        <w:t xml:space="preserve">Twenty scans per user per minute, held in a dictionary. It resets when the service restarts and would not be shared if the backend ran on more than one instance. It is a spend guard, not a security control — and authentication, not the limiter, is what keeps strangers out.</w:t>
      </w:r>
    </w:p>
    <w:p>
      <w:pPr>
        <w:keepNext/>
        <w:spacing w:after="90" w:before="280"/>
      </w:pPr>
      <w:r>
        <w:rPr>
          <w:rFonts w:ascii="Arial" w:cs="Arial" w:eastAsia="Arial" w:hAnsi="Arial"/>
          <w:b/>
          <w:bCs/>
          <w:color w:val="141C24"/>
          <w:sz w:val="22"/>
          <w:szCs w:val="22"/>
        </w:rPr>
        <w:t xml:space="preserve">No automated test suite  </w:t>
      </w:r>
      <w:r>
        <w:rPr>
          <w:rFonts w:ascii="Consolas" w:cs="Consolas" w:eastAsia="Consolas" w:hAnsi="Consolas"/>
          <w:color w:val="B45309"/>
          <w:sz w:val="16"/>
          <w:szCs w:val="16"/>
        </w:rPr>
        <w:t xml:space="preserve">[ACKNOWLEDGED]</w:t>
      </w:r>
    </w:p>
    <w:p>
      <w:pPr>
        <w:spacing w:after="60" w:before="0" w:line="288"/>
      </w:pPr>
      <w:r>
        <w:rPr>
          <w:rFonts w:ascii="Arial" w:cs="Arial" w:eastAsia="Arial" w:hAnsi="Arial"/>
        </w:rPr>
        <w:t xml:space="preserve">The repository has a comparison spike for OCR but no unit tests. The rule engine is the obvious first target: eight pure functions with no I/O, where a table of crafted inputs would pin every rule and both double-fire guards in an afternoon.</w:t>
      </w:r>
    </w:p>
    <w:p>
      <w:pPr>
        <w:keepNext/>
        <w:spacing w:after="90" w:before="280"/>
      </w:pPr>
      <w:r>
        <w:rPr>
          <w:rFonts w:ascii="Arial" w:cs="Arial" w:eastAsia="Arial" w:hAnsi="Arial"/>
          <w:b/>
          <w:bCs/>
          <w:color w:val="141C24"/>
          <w:sz w:val="22"/>
          <w:szCs w:val="22"/>
        </w:rPr>
        <w:t xml:space="preserve">No published accuracy figure  </w:t>
      </w:r>
      <w:r>
        <w:rPr>
          <w:rFonts w:ascii="Consolas" w:cs="Consolas" w:eastAsia="Consolas" w:hAnsi="Consolas"/>
          <w:color w:val="B45309"/>
          <w:sz w:val="16"/>
          <w:szCs w:val="16"/>
        </w:rPr>
        <w:t xml:space="preserve">[ACKNOWLEDGED]</w:t>
      </w:r>
    </w:p>
    <w:p>
      <w:pPr>
        <w:spacing w:after="60" w:before="0" w:line="288"/>
      </w:pPr>
      <w:r>
        <w:rPr>
          <w:rFonts w:ascii="Arial" w:cs="Arial" w:eastAsia="Arial" w:hAnsi="Arial"/>
        </w:rPr>
        <w:t xml:space="preserve">We quote no extraction accuracy because we have not measured it against a labelled set. Say what the benchmark would be rather than improvising a number under pressure — see chapter 10.</w:t>
      </w:r>
    </w:p>
    <w:p>
      <w:pPr>
        <w:keepNext/>
        <w:spacing w:after="90" w:before="280"/>
      </w:pPr>
      <w:r>
        <w:rPr>
          <w:rFonts w:ascii="Arial" w:cs="Arial" w:eastAsia="Arial" w:hAnsi="Arial"/>
          <w:b/>
          <w:bCs/>
          <w:color w:val="141C24"/>
          <w:sz w:val="22"/>
          <w:szCs w:val="22"/>
        </w:rPr>
        <w:t xml:space="preserve">Cold starts on the free tier  </w:t>
      </w:r>
      <w:r>
        <w:rPr>
          <w:rFonts w:ascii="Consolas" w:cs="Consolas" w:eastAsia="Consolas" w:hAnsi="Consolas"/>
          <w:color w:val="166534"/>
          <w:sz w:val="16"/>
          <w:szCs w:val="16"/>
        </w:rPr>
        <w:t xml:space="preserve">[ENVIRONMENTAL]</w:t>
      </w:r>
    </w:p>
    <w:p>
      <w:pPr>
        <w:spacing w:after="60" w:before="0" w:line="288"/>
      </w:pPr>
      <w:r>
        <w:rPr>
          <w:rFonts w:ascii="Arial" w:cs="Arial" w:eastAsia="Arial" w:hAnsi="Arial"/>
        </w:rPr>
        <w:t xml:space="preserve">Roughly fifty seconds after fifteen minutes idle. Warm the backend by loading </w:t>
      </w:r>
      <w:r>
        <w:rPr>
          <w:rFonts w:ascii="Consolas" w:cs="Consolas" w:eastAsia="Consolas" w:hAnsi="Consolas"/>
          <w:color w:val="223344"/>
          <w:sz w:val="19"/>
          <w:szCs w:val="19"/>
        </w:rPr>
        <w:t xml:space="preserve">/health</w:t>
      </w:r>
      <w:r>
        <w:rPr>
          <w:rFonts w:ascii="Arial" w:cs="Arial" w:eastAsia="Arial" w:hAnsi="Arial"/>
        </w:rPr>
        <w:t xml:space="preserve"> before you present. Not an architectural limitation — a hosting plan.</w:t>
      </w:r>
    </w:p>
    <w:p>
      <w:pPr>
        <w:keepNext/>
        <w:spacing w:after="90" w:before="280"/>
      </w:pPr>
      <w:r>
        <w:rPr>
          <w:rFonts w:ascii="Arial" w:cs="Arial" w:eastAsia="Arial" w:hAnsi="Arial"/>
          <w:b/>
          <w:bCs/>
          <w:color w:val="141C24"/>
          <w:sz w:val="22"/>
          <w:szCs w:val="22"/>
        </w:rPr>
        <w:t xml:space="preserve">Category is recorded but does not branch the rules  </w:t>
      </w:r>
      <w:r>
        <w:rPr>
          <w:rFonts w:ascii="Consolas" w:cs="Consolas" w:eastAsia="Consolas" w:hAnsi="Consolas"/>
          <w:color w:val="166534"/>
          <w:sz w:val="16"/>
          <w:szCs w:val="16"/>
        </w:rPr>
        <w:t xml:space="preserve">[DELIBERATE]</w:t>
      </w:r>
    </w:p>
    <w:p>
      <w:pPr>
        <w:spacing w:after="60" w:before="0" w:line="288"/>
      </w:pPr>
      <w:r>
        <w:rPr>
          <w:rFonts w:ascii="Arial" w:cs="Arial" w:eastAsia="Arial" w:hAnsi="Arial"/>
        </w:rPr>
        <w:t xml:space="preserve">Covered in chapter 6. This one is a design decision with a comment in the code explaining it, so present it as a decision, not an omission — the legal reasoning is that Rule 6 applies to all packaged commodities alike.</w:t>
      </w:r>
    </w:p>
    <w:p>
      <w:pPr>
        <w:pStyle w:val="Heading1"/>
        <w:pBdr>
          <w:bottom w:val="single" w:color="002045" w:sz="8" w:space="6"/>
        </w:pBdr>
        <w:spacing w:after="180" w:before="420"/>
      </w:pPr>
      <w:r>
        <w:rPr>
          <w:rFonts w:ascii="Arial" w:cs="Arial" w:eastAsia="Arial" w:hAnsi="Arial"/>
          <w:b/>
          <w:bCs/>
          <w:color w:val="002045"/>
          <w:sz w:val="32"/>
          <w:szCs w:val="32"/>
        </w:rPr>
        <w:t xml:space="preserve">12. Glossary</w:t>
      </w:r>
    </w:p>
    <w:p>
      <w:pPr>
        <w:spacing w:after="160" w:before="0" w:line="288"/>
      </w:pPr>
      <w:r>
        <w:rPr>
          <w:rFonts w:ascii="Arial" w:cs="Arial" w:eastAsia="Arial" w:hAnsi="Arial"/>
        </w:rPr>
        <w:t xml:space="preserve">Terms that come up when explaining this project, in the sense we use them.</w:t>
      </w:r>
    </w:p>
    <w:tbl>
      <w:tblPr>
        <w:tblW w:type="dxa" w:w="9360"/>
        <w:tblBorders>
          <w:top w:val="single" w:color="C8D2DC" w:sz="4"/>
          <w:left w:val="single" w:color="C8D2DC" w:sz="4"/>
          <w:bottom w:val="single" w:color="C8D2DC" w:sz="4"/>
          <w:right w:val="single" w:color="C8D2DC" w:sz="4"/>
          <w:insideH w:val="single" w:color="C8D2DC" w:sz="4"/>
          <w:insideV w:val="single" w:color="C8D2DC" w:sz="4"/>
        </w:tblBorders>
      </w:tblPr>
      <w:tblGrid>
        <w:gridCol w:w="2700"/>
        <w:gridCol w:w="6660"/>
      </w:tblGrid>
      <w:tr>
        <w:trPr>
          <w:tblHeader/>
        </w:trPr>
        <w:tc>
          <w:tcPr>
            <w:tcW w:type="dxa" w:w="27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Term</w:t>
            </w:r>
          </w:p>
        </w:tc>
        <w:tc>
          <w:tcPr>
            <w:tcW w:type="dxa" w:w="6660"/>
            <w:shd w:fill="EDF2F7" w:color="auto" w:val="clear"/>
            <w:tcMar>
              <w:top w:type="dxa" w:w="90"/>
              <w:left w:type="dxa" w:w="130"/>
              <w:bottom w:type="dxa" w:w="90"/>
              <w:right w:type="dxa" w:w="130"/>
            </w:tcMar>
          </w:tcPr>
          <w:p>
            <w:pPr>
              <w:spacing w:after="0" w:line="264"/>
            </w:pPr>
            <w:r>
              <w:rPr>
                <w:rFonts w:ascii="Arial" w:cs="Arial" w:eastAsia="Arial" w:hAnsi="Arial"/>
                <w:b/>
                <w:bCs/>
              </w:rPr>
              <w:t xml:space="preserve">In our sense</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RLS · row-level security</w:t>
            </w:r>
          </w:p>
        </w:tc>
        <w:tc>
          <w:tcPr>
            <w:tcW w:type="dxa" w:w="6660"/>
            <w:tcMar>
              <w:top w:type="dxa" w:w="90"/>
              <w:left w:type="dxa" w:w="130"/>
              <w:bottom w:type="dxa" w:w="90"/>
              <w:right w:type="dxa" w:w="130"/>
            </w:tcMar>
          </w:tcPr>
          <w:p>
            <w:pPr>
              <w:spacing w:after="0" w:line="264"/>
            </w:pPr>
            <w:r>
              <w:rPr>
                <w:rFonts w:ascii="Arial" w:cs="Arial" w:eastAsia="Arial" w:hAnsi="Arial"/>
              </w:rPr>
              <w:t xml:space="preserve">Postgres deciding, per row, who may see or change what. Rules live in the database, so they hold no matter which client asks.</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Policy</w:t>
            </w:r>
          </w:p>
        </w:tc>
        <w:tc>
          <w:tcPr>
            <w:tcW w:type="dxa" w:w="6660"/>
            <w:tcMar>
              <w:top w:type="dxa" w:w="90"/>
              <w:left w:type="dxa" w:w="130"/>
              <w:bottom w:type="dxa" w:w="90"/>
              <w:right w:type="dxa" w:w="130"/>
            </w:tcMar>
          </w:tcPr>
          <w:p>
            <w:pPr>
              <w:spacing w:after="0" w:line="264"/>
            </w:pPr>
            <w:r>
              <w:rPr>
                <w:rFonts w:ascii="Arial" w:cs="Arial" w:eastAsia="Arial" w:hAnsi="Arial"/>
              </w:rPr>
              <w:t xml:space="preserve">One RLS rule for one operation on one table. No policy for an operation means that operation is forbidden — which is how our records became immutable.</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JWT · access token</w:t>
            </w:r>
          </w:p>
        </w:tc>
        <w:tc>
          <w:tcPr>
            <w:tcW w:type="dxa" w:w="6660"/>
            <w:tcMar>
              <w:top w:type="dxa" w:w="90"/>
              <w:left w:type="dxa" w:w="130"/>
              <w:bottom w:type="dxa" w:w="90"/>
              <w:right w:type="dxa" w:w="130"/>
            </w:tcMar>
          </w:tcPr>
          <w:p>
            <w:pPr>
              <w:spacing w:after="0" w:line="264"/>
            </w:pPr>
            <w:r>
              <w:rPr>
                <w:rFonts w:ascii="Arial" w:cs="Arial" w:eastAsia="Arial" w:hAnsi="Arial"/>
              </w:rPr>
              <w:t xml:space="preserve">The signed token proving a user is signed in. Held by the browser, sent to our API in an Authorization header, validated against Supabase.</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Anon key</w:t>
            </w:r>
          </w:p>
        </w:tc>
        <w:tc>
          <w:tcPr>
            <w:tcW w:type="dxa" w:w="6660"/>
            <w:tcMar>
              <w:top w:type="dxa" w:w="90"/>
              <w:left w:type="dxa" w:w="130"/>
              <w:bottom w:type="dxa" w:w="90"/>
              <w:right w:type="dxa" w:w="130"/>
            </w:tcMar>
          </w:tcPr>
          <w:p>
            <w:pPr>
              <w:spacing w:after="0" w:line="264"/>
            </w:pPr>
            <w:r>
              <w:rPr>
                <w:rFonts w:ascii="Arial" w:cs="Arial" w:eastAsia="Arial" w:hAnsi="Arial"/>
              </w:rPr>
              <w:t xml:space="preserve">The public Supabase key inside the browser bundle. Harmless on its own; everything it can do is defined by policies.</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Service-role key</w:t>
            </w:r>
          </w:p>
        </w:tc>
        <w:tc>
          <w:tcPr>
            <w:tcW w:type="dxa" w:w="6660"/>
            <w:tcMar>
              <w:top w:type="dxa" w:w="90"/>
              <w:left w:type="dxa" w:w="130"/>
              <w:bottom w:type="dxa" w:w="90"/>
              <w:right w:type="dxa" w:w="130"/>
            </w:tcMar>
          </w:tcPr>
          <w:p>
            <w:pPr>
              <w:spacing w:after="0" w:line="264"/>
            </w:pPr>
            <w:r>
              <w:rPr>
                <w:rFonts w:ascii="Arial" w:cs="Arial" w:eastAsia="Arial" w:hAnsi="Arial"/>
              </w:rPr>
              <w:t xml:space="preserve">The privileged Supabase key that bypasses RLS. Backend only, environment variable only, never in the repository.</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Structured output · response schema</w:t>
            </w:r>
          </w:p>
        </w:tc>
        <w:tc>
          <w:tcPr>
            <w:tcW w:type="dxa" w:w="6660"/>
            <w:tcMar>
              <w:top w:type="dxa" w:w="90"/>
              <w:left w:type="dxa" w:w="130"/>
              <w:bottom w:type="dxa" w:w="90"/>
              <w:right w:type="dxa" w:w="130"/>
            </w:tcMar>
          </w:tcPr>
          <w:p>
            <w:pPr>
              <w:spacing w:after="0" w:line="264"/>
            </w:pPr>
            <w:r>
              <w:rPr>
                <w:rFonts w:ascii="Arial" w:cs="Arial" w:eastAsia="Arial" w:hAnsi="Arial"/>
              </w:rPr>
              <w:t xml:space="preserve">Telling the model the exact JSON shape its answer must satisfy, rather than asking in prose and parsing hopefully.</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Pydantic</w:t>
            </w:r>
          </w:p>
        </w:tc>
        <w:tc>
          <w:tcPr>
            <w:tcW w:type="dxa" w:w="6660"/>
            <w:tcMar>
              <w:top w:type="dxa" w:w="90"/>
              <w:left w:type="dxa" w:w="130"/>
              <w:bottom w:type="dxa" w:w="90"/>
              <w:right w:type="dxa" w:w="130"/>
            </w:tcMar>
          </w:tcPr>
          <w:p>
            <w:pPr>
              <w:spacing w:after="0" w:line="264"/>
            </w:pPr>
            <w:r>
              <w:rPr>
                <w:rFonts w:ascii="Arial" w:cs="Arial" w:eastAsia="Arial" w:hAnsi="Arial"/>
              </w:rPr>
              <w:t xml:space="preserve">The Python library that defines our data shapes. The same class validates API traffic and serves as the schema sent to Gemini.</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VLM · vision-language model</w:t>
            </w:r>
          </w:p>
        </w:tc>
        <w:tc>
          <w:tcPr>
            <w:tcW w:type="dxa" w:w="6660"/>
            <w:tcMar>
              <w:top w:type="dxa" w:w="90"/>
              <w:left w:type="dxa" w:w="130"/>
              <w:bottom w:type="dxa" w:w="90"/>
              <w:right w:type="dxa" w:w="130"/>
            </w:tcMar>
          </w:tcPr>
          <w:p>
            <w:pPr>
              <w:spacing w:after="0" w:line="264"/>
            </w:pPr>
            <w:r>
              <w:rPr>
                <w:rFonts w:ascii="Arial" w:cs="Arial" w:eastAsia="Arial" w:hAnsi="Arial"/>
              </w:rPr>
              <w:t xml:space="preserve">A model that takes images and text together, so it can both read a label and decide which field each piece of text belongs to.</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CORS</w:t>
            </w:r>
          </w:p>
        </w:tc>
        <w:tc>
          <w:tcPr>
            <w:tcW w:type="dxa" w:w="6660"/>
            <w:tcMar>
              <w:top w:type="dxa" w:w="90"/>
              <w:left w:type="dxa" w:w="130"/>
              <w:bottom w:type="dxa" w:w="90"/>
              <w:right w:type="dxa" w:w="130"/>
            </w:tcMar>
          </w:tcPr>
          <w:p>
            <w:pPr>
              <w:spacing w:after="0" w:line="264"/>
            </w:pPr>
            <w:r>
              <w:rPr>
                <w:rFonts w:ascii="Arial" w:cs="Arial" w:eastAsia="Arial" w:hAnsi="Arial"/>
              </w:rPr>
              <w:t xml:space="preserve">The browser rule about which origins may call our API. Ours is an explicit allow-list from an environment variable, not a wildcard.</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Trigger</w:t>
            </w:r>
          </w:p>
        </w:tc>
        <w:tc>
          <w:tcPr>
            <w:tcW w:type="dxa" w:w="6660"/>
            <w:tcMar>
              <w:top w:type="dxa" w:w="90"/>
              <w:left w:type="dxa" w:w="130"/>
              <w:bottom w:type="dxa" w:w="90"/>
              <w:right w:type="dxa" w:w="130"/>
            </w:tcMar>
          </w:tcPr>
          <w:p>
            <w:pPr>
              <w:spacing w:after="0" w:line="264"/>
            </w:pPr>
            <w:r>
              <w:rPr>
                <w:rFonts w:ascii="Arial" w:cs="Arial" w:eastAsia="Arial" w:hAnsi="Arial"/>
              </w:rPr>
              <w:t xml:space="preserve">Database code that fires automatically on an event. Ours creates a profile and assigns a role the first time someone signs in.</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SECURITY DEFINER</w:t>
            </w:r>
          </w:p>
        </w:tc>
        <w:tc>
          <w:tcPr>
            <w:tcW w:type="dxa" w:w="6660"/>
            <w:tcMar>
              <w:top w:type="dxa" w:w="90"/>
              <w:left w:type="dxa" w:w="130"/>
              <w:bottom w:type="dxa" w:w="90"/>
              <w:right w:type="dxa" w:w="130"/>
            </w:tcMar>
          </w:tcPr>
          <w:p>
            <w:pPr>
              <w:spacing w:after="0" w:line="264"/>
            </w:pPr>
            <w:r>
              <w:rPr>
                <w:rFonts w:ascii="Arial" w:cs="Arial" w:eastAsia="Arial" w:hAnsi="Arial"/>
              </w:rPr>
              <w:t xml:space="preserve">A function that runs with its creator's privileges. Used for the admin check so a policy on profiles does not have to read profiles to evaluate itself.</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Cold start</w:t>
            </w:r>
          </w:p>
        </w:tc>
        <w:tc>
          <w:tcPr>
            <w:tcW w:type="dxa" w:w="6660"/>
            <w:tcMar>
              <w:top w:type="dxa" w:w="90"/>
              <w:left w:type="dxa" w:w="130"/>
              <w:bottom w:type="dxa" w:w="90"/>
              <w:right w:type="dxa" w:w="130"/>
            </w:tcMar>
          </w:tcPr>
          <w:p>
            <w:pPr>
              <w:spacing w:after="0" w:line="264"/>
            </w:pPr>
            <w:r>
              <w:rPr>
                <w:rFonts w:ascii="Arial" w:cs="Arial" w:eastAsia="Arial" w:hAnsi="Arial"/>
              </w:rPr>
              <w:t xml:space="preserve">The delay when a sleeping free-tier server has to boot before answering. Ours is about fifty seconds.</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SPA · single-page application</w:t>
            </w:r>
          </w:p>
        </w:tc>
        <w:tc>
          <w:tcPr>
            <w:tcW w:type="dxa" w:w="6660"/>
            <w:tcMar>
              <w:top w:type="dxa" w:w="90"/>
              <w:left w:type="dxa" w:w="130"/>
              <w:bottom w:type="dxa" w:w="90"/>
              <w:right w:type="dxa" w:w="130"/>
            </w:tcMar>
          </w:tcPr>
          <w:p>
            <w:pPr>
              <w:spacing w:after="0" w:line="264"/>
            </w:pPr>
            <w:r>
              <w:rPr>
                <w:rFonts w:ascii="Arial" w:cs="Arial" w:eastAsia="Arial" w:hAnsi="Arial"/>
              </w:rPr>
              <w:t xml:space="preserve">A web app that renders routes in the browser instead of fetching a page per navigation. Needs a host rewrite rule so refreshing a deep link works.</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Advisory</w:t>
            </w:r>
          </w:p>
        </w:tc>
        <w:tc>
          <w:tcPr>
            <w:tcW w:type="dxa" w:w="6660"/>
            <w:tcMar>
              <w:top w:type="dxa" w:w="90"/>
              <w:left w:type="dxa" w:w="130"/>
              <w:bottom w:type="dxa" w:w="90"/>
              <w:right w:type="dxa" w:w="130"/>
            </w:tcMar>
          </w:tcPr>
          <w:p>
            <w:pPr>
              <w:spacing w:after="0" w:line="264"/>
            </w:pPr>
            <w:r>
              <w:rPr>
                <w:rFonts w:ascii="Arial" w:cs="Arial" w:eastAsia="Arial" w:hAnsi="Arial"/>
              </w:rPr>
              <w:t xml:space="preserve">An observation for the officer that is not a rule failure and never changes the compliance status — used where a photograph cannot settle the question.</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Declaration block</w:t>
            </w:r>
          </w:p>
        </w:tc>
        <w:tc>
          <w:tcPr>
            <w:tcW w:type="dxa" w:w="6660"/>
            <w:tcMar>
              <w:top w:type="dxa" w:w="90"/>
              <w:left w:type="dxa" w:w="130"/>
              <w:bottom w:type="dxa" w:w="90"/>
              <w:right w:type="dxa" w:w="130"/>
            </w:tcMar>
          </w:tcPr>
          <w:p>
            <w:pPr>
              <w:spacing w:after="0" w:line="264"/>
            </w:pPr>
            <w:r>
              <w:rPr>
                <w:rFonts w:ascii="Arial" w:cs="Arial" w:eastAsia="Arial" w:hAnsi="Arial"/>
              </w:rPr>
              <w:t xml:space="preserve">The small combined box in which many packs print MRP, use-by date and lot number together, usually ink-jetted on after the pack was made.</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Media resolution</w:t>
            </w:r>
          </w:p>
        </w:tc>
        <w:tc>
          <w:tcPr>
            <w:tcW w:type="dxa" w:w="6660"/>
            <w:tcMar>
              <w:top w:type="dxa" w:w="90"/>
              <w:left w:type="dxa" w:w="130"/>
              <w:bottom w:type="dxa" w:w="90"/>
              <w:right w:type="dxa" w:w="130"/>
            </w:tcMar>
          </w:tcPr>
          <w:p>
            <w:pPr>
              <w:spacing w:after="0" w:line="264"/>
            </w:pPr>
            <w:r>
              <w:rPr>
                <w:rFonts w:ascii="Arial" w:cs="Arial" w:eastAsia="Arial" w:hAnsi="Arial"/>
              </w:rPr>
              <w:t xml:space="preserve">How many image tokens the model spends per photograph. Set to high here, which is what makes small print readable.</w:t>
            </w:r>
          </w:p>
        </w:tc>
      </w:tr>
      <w:tr>
        <w:tc>
          <w:tcPr>
            <w:tcW w:type="dxa" w:w="2700"/>
            <w:tcMar>
              <w:top w:type="dxa" w:w="90"/>
              <w:left w:type="dxa" w:w="130"/>
              <w:bottom w:type="dxa" w:w="90"/>
              <w:right w:type="dxa" w:w="130"/>
            </w:tcMar>
          </w:tcPr>
          <w:p>
            <w:pPr>
              <w:spacing w:after="0" w:line="264"/>
            </w:pPr>
            <w:r>
              <w:rPr>
                <w:rFonts w:ascii="Arial" w:cs="Arial" w:eastAsia="Arial" w:hAnsi="Arial"/>
              </w:rPr>
              <w:t xml:space="preserve">Improvement Notice</w:t>
            </w:r>
          </w:p>
        </w:tc>
        <w:tc>
          <w:tcPr>
            <w:tcW w:type="dxa" w:w="6660"/>
            <w:tcMar>
              <w:top w:type="dxa" w:w="90"/>
              <w:left w:type="dxa" w:w="130"/>
              <w:bottom w:type="dxa" w:w="90"/>
              <w:right w:type="dxa" w:w="130"/>
            </w:tcMar>
          </w:tcPr>
          <w:p>
            <w:pPr>
              <w:spacing w:after="0" w:line="264"/>
            </w:pPr>
            <w:r>
              <w:rPr>
                <w:rFonts w:ascii="Arial" w:cs="Arial" w:eastAsia="Arial" w:hAnsi="Arial"/>
              </w:rPr>
              <w:t xml:space="preserve">The formal Legal Metrology instrument requiring a packer to correct declarations within a stated period. Our output document.</w:t>
            </w:r>
          </w:p>
        </w:tc>
      </w:tr>
    </w:tbl>
    <w:p>
      <w:pPr>
        <w:pStyle w:val="Heading1"/>
        <w:pBdr>
          <w:bottom w:val="single" w:color="002045" w:sz="8" w:space="6"/>
        </w:pBdr>
        <w:spacing w:after="180" w:before="420"/>
      </w:pPr>
      <w:r>
        <w:rPr>
          <w:rFonts w:ascii="Arial" w:cs="Arial" w:eastAsia="Arial" w:hAnsi="Arial"/>
          <w:b/>
          <w:bCs/>
          <w:color w:val="002045"/>
          <w:sz w:val="32"/>
          <w:szCs w:val="32"/>
        </w:rPr>
        <w:t xml:space="preserve">13. Demo script and roles</w:t>
      </w:r>
    </w:p>
    <w:p>
      <w:pPr>
        <w:pStyle w:val="Heading2"/>
        <w:spacing w:after="120" w:before="320"/>
      </w:pPr>
      <w:r>
        <w:rPr>
          <w:rFonts w:ascii="Arial" w:cs="Arial" w:eastAsia="Arial" w:hAnsi="Arial"/>
          <w:b/>
          <w:bCs/>
          <w:color w:val="002045"/>
          <w:sz w:val="24"/>
          <w:szCs w:val="24"/>
        </w:rPr>
        <w:t xml:space="preserve">Before you start</w:t>
      </w:r>
    </w:p>
    <w:p>
      <w:pPr>
        <w:pStyle w:val="ListParagraph"/>
        <w:numPr>
          <w:ilvl w:val="0"/>
          <w:numId w:val="2"/>
        </w:numPr>
        <w:spacing w:after="90" w:line="288"/>
      </w:pPr>
      <w:r>
        <w:rPr>
          <w:rFonts w:ascii="Arial" w:cs="Arial" w:eastAsia="Arial" w:hAnsi="Arial"/>
        </w:rPr>
        <w:t xml:space="preserve">Load </w:t>
      </w:r>
      <w:r>
        <w:rPr>
          <w:rFonts w:ascii="Consolas" w:cs="Consolas" w:eastAsia="Consolas" w:hAnsi="Consolas"/>
          <w:color w:val="223344"/>
          <w:sz w:val="19"/>
          <w:szCs w:val="19"/>
        </w:rPr>
        <w:t xml:space="preserve">/health</w:t>
      </w:r>
      <w:r>
        <w:rPr>
          <w:rFonts w:ascii="Arial" w:cs="Arial" w:eastAsia="Arial" w:hAnsi="Arial"/>
        </w:rPr>
        <w:t xml:space="preserve"> on the backend to wake it. Do this twice if the first is slow.</w:t>
      </w:r>
    </w:p>
    <w:p>
      <w:pPr>
        <w:pStyle w:val="ListParagraph"/>
        <w:numPr>
          <w:ilvl w:val="0"/>
          <w:numId w:val="2"/>
        </w:numPr>
        <w:spacing w:after="90" w:line="288"/>
      </w:pPr>
      <w:r>
        <w:rPr>
          <w:rFonts w:ascii="Arial" w:cs="Arial" w:eastAsia="Arial" w:hAnsi="Arial"/>
        </w:rPr>
        <w:t xml:space="preserve">Have three packages ready: one genuinely compliant, one with an obvious defect — a missing consumer-care block or a price without the tax wording is ideal, because it flags a real rule rather than an empty label.</w:t>
      </w:r>
    </w:p>
    <w:p>
      <w:pPr>
        <w:pStyle w:val="ListParagraph"/>
        <w:numPr>
          <w:ilvl w:val="0"/>
          <w:numId w:val="2"/>
        </w:numPr>
        <w:spacing w:after="90" w:line="288"/>
      </w:pPr>
      <w:r>
        <w:rPr>
          <w:rFonts w:ascii="Arial" w:cs="Arial" w:eastAsia="Arial" w:hAnsi="Arial"/>
        </w:rPr>
        <w:t xml:space="preserve">Sign in on two devices or browsers if you plan to show both roles: an officer and an admin.</w:t>
      </w:r>
    </w:p>
    <w:p>
      <w:pPr>
        <w:pStyle w:val="ListParagraph"/>
        <w:numPr>
          <w:ilvl w:val="0"/>
          <w:numId w:val="2"/>
        </w:numPr>
        <w:spacing w:after="90" w:line="288"/>
      </w:pPr>
      <w:r>
        <w:rPr>
          <w:rFonts w:ascii="Arial" w:cs="Arial" w:eastAsia="Arial" w:hAnsi="Arial"/>
        </w:rPr>
        <w:t xml:space="preserve">Have a third pack whose MRP/use-by/lot are printed together in one tiny box — that is the advisory demo.</w:t>
      </w:r>
    </w:p>
    <w:p>
      <w:pPr>
        <w:pStyle w:val="ListParagraph"/>
        <w:numPr>
          <w:ilvl w:val="0"/>
          <w:numId w:val="2"/>
        </w:numPr>
        <w:spacing w:after="90" w:line="288"/>
      </w:pPr>
      <w:r>
        <w:rPr>
          <w:rFonts w:ascii="Arial" w:cs="Arial" w:eastAsia="Arial" w:hAnsi="Arial"/>
        </w:rPr>
        <w:t xml:space="preserve">Open one past record and confirm the evidence thumbnails load — they come from the backend, so this also proves the API is awake.</w:t>
      </w:r>
    </w:p>
    <w:p>
      <w:pPr>
        <w:pStyle w:val="Heading2"/>
        <w:spacing w:after="120" w:before="320"/>
      </w:pPr>
      <w:r>
        <w:rPr>
          <w:rFonts w:ascii="Arial" w:cs="Arial" w:eastAsia="Arial" w:hAnsi="Arial"/>
          <w:b/>
          <w:bCs/>
          <w:color w:val="002045"/>
          <w:sz w:val="24"/>
          <w:szCs w:val="24"/>
        </w:rPr>
        <w:t xml:space="preserve">The four-minute run</w:t>
      </w:r>
    </w:p>
    <w:p>
      <w:pPr>
        <w:pStyle w:val="ListParagraph"/>
        <w:keepNext/>
        <w:numPr>
          <w:ilvl w:val="0"/>
          <w:numId w:val="4"/>
        </w:numPr>
        <w:spacing w:after="40" w:before="160"/>
      </w:pPr>
      <w:r>
        <w:rPr>
          <w:rFonts w:ascii="Arial" w:cs="Arial" w:eastAsia="Arial" w:hAnsi="Arial"/>
          <w:b/>
          <w:bCs/>
          <w:sz w:val="21"/>
          <w:szCs w:val="21"/>
        </w:rPr>
        <w:t xml:space="preserve">The problem, in one sentence</w:t>
      </w:r>
    </w:p>
    <w:p>
      <w:pPr>
        <w:spacing w:after="60" w:line="288"/>
        <w:ind w:left="620"/>
      </w:pPr>
      <w:r>
        <w:rPr>
          <w:rFonts w:ascii="Arial" w:cs="Arial" w:eastAsia="Arial" w:hAnsi="Arial"/>
        </w:rPr>
        <w:t xml:space="preserve">Mandatory declarations on every packaged good, checked by hand, by too few people. Hold up the package while you say it.</w:t>
      </w:r>
    </w:p>
    <w:p>
      <w:pPr>
        <w:pStyle w:val="ListParagraph"/>
        <w:keepNext/>
        <w:numPr>
          <w:ilvl w:val="0"/>
          <w:numId w:val="4"/>
        </w:numPr>
        <w:spacing w:after="40" w:before="160"/>
      </w:pPr>
      <w:r>
        <w:rPr>
          <w:rFonts w:ascii="Arial" w:cs="Arial" w:eastAsia="Arial" w:hAnsi="Arial"/>
          <w:b/>
          <w:bCs/>
          <w:sz w:val="21"/>
          <w:szCs w:val="21"/>
        </w:rPr>
        <w:t xml:space="preserve">Scan the compliant package</w:t>
      </w:r>
    </w:p>
    <w:p>
      <w:pPr>
        <w:spacing w:after="60" w:line="288"/>
        <w:ind w:left="620"/>
      </w:pPr>
      <w:r>
        <w:rPr>
          <w:rFonts w:ascii="Arial" w:cs="Arial" w:eastAsia="Arial" w:hAnsi="Arial"/>
        </w:rPr>
        <w:t xml:space="preserve">Photograph the panels that carry declarations, pick the category, wait. Read the extracted fields aloud — this is the moment to point out that the officer sees what the machine read, not just its conclusion.</w:t>
      </w:r>
    </w:p>
    <w:p>
      <w:pPr>
        <w:pStyle w:val="ListParagraph"/>
        <w:keepNext/>
        <w:numPr>
          <w:ilvl w:val="0"/>
          <w:numId w:val="4"/>
        </w:numPr>
        <w:spacing w:after="40" w:before="160"/>
      </w:pPr>
      <w:r>
        <w:rPr>
          <w:rFonts w:ascii="Arial" w:cs="Arial" w:eastAsia="Arial" w:hAnsi="Arial"/>
          <w:b/>
          <w:bCs/>
          <w:sz w:val="21"/>
          <w:szCs w:val="21"/>
        </w:rPr>
        <w:t xml:space="preserve">Scan the defective one</w:t>
      </w:r>
    </w:p>
    <w:p>
      <w:pPr>
        <w:spacing w:after="60" w:line="288"/>
        <w:ind w:left="620"/>
      </w:pPr>
      <w:r>
        <w:rPr>
          <w:rFonts w:ascii="Arial" w:cs="Arial" w:eastAsia="Arial" w:hAnsi="Arial"/>
        </w:rPr>
        <w:t xml:space="preserve">Land on the violation list and say the rule number out loud. "Consumer care details missing — Rule 6(2)." The citation is the credibility.</w:t>
      </w:r>
    </w:p>
    <w:p>
      <w:pPr>
        <w:pStyle w:val="ListParagraph"/>
        <w:keepNext/>
        <w:numPr>
          <w:ilvl w:val="0"/>
          <w:numId w:val="4"/>
        </w:numPr>
        <w:spacing w:after="40" w:before="160"/>
      </w:pPr>
      <w:r>
        <w:rPr>
          <w:rFonts w:ascii="Arial" w:cs="Arial" w:eastAsia="Arial" w:hAnsi="Arial"/>
          <w:b/>
          <w:bCs/>
          <w:sz w:val="21"/>
          <w:szCs w:val="21"/>
        </w:rPr>
        <w:t xml:space="preserve">Show the small-print case</w:t>
      </w:r>
    </w:p>
    <w:p>
      <w:pPr>
        <w:spacing w:after="60" w:line="288"/>
        <w:ind w:left="620"/>
      </w:pPr>
      <w:r>
        <w:rPr>
          <w:rFonts w:ascii="Arial" w:cs="Arial" w:eastAsia="Arial" w:hAnsi="Arial"/>
        </w:rPr>
        <w:t xml:space="preserve">Scan a pack whose MRP, use-by and lot number are crammed into one tiny box, adding a close-up as a third photo. The values come back read, and an advisory appears saying the type is too small to adjudicate from a photograph. This is the most convincing thirty seconds in the demo: the system reports what it cannot prove.</w:t>
      </w:r>
    </w:p>
    <w:p>
      <w:pPr>
        <w:pStyle w:val="ListParagraph"/>
        <w:keepNext/>
        <w:numPr>
          <w:ilvl w:val="0"/>
          <w:numId w:val="4"/>
        </w:numPr>
        <w:spacing w:after="40" w:before="160"/>
      </w:pPr>
      <w:r>
        <w:rPr>
          <w:rFonts w:ascii="Arial" w:cs="Arial" w:eastAsia="Arial" w:hAnsi="Arial"/>
          <w:b/>
          <w:bCs/>
          <w:sz w:val="21"/>
          <w:szCs w:val="21"/>
        </w:rPr>
        <w:t xml:space="preserve">Download the Improvement Notice</w:t>
      </w:r>
    </w:p>
    <w:p>
      <w:pPr>
        <w:spacing w:after="60" w:line="288"/>
        <w:ind w:left="620"/>
      </w:pPr>
      <w:r>
        <w:rPr>
          <w:rFonts w:ascii="Arial" w:cs="Arial" w:eastAsia="Arial" w:hAnsi="Arial"/>
        </w:rPr>
        <w:t xml:space="preserve">Open the PDF. This is the strongest thirty seconds you have: a formal, printable, evidence-bearing document produced at the point of inspection.</w:t>
      </w:r>
    </w:p>
    <w:p>
      <w:pPr>
        <w:pStyle w:val="ListParagraph"/>
        <w:keepNext/>
        <w:numPr>
          <w:ilvl w:val="0"/>
          <w:numId w:val="4"/>
        </w:numPr>
        <w:spacing w:after="40" w:before="160"/>
      </w:pPr>
      <w:r>
        <w:rPr>
          <w:rFonts w:ascii="Arial" w:cs="Arial" w:eastAsia="Arial" w:hAnsi="Arial"/>
          <w:b/>
          <w:bCs/>
          <w:sz w:val="21"/>
          <w:szCs w:val="21"/>
        </w:rPr>
        <w:t xml:space="preserve">Switch to the admin view</w:t>
      </w:r>
    </w:p>
    <w:p>
      <w:pPr>
        <w:spacing w:after="60" w:line="288"/>
        <w:ind w:left="620"/>
      </w:pPr>
      <w:r>
        <w:rPr>
          <w:rFonts w:ascii="Arial" w:cs="Arial" w:eastAsia="Arial" w:hAnsi="Arial"/>
        </w:rPr>
        <w:t xml:space="preserve">System-wide activity, user management, no scan button. Say why: the supervisor never files inspections, so the audit trail stays clean.</w:t>
      </w:r>
    </w:p>
    <w:p>
      <w:pPr>
        <w:pStyle w:val="ListParagraph"/>
        <w:keepNext/>
        <w:numPr>
          <w:ilvl w:val="0"/>
          <w:numId w:val="4"/>
        </w:numPr>
        <w:spacing w:after="40" w:before="160"/>
      </w:pPr>
      <w:r>
        <w:rPr>
          <w:rFonts w:ascii="Arial" w:cs="Arial" w:eastAsia="Arial" w:hAnsi="Arial"/>
          <w:b/>
          <w:bCs/>
          <w:sz w:val="21"/>
          <w:szCs w:val="21"/>
        </w:rPr>
        <w:t xml:space="preserve">Close on the boundary</w:t>
      </w:r>
    </w:p>
    <w:p>
      <w:pPr>
        <w:spacing w:after="60" w:line="288"/>
        <w:ind w:left="620"/>
      </w:pPr>
      <w:r>
        <w:rPr>
          <w:rFonts w:ascii="Arial" w:cs="Arial" w:eastAsia="Arial" w:hAnsi="Arial"/>
        </w:rPr>
        <w:t xml:space="preserve">"The AI reads the label. The law is applied by code. The record can never be edited." Then stop talking and take questions.</w:t>
      </w:r>
    </w:p>
    <w:p>
      <w:pPr>
        <w:pStyle w:val="Heading2"/>
        <w:spacing w:after="120" w:before="320"/>
      </w:pPr>
      <w:r>
        <w:rPr>
          <w:rFonts w:ascii="Arial" w:cs="Arial" w:eastAsia="Arial" w:hAnsi="Arial"/>
          <w:b/>
          <w:bCs/>
          <w:color w:val="002045"/>
          <w:sz w:val="24"/>
          <w:szCs w:val="24"/>
        </w:rPr>
        <w:t xml:space="preserve">Split the room</w:t>
      </w:r>
    </w:p>
    <w:p>
      <w:pPr>
        <w:spacing w:after="160" w:before="0" w:line="288"/>
      </w:pPr>
      <w:r>
        <w:rPr>
          <w:rFonts w:ascii="Arial" w:cs="Arial" w:eastAsia="Arial" w:hAnsi="Arial"/>
        </w:rPr>
        <w:t xml:space="preserve">Decide who owns each area before you walk in, so nobody answers over anybody and no question lands in silence. A workable split for a four-person team:</w:t>
      </w:r>
    </w:p>
    <w:tbl>
      <w:tblPr>
        <w:tblW w:type="dxa" w:w="9360"/>
        <w:tblBorders>
          <w:top w:val="single" w:color="C8D2DC" w:sz="4"/>
          <w:left w:val="single" w:color="C8D2DC" w:sz="4"/>
          <w:bottom w:val="single" w:color="C8D2DC" w:sz="4"/>
          <w:right w:val="single" w:color="C8D2DC" w:sz="4"/>
          <w:insideH w:val="single" w:color="C8D2DC" w:sz="4"/>
          <w:insideV w:val="single" w:color="C8D2DC" w:sz="4"/>
        </w:tblBorders>
      </w:tblPr>
      <w:tblGrid>
        <w:gridCol w:w="2100"/>
        <w:gridCol w:w="5460"/>
        <w:gridCol w:w="1800"/>
      </w:tblGrid>
      <w:tr>
        <w:trPr>
          <w:tblHeader/>
        </w:trPr>
        <w:tc>
          <w:tcPr>
            <w:tcW w:type="dxa" w:w="21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Owner</w:t>
            </w:r>
          </w:p>
        </w:tc>
        <w:tc>
          <w:tcPr>
            <w:tcW w:type="dxa" w:w="5460"/>
            <w:shd w:fill="EDF2F7" w:color="auto" w:val="clear"/>
            <w:tcMar>
              <w:top w:type="dxa" w:w="90"/>
              <w:left w:type="dxa" w:w="130"/>
              <w:bottom w:type="dxa" w:w="90"/>
              <w:right w:type="dxa" w:w="130"/>
            </w:tcMar>
          </w:tcPr>
          <w:p>
            <w:pPr>
              <w:spacing w:after="0" w:line="264"/>
            </w:pPr>
            <w:r>
              <w:rPr>
                <w:rFonts w:ascii="Arial" w:cs="Arial" w:eastAsia="Arial" w:hAnsi="Arial"/>
                <w:b/>
                <w:bCs/>
              </w:rPr>
              <w:t xml:space="preserve">Fields</w:t>
            </w:r>
          </w:p>
        </w:tc>
        <w:tc>
          <w:tcPr>
            <w:tcW w:type="dxa" w:w="1800"/>
            <w:shd w:fill="EDF2F7" w:color="auto" w:val="clear"/>
            <w:tcMar>
              <w:top w:type="dxa" w:w="90"/>
              <w:left w:type="dxa" w:w="130"/>
              <w:bottom w:type="dxa" w:w="90"/>
              <w:right w:type="dxa" w:w="130"/>
            </w:tcMar>
          </w:tcPr>
          <w:p>
            <w:pPr>
              <w:spacing w:after="0" w:line="264"/>
            </w:pPr>
            <w:r>
              <w:rPr>
                <w:rFonts w:ascii="Arial" w:cs="Arial" w:eastAsia="Arial" w:hAnsi="Arial"/>
                <w:b/>
                <w:bCs/>
              </w:rPr>
              <w:t xml:space="preserve">Chapters</w:t>
            </w:r>
          </w:p>
        </w:tc>
      </w:tr>
      <w:tr>
        <w:tc>
          <w:tcPr>
            <w:tcW w:type="dxa" w:w="2100"/>
            <w:tcMar>
              <w:top w:type="dxa" w:w="90"/>
              <w:left w:type="dxa" w:w="130"/>
              <w:bottom w:type="dxa" w:w="90"/>
              <w:right w:type="dxa" w:w="130"/>
            </w:tcMar>
          </w:tcPr>
          <w:p>
            <w:pPr>
              <w:spacing w:after="0" w:line="264"/>
            </w:pPr>
            <w:r>
              <w:rPr>
                <w:rFonts w:ascii="Arial" w:cs="Arial" w:eastAsia="Arial" w:hAnsi="Arial"/>
              </w:rPr>
              <w:t xml:space="preserve">Pitch and demo</w:t>
            </w:r>
          </w:p>
        </w:tc>
        <w:tc>
          <w:tcPr>
            <w:tcW w:type="dxa" w:w="5460"/>
            <w:tcMar>
              <w:top w:type="dxa" w:w="90"/>
              <w:left w:type="dxa" w:w="130"/>
              <w:bottom w:type="dxa" w:w="90"/>
              <w:right w:type="dxa" w:w="130"/>
            </w:tcMar>
          </w:tcPr>
          <w:p>
            <w:pPr>
              <w:spacing w:after="0" w:line="264"/>
            </w:pPr>
            <w:r>
              <w:rPr>
                <w:rFonts w:ascii="Arial" w:cs="Arial" w:eastAsia="Arial" w:hAnsi="Arial"/>
              </w:rPr>
              <w:t xml:space="preserve">Problem, users, walkthrough, roadmap</w:t>
            </w:r>
          </w:p>
        </w:tc>
        <w:tc>
          <w:tcPr>
            <w:tcW w:type="dxa" w:w="1800"/>
            <w:tcMar>
              <w:top w:type="dxa" w:w="90"/>
              <w:left w:type="dxa" w:w="130"/>
              <w:bottom w:type="dxa" w:w="90"/>
              <w:right w:type="dxa" w:w="130"/>
            </w:tcMar>
          </w:tcPr>
          <w:p>
            <w:pPr>
              <w:spacing w:after="0" w:line="264"/>
            </w:pPr>
            <w:r>
              <w:rPr>
                <w:rFonts w:ascii="Arial" w:cs="Arial" w:eastAsia="Arial" w:hAnsi="Arial"/>
              </w:rPr>
              <w:t xml:space="preserve">1, 2, 13</w:t>
            </w:r>
          </w:p>
        </w:tc>
      </w:tr>
      <w:tr>
        <w:tc>
          <w:tcPr>
            <w:tcW w:type="dxa" w:w="2100"/>
            <w:tcMar>
              <w:top w:type="dxa" w:w="90"/>
              <w:left w:type="dxa" w:w="130"/>
              <w:bottom w:type="dxa" w:w="90"/>
              <w:right w:type="dxa" w:w="130"/>
            </w:tcMar>
          </w:tcPr>
          <w:p>
            <w:pPr>
              <w:spacing w:after="0" w:line="264"/>
            </w:pPr>
            <w:r>
              <w:rPr>
                <w:rFonts w:ascii="Arial" w:cs="Arial" w:eastAsia="Arial" w:hAnsi="Arial"/>
              </w:rPr>
              <w:t xml:space="preserve">Systems</w:t>
            </w:r>
          </w:p>
        </w:tc>
        <w:tc>
          <w:tcPr>
            <w:tcW w:type="dxa" w:w="5460"/>
            <w:tcMar>
              <w:top w:type="dxa" w:w="90"/>
              <w:left w:type="dxa" w:w="130"/>
              <w:bottom w:type="dxa" w:w="90"/>
              <w:right w:type="dxa" w:w="130"/>
            </w:tcMar>
          </w:tcPr>
          <w:p>
            <w:pPr>
              <w:spacing w:after="0" w:line="264"/>
            </w:pPr>
            <w:r>
              <w:rPr>
                <w:rFonts w:ascii="Arial" w:cs="Arial" w:eastAsia="Arial" w:hAnsi="Arial"/>
              </w:rPr>
              <w:t xml:space="preserve">Architecture, API, deployment, scaling</w:t>
            </w:r>
          </w:p>
        </w:tc>
        <w:tc>
          <w:tcPr>
            <w:tcW w:type="dxa" w:w="1800"/>
            <w:tcMar>
              <w:top w:type="dxa" w:w="90"/>
              <w:left w:type="dxa" w:w="130"/>
              <w:bottom w:type="dxa" w:w="90"/>
              <w:right w:type="dxa" w:w="130"/>
            </w:tcMar>
          </w:tcPr>
          <w:p>
            <w:pPr>
              <w:spacing w:after="0" w:line="264"/>
            </w:pPr>
            <w:r>
              <w:rPr>
                <w:rFonts w:ascii="Arial" w:cs="Arial" w:eastAsia="Arial" w:hAnsi="Arial"/>
              </w:rPr>
              <w:t xml:space="preserve">3, 4, 9</w:t>
            </w:r>
          </w:p>
        </w:tc>
      </w:tr>
      <w:tr>
        <w:tc>
          <w:tcPr>
            <w:tcW w:type="dxa" w:w="2100"/>
            <w:tcMar>
              <w:top w:type="dxa" w:w="90"/>
              <w:left w:type="dxa" w:w="130"/>
              <w:bottom w:type="dxa" w:w="90"/>
              <w:right w:type="dxa" w:w="130"/>
            </w:tcMar>
          </w:tcPr>
          <w:p>
            <w:pPr>
              <w:spacing w:after="0" w:line="264"/>
            </w:pPr>
            <w:r>
              <w:rPr>
                <w:rFonts w:ascii="Arial" w:cs="Arial" w:eastAsia="Arial" w:hAnsi="Arial"/>
              </w:rPr>
              <w:t xml:space="preserve">AI and rules</w:t>
            </w:r>
          </w:p>
        </w:tc>
        <w:tc>
          <w:tcPr>
            <w:tcW w:type="dxa" w:w="5460"/>
            <w:tcMar>
              <w:top w:type="dxa" w:w="90"/>
              <w:left w:type="dxa" w:w="130"/>
              <w:bottom w:type="dxa" w:w="90"/>
              <w:right w:type="dxa" w:w="130"/>
            </w:tcMar>
          </w:tcPr>
          <w:p>
            <w:pPr>
              <w:spacing w:after="0" w:line="264"/>
            </w:pPr>
            <w:r>
              <w:rPr>
                <w:rFonts w:ascii="Arial" w:cs="Arial" w:eastAsia="Arial" w:hAnsi="Arial"/>
              </w:rPr>
              <w:t xml:space="preserve">Model choice, structured output, the eight rules, accuracy</w:t>
            </w:r>
          </w:p>
        </w:tc>
        <w:tc>
          <w:tcPr>
            <w:tcW w:type="dxa" w:w="1800"/>
            <w:tcMar>
              <w:top w:type="dxa" w:w="90"/>
              <w:left w:type="dxa" w:w="130"/>
              <w:bottom w:type="dxa" w:w="90"/>
              <w:right w:type="dxa" w:w="130"/>
            </w:tcMar>
          </w:tcPr>
          <w:p>
            <w:pPr>
              <w:spacing w:after="0" w:line="264"/>
            </w:pPr>
            <w:r>
              <w:rPr>
                <w:rFonts w:ascii="Arial" w:cs="Arial" w:eastAsia="Arial" w:hAnsi="Arial"/>
              </w:rPr>
              <w:t xml:space="preserve">5, 6</w:t>
            </w:r>
          </w:p>
        </w:tc>
      </w:tr>
      <w:tr>
        <w:tc>
          <w:tcPr>
            <w:tcW w:type="dxa" w:w="2100"/>
            <w:tcMar>
              <w:top w:type="dxa" w:w="90"/>
              <w:left w:type="dxa" w:w="130"/>
              <w:bottom w:type="dxa" w:w="90"/>
              <w:right w:type="dxa" w:w="130"/>
            </w:tcMar>
          </w:tcPr>
          <w:p>
            <w:pPr>
              <w:spacing w:after="0" w:line="264"/>
            </w:pPr>
            <w:r>
              <w:rPr>
                <w:rFonts w:ascii="Arial" w:cs="Arial" w:eastAsia="Arial" w:hAnsi="Arial"/>
              </w:rPr>
              <w:t xml:space="preserve">Data and security</w:t>
            </w:r>
          </w:p>
        </w:tc>
        <w:tc>
          <w:tcPr>
            <w:tcW w:type="dxa" w:w="5460"/>
            <w:tcMar>
              <w:top w:type="dxa" w:w="90"/>
              <w:left w:type="dxa" w:w="130"/>
              <w:bottom w:type="dxa" w:w="90"/>
              <w:right w:type="dxa" w:w="130"/>
            </w:tcMar>
          </w:tcPr>
          <w:p>
            <w:pPr>
              <w:spacing w:after="0" w:line="264"/>
            </w:pPr>
            <w:r>
              <w:rPr>
                <w:rFonts w:ascii="Arial" w:cs="Arial" w:eastAsia="Arial" w:hAnsi="Arial"/>
              </w:rPr>
              <w:t xml:space="preserve">Auth, roles, RLS, immutability, evidence, the notice</w:t>
            </w:r>
          </w:p>
        </w:tc>
        <w:tc>
          <w:tcPr>
            <w:tcW w:type="dxa" w:w="1800"/>
            <w:tcMar>
              <w:top w:type="dxa" w:w="90"/>
              <w:left w:type="dxa" w:w="130"/>
              <w:bottom w:type="dxa" w:w="90"/>
              <w:right w:type="dxa" w:w="130"/>
            </w:tcMar>
          </w:tcPr>
          <w:p>
            <w:pPr>
              <w:spacing w:after="0" w:line="264"/>
            </w:pPr>
            <w:r>
              <w:rPr>
                <w:rFonts w:ascii="Arial" w:cs="Arial" w:eastAsia="Arial" w:hAnsi="Arial"/>
              </w:rPr>
              <w:t xml:space="preserve">7, 8</w:t>
            </w:r>
          </w:p>
        </w:tc>
      </w:tr>
    </w:tbl>
    <w:p>
      <w:pPr>
        <w:spacing w:after="140"/>
      </w:pPr>
    </w:p>
    <w:p>
      <w:pPr>
        <w:spacing w:after="160" w:before="0" w:line="288"/>
      </w:pPr>
      <w:r>
        <w:rPr>
          <w:rFonts w:ascii="Arial" w:cs="Arial" w:eastAsia="Arial" w:hAnsi="Arial"/>
        </w:rPr>
        <w:t xml:space="preserve">Everyone reads chapter 11 regardless of their area. The person who owns an area should be the one to say "we have not measured that yet" — a limitation named by its owner reads as rigour, and a limitation discovered by a judge reads as a gap.</w:t>
      </w:r>
    </w:p>
    <w:p>
      <w:pPr>
        <w:pStyle w:val="Heading2"/>
        <w:spacing w:after="120" w:before="320"/>
      </w:pPr>
      <w:r>
        <w:rPr>
          <w:rFonts w:ascii="Arial" w:cs="Arial" w:eastAsia="Arial" w:hAnsi="Arial"/>
          <w:b/>
          <w:bCs/>
          <w:color w:val="002045"/>
          <w:sz w:val="24"/>
          <w:szCs w:val="24"/>
        </w:rPr>
        <w:t xml:space="preserve">Three sentences worth memorising verbatim</w:t>
      </w:r>
    </w:p>
    <w:p>
      <w:pPr>
        <w:pBdr>
          <w:left w:val="single" w:color="C8D2DC" w:sz="12" w:space="10"/>
        </w:pBdr>
        <w:spacing w:after="200" w:before="60" w:line="288"/>
        <w:ind w:left="360"/>
      </w:pPr>
      <w:r>
        <w:rPr>
          <w:rFonts w:ascii="Arial" w:cs="Arial" w:eastAsia="Arial" w:hAnsi="Arial"/>
          <w:i/>
          <w:iCs/>
          <w:color w:val="002045"/>
        </w:rPr>
        <w:t xml:space="preserve">"The AI reads the label. The law is applied by code."</w:t>
      </w:r>
    </w:p>
    <w:p>
      <w:pPr>
        <w:pBdr>
          <w:left w:val="single" w:color="C8D2DC" w:sz="12" w:space="10"/>
        </w:pBdr>
        <w:spacing w:after="200" w:before="60" w:line="288"/>
        <w:ind w:left="360"/>
      </w:pPr>
      <w:r>
        <w:rPr>
          <w:rFonts w:ascii="Arial" w:cs="Arial" w:eastAsia="Arial" w:hAnsi="Arial"/>
          <w:i/>
          <w:iCs/>
          <w:color w:val="002045"/>
        </w:rPr>
        <w:t xml:space="preserve">"Immutability is not a rule we follow — it is a permission that was never granted."</w:t>
      </w:r>
    </w:p>
    <w:p>
      <w:pPr>
        <w:pBdr>
          <w:left w:val="single" w:color="C8D2DC" w:sz="12" w:space="10"/>
        </w:pBdr>
        <w:spacing w:after="200" w:before="60" w:line="288"/>
        <w:ind w:left="360"/>
      </w:pPr>
      <w:r>
        <w:rPr>
          <w:rFonts w:ascii="Arial" w:cs="Arial" w:eastAsia="Arial" w:hAnsi="Arial"/>
          <w:i/>
          <w:iCs/>
          <w:color w:val="002045"/>
        </w:rPr>
        <w:t xml:space="preserve">"We would rather tell you the benchmark is our next milestone than quote a number we have not earned."</w:t>
      </w:r>
    </w:p>
    <w:p>
      <w:pPr>
        <w:spacing w:after="300"/>
      </w:pPr>
    </w:p>
    <w:p>
      <w:pPr>
        <w:pBdr>
          <w:top w:val="single" w:color="002045" w:sz="8" w:space="8"/>
        </w:pBdr>
        <w:spacing w:before="200"/>
      </w:pPr>
      <w:r>
        <w:rPr>
          <w:rFonts w:ascii="Arial" w:cs="Arial" w:eastAsia="Arial" w:hAnsi="Arial"/>
          <w:i/>
          <w:iCs/>
          <w:color w:val="5A6672"/>
          <w:sz w:val="17"/>
          <w:szCs w:val="17"/>
        </w:rPr>
        <w:t xml:space="preserve">ParakhMitra briefing book · written against the repository state of 28 August 2026 · orientation in README.md, working context and invariants in CLAUDE.md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ParakhMitra — The Briefing Book</dc:title>
  <dc:creator>ParakhMitra team</dc:creator>
  <dc:description>Team briefing guide: architecture, rules, security, and a bank of anticipated questions.</dc:description>
  <cp:lastModifiedBy>Un-named</cp:lastModifiedBy>
  <cp:revision>1</cp:revision>
  <dcterms:created xsi:type="dcterms:W3CDTF">2026-08-28T13:41:19.912Z</dcterms:created>
  <dcterms:modified xsi:type="dcterms:W3CDTF">2026-08-28T13:41:19.913Z</dcterms:modified>
</cp:coreProperties>
</file>

<file path=docProps/custom.xml><?xml version="1.0" encoding="utf-8"?>
<Properties xmlns="http://schemas.openxmlformats.org/officeDocument/2006/custom-properties" xmlns:vt="http://schemas.openxmlformats.org/officeDocument/2006/docPropsVTypes"/>
</file>