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p>
    <w:p>
      <w:pPr>
        <w:spacing w:before="0" w:after="0" w:line="480" w:lineRule="auto"/>
        <w:jc w:val="center"/>
      </w:pPr>
      <w:r>
        <w:rPr>
          <w:rFonts w:ascii="Times New Roman" w:hAnsi="Times New Roman"/>
          <w:b w:val="0"/>
          <w:i w:val="0"/>
          <w:sz w:val="24"/>
        </w:rPr>
        <w:t>MSAI 699 Capstone Project</w:t>
      </w:r>
    </w:p>
    <w:p>
      <w:pPr>
        <w:spacing w:before="0" w:after="0" w:line="480" w:lineRule="auto"/>
        <w:jc w:val="center"/>
      </w:pPr>
    </w:p>
    <w:p>
      <w:pPr>
        <w:spacing w:before="0" w:after="0" w:line="480" w:lineRule="auto"/>
        <w:jc w:val="center"/>
      </w:pPr>
      <w:r>
        <w:rPr>
          <w:rFonts w:ascii="Times New Roman" w:hAnsi="Times New Roman"/>
          <w:b w:val="0"/>
          <w:i w:val="0"/>
          <w:sz w:val="24"/>
        </w:rPr>
        <w:t>Instructor: Dr. Gamini Bulumulle</w:t>
      </w:r>
    </w:p>
    <w:p>
      <w:pPr>
        <w:spacing w:before="0" w:after="0" w:line="480" w:lineRule="auto"/>
        <w:jc w:val="center"/>
      </w:pPr>
    </w:p>
    <w:p>
      <w:pPr>
        <w:spacing w:before="0" w:after="0" w:line="480" w:lineRule="auto"/>
        <w:jc w:val="center"/>
      </w:pPr>
      <w:r>
        <w:rPr>
          <w:rFonts w:ascii="Times New Roman" w:hAnsi="Times New Roman"/>
          <w:b w:val="0"/>
          <w:i w:val="0"/>
          <w:sz w:val="24"/>
        </w:rPr>
        <w:t>Week 7: Final Report</w:t>
      </w:r>
    </w:p>
    <w:p>
      <w:pPr>
        <w:spacing w:before="0" w:after="0" w:line="480" w:lineRule="auto"/>
        <w:jc w:val="center"/>
      </w:pPr>
    </w:p>
    <w:p>
      <w:pPr>
        <w:spacing w:before="0" w:after="0" w:line="480" w:lineRule="auto"/>
        <w:jc w:val="center"/>
      </w:pPr>
      <w:r>
        <w:rPr>
          <w:rFonts w:ascii="Times New Roman" w:hAnsi="Times New Roman"/>
          <w:b w:val="0"/>
          <w:i w:val="0"/>
          <w:sz w:val="24"/>
        </w:rPr>
        <w:t>TrustResume: Evidence-Based Resume Generation Using RAG, Multi-Agent AI, and Trust Verification</w:t>
      </w:r>
    </w:p>
    <w:p>
      <w:pPr>
        <w:spacing w:before="0" w:after="0" w:line="480" w:lineRule="auto"/>
        <w:jc w:val="center"/>
      </w:pPr>
    </w:p>
    <w:p>
      <w:pPr>
        <w:spacing w:before="0" w:after="0" w:line="480" w:lineRule="auto"/>
        <w:jc w:val="center"/>
      </w:pPr>
      <w:r>
        <w:rPr>
          <w:rFonts w:ascii="Times New Roman" w:hAnsi="Times New Roman"/>
          <w:b w:val="0"/>
          <w:i w:val="0"/>
          <w:sz w:val="24"/>
        </w:rPr>
        <w:t>Peng Fei Xu</w:t>
      </w:r>
    </w:p>
    <w:p>
      <w:pPr>
        <w:spacing w:before="0" w:after="0" w:line="480" w:lineRule="auto"/>
        <w:jc w:val="center"/>
      </w:pPr>
    </w:p>
    <w:p>
      <w:pPr>
        <w:spacing w:before="0" w:after="0" w:line="480" w:lineRule="auto"/>
        <w:jc w:val="center"/>
      </w:pPr>
      <w:r>
        <w:rPr>
          <w:rFonts w:ascii="Times New Roman" w:hAnsi="Times New Roman"/>
          <w:b w:val="0"/>
          <w:i w:val="0"/>
          <w:sz w:val="24"/>
        </w:rPr>
        <w:t>University of the Cumberlands</w:t>
      </w:r>
    </w:p>
    <w:p>
      <w:pPr>
        <w:spacing w:before="0" w:after="0" w:line="480" w:lineRule="auto"/>
        <w:jc w:val="center"/>
      </w:pPr>
    </w:p>
    <w:p>
      <w:pPr>
        <w:spacing w:before="0" w:after="0" w:line="480" w:lineRule="auto"/>
        <w:jc w:val="center"/>
      </w:pPr>
      <w:r>
        <w:rPr>
          <w:rFonts w:ascii="Times New Roman" w:hAnsi="Times New Roman"/>
          <w:b w:val="0"/>
          <w:i w:val="0"/>
          <w:sz w:val="24"/>
        </w:rPr>
        <w:t>Submitted to the University of the Cumberlands</w:t>
      </w:r>
    </w:p>
    <w:p>
      <w:pPr>
        <w:spacing w:before="0" w:after="0" w:line="480" w:lineRule="auto"/>
        <w:jc w:val="center"/>
      </w:pPr>
      <w:r>
        <w:rPr>
          <w:rFonts w:ascii="Times New Roman" w:hAnsi="Times New Roman"/>
          <w:b w:val="0"/>
          <w:i w:val="0"/>
          <w:sz w:val="24"/>
        </w:rPr>
        <w:t>in Partial Fulfillment of the Requirements of the Degree of</w:t>
      </w:r>
    </w:p>
    <w:p>
      <w:pPr>
        <w:spacing w:before="0" w:after="0" w:line="480" w:lineRule="auto"/>
        <w:jc w:val="center"/>
      </w:pPr>
      <w:r>
        <w:rPr>
          <w:rFonts w:ascii="Times New Roman" w:hAnsi="Times New Roman"/>
          <w:b w:val="0"/>
          <w:i w:val="0"/>
          <w:sz w:val="24"/>
        </w:rPr>
        <w:t>Master of Science in Artificial Intelligence</w:t>
      </w:r>
    </w:p>
    <w:p>
      <w:pPr>
        <w:spacing w:before="0" w:after="0" w:line="480" w:lineRule="auto"/>
        <w:jc w:val="center"/>
      </w:pPr>
    </w:p>
    <w:p>
      <w:pPr>
        <w:spacing w:before="0" w:after="0" w:line="480" w:lineRule="auto"/>
        <w:jc w:val="center"/>
      </w:pPr>
      <w:r>
        <w:rPr>
          <w:rFonts w:ascii="Times New Roman" w:hAnsi="Times New Roman"/>
          <w:b w:val="0"/>
          <w:i w:val="0"/>
          <w:sz w:val="24"/>
        </w:rPr>
        <w:t>Aug 11, 2026</w:t>
      </w:r>
    </w:p>
    <w:p>
      <w:r>
        <w:br w:type="page"/>
      </w:r>
    </w:p>
    <w:p>
      <w:pPr>
        <w:spacing w:before="0" w:after="0" w:line="480" w:lineRule="auto"/>
        <w:jc w:val="center"/>
      </w:pPr>
      <w:r>
        <w:rPr>
          <w:rFonts w:ascii="Times New Roman" w:hAnsi="Times New Roman"/>
          <w:b/>
          <w:i w:val="0"/>
          <w:sz w:val="24"/>
        </w:rPr>
        <w:t>Abstract</w:t>
      </w:r>
    </w:p>
    <w:p>
      <w:pPr>
        <w:spacing w:before="0" w:after="0" w:line="480" w:lineRule="auto"/>
      </w:pPr>
      <w:r>
        <w:rPr>
          <w:rFonts w:ascii="Times New Roman" w:hAnsi="Times New Roman"/>
          <w:sz w:val="24"/>
        </w:rPr>
        <w:t>TrustResume checks every claim in a generated resume against a candidate's own evidence before showing it to anyone. This is a direct response to the risk that an unconstrained LLM embellishes a resume. This report covers a from-scratch reimplementation of an earlier pydantic-ai/Qdrant capstone on LangChain, LangGraph, and ChromaDB: six agents coordinated by a quality loop that always rewrites a draft a configurable number of times against a Trust gate and an ATS gate, regardless of whether an earlier draft already passed, then ships whichever draft actually scored best. An offline evaluation harness scores the system itself: hybrid retrieval reaches recall@8 1.000/MRR 0.938, and the Trust Harness, after a calibration fix documented here, classifies claims at accuracy/macro-F1 0.833 (up from 0.500/0.489) with zero dangerous false-pass errors either way. A 500-test suite holds 99.2% coverage, and four real Bedrock-hosted runs show the thesis directly: the system would rather fail a candidate than invent experience they lack. The report closes with the challenges this build surfaced and the work still open.</w:t>
      </w:r>
    </w:p>
    <w:p>
      <w:pPr>
        <w:spacing w:before="0" w:after="0" w:line="480" w:lineRule="auto"/>
      </w:pPr>
      <w:r>
        <w:rPr>
          <w:rFonts w:ascii="Times New Roman" w:hAnsi="Times New Roman"/>
          <w:b/>
          <w:i w:val="0"/>
          <w:sz w:val="24"/>
        </w:rPr>
        <w:t>1. Introduction</w:t>
      </w:r>
    </w:p>
    <w:p>
      <w:pPr>
        <w:spacing w:before="0" w:after="0" w:line="480" w:lineRule="auto"/>
      </w:pPr>
      <w:r>
        <w:rPr>
          <w:rFonts w:ascii="Times New Roman" w:hAnsi="Times New Roman"/>
          <w:sz w:val="24"/>
        </w:rPr>
        <w:t>Resume writing is adversarial-by-default for a language model: the easiest way to make a draft look stronger is to overstate scope, seniority, or a metric the evidence doesn't support. TrustResume's answer is architectural: generation and verification run as separate agents, so the writer never grades its own work, and every claim it produces is checked against retrieved evidence by an independent Trust Harness before any score reaches a user. This system is a from-scratch reimplementation of an earlier MSAI-699 capstone (a RAG and multi-agent pipeline on pydantic-ai and Qdrant) on LangChain, LangGraph, and ChromaDB, a deliberate learning exercise in the field's dominant agent framework rather than a redesign; the architecture, the SQLite storage layer, and the trust/ATS scoring logic carried over unchanged, while how agents are built and coordinated did not.</w:t>
      </w:r>
    </w:p>
    <w:p>
      <w:pPr>
        <w:spacing w:before="0" w:after="0" w:line="480" w:lineRule="auto"/>
      </w:pPr>
      <w:r>
        <w:rPr>
          <w:rFonts w:ascii="Times New Roman" w:hAnsi="Times New Roman"/>
          <w:sz w:val="24"/>
        </w:rPr>
        <w:t>Earlier weeks of this course layered a measurement discipline on top of that port the original project never had: an offline evaluation harness, per-run cost/latency telemetry, role-tiered models, and a testable per-user identity model. This report synthesizes that work: methodology (§2), results (§3), challenges and ethics (§4), and open work (§5).</w:t>
      </w:r>
    </w:p>
    <w:p>
      <w:pPr>
        <w:spacing w:before="0" w:after="0" w:line="480" w:lineRule="auto"/>
      </w:pPr>
      <w:r>
        <w:rPr>
          <w:rFonts w:ascii="Times New Roman" w:hAnsi="Times New Roman"/>
          <w:b/>
          <w:i w:val="0"/>
          <w:sz w:val="24"/>
        </w:rPr>
        <w:t>2. Methodology</w:t>
      </w:r>
    </w:p>
    <w:p>
      <w:pPr>
        <w:spacing w:before="0" w:after="0" w:line="480" w:lineRule="auto"/>
      </w:pPr>
      <w:r>
        <w:rPr>
          <w:rFonts w:ascii="Times New Roman" w:hAnsi="Times New Roman"/>
          <w:b/>
          <w:i/>
          <w:sz w:val="24"/>
        </w:rPr>
        <w:t>2.1 System architecture</w:t>
      </w:r>
    </w:p>
    <w:p>
      <w:pPr>
        <w:spacing w:before="0" w:after="0" w:line="480" w:lineRule="auto"/>
      </w:pPr>
      <w:r>
        <w:rPr>
          <w:rFonts w:ascii="Times New Roman" w:hAnsi="Times New Roman"/>
          <w:sz w:val="24"/>
        </w:rPr>
        <w:t>A run is driven by a single LangGraph StateGraph (Figure 1). Job Description and Evidence Retrieval (hybrid vector + SQLite-FTS5 keyword search, user-scoped) each run once; with a cached Candidate Profile, they feed a quality loop: the Resume Writer drafts, the Trust Harness classifies every claim as SUPPORTED, PARTIALLY_SUPPORTED, or UNSUPPORTED against the evidence, and ATS Evaluation scores keyword coverage against Trust ≥ 90 and ATS ≥ 85. The loop does not stop the moment a draft passes: deterministic feedback drives another rewrite regardless, for a configurable number of rounds (currently one), because a later rewrite can still improve ATS coverage without spending any more of the Trust budget. The run then exports whichever draft actually scored best — a passing draft always beats a failing one, and ties break on ATS, not Trust, since every passer already cleared that bar.</w:t>
      </w:r>
    </w:p>
    <w:p>
      <w:pPr>
        <w:spacing w:before="0" w:after="0" w:line="480" w:lineRule="auto"/>
        <w:jc w:val="center"/>
      </w:pPr>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fig1_pipeline.png"/>
                    <pic:cNvPicPr/>
                  </pic:nvPicPr>
                  <pic:blipFill>
                    <a:blip r:embed="rId9"/>
                    <a:stretch>
                      <a:fillRect/>
                    </a:stretch>
                  </pic:blipFill>
                  <pic:spPr>
                    <a:xfrm>
                      <a:off x="0" y="0"/>
                      <a:ext cx="4572000" cy="2286000"/>
                    </a:xfrm>
                    <a:prstGeom prst="rect"/>
                  </pic:spPr>
                </pic:pic>
              </a:graphicData>
            </a:graphic>
          </wp:inline>
        </w:drawing>
      </w:r>
    </w:p>
    <w:p>
      <w:pPr>
        <w:spacing w:before="0" w:after="0" w:line="480" w:lineRule="auto"/>
        <w:jc w:val="center"/>
      </w:pPr>
      <w:r>
        <w:rPr>
          <w:rFonts w:ascii="Times New Roman" w:hAnsi="Times New Roman"/>
          <w:b w:val="0"/>
          <w:i/>
          <w:sz w:val="20"/>
        </w:rPr>
        <w:t>Figure 1. The generation pipeline: five sequential agents plus a cached sixth, orchestrated by a LangGraph quality loop.</w:t>
      </w:r>
    </w:p>
    <w:p>
      <w:pPr>
        <w:spacing w:before="0" w:after="0" w:line="480" w:lineRule="auto"/>
      </w:pPr>
      <w:r>
        <w:rPr>
          <w:rFonts w:ascii="Times New Roman" w:hAnsi="Times New Roman"/>
          <w:b/>
          <w:i/>
          <w:sz w:val="24"/>
        </w:rPr>
        <w:t>2.2 Key design decisions</w:t>
      </w:r>
    </w:p>
    <w:p>
      <w:pPr>
        <w:spacing w:before="0" w:after="0" w:line="480" w:lineRule="auto"/>
      </w:pPr>
      <w:r>
        <w:rPr>
          <w:rFonts w:ascii="Times New Roman" w:hAnsi="Times New Roman"/>
          <w:sz w:val="24"/>
        </w:rPr>
        <w:t>Storage stayed on SQLite plus ChromaDB rather than Qdrant (ADR-0001), every search scoped by a user_id filter. Retrieval is hybrid (ADR-0010): vector and keyword hits fuse by Reciprocal Rank Fusion, since cosine similarity and BM25 rank aren't comparable. One catches a paraphrase sharing no vocabulary with its evidence; the other catches an exact product name the embedder treats as interchangeable with a competitor. Temperature is pinned to 0 (ADR-0013), since the headline claim is a deterministic, code-computed Trust score; models are tiered by role (extraction/writer/verifier) so a cheap model fills a schema while a stronger one adjudicates trust. Every route resolves its caller from a request header (ADR-0014) instead of one hardcoded demo user, making the isolation boundary testable rather than merely asserted. An opt-in checkpointing layer (ADR-0015) demonstrates LangGraph's durable-execution capability: a crashed run resumes from its last completed node instead of re-paying for already-completed LLM calls, off by default so the pipeline above is unchanged unless a caller opts in. The quality loop's stopping rule changed since the original port (ADR-0016): it no longer ends the instant a draft passes, since a later rewrite can still find a better-tailored one without spending any more of the Trust budget a passing draft already has; the run keeps whichever draft actually scores best rather than whichever one happened to pass first.</w:t>
      </w:r>
    </w:p>
    <w:p>
      <w:pPr>
        <w:spacing w:before="0" w:after="0" w:line="480" w:lineRule="auto"/>
      </w:pPr>
      <w:r>
        <w:rPr>
          <w:rFonts w:ascii="Times New Roman" w:hAnsi="Times New Roman"/>
          <w:b/>
          <w:i/>
          <w:sz w:val="24"/>
        </w:rPr>
        <w:t>2.3 Development process</w:t>
      </w:r>
    </w:p>
    <w:p>
      <w:pPr>
        <w:spacing w:before="0" w:after="0" w:line="480" w:lineRule="auto"/>
      </w:pPr>
      <w:r>
        <w:rPr>
          <w:rFonts w:ascii="Times New Roman" w:hAnsi="Times New Roman"/>
          <w:sz w:val="24"/>
        </w:rPr>
        <w:t>Development proceeded as a module-by-module port checked against the original repository's behavior, with one exception: adopting LangChain-idiomatic constructs where they were a clear win. An AI coding assistant (Claude Code) was used throughout: for the port, the measurement layer, running evaluations, and drafting reports. Every change was reviewed against the running suite and real evaluation output before acceptance.</w:t>
      </w:r>
    </w:p>
    <w:p>
      <w:pPr>
        <w:spacing w:before="0" w:after="0" w:line="480" w:lineRule="auto"/>
      </w:pPr>
      <w:r>
        <w:rPr>
          <w:rFonts w:ascii="Times New Roman" w:hAnsi="Times New Roman"/>
          <w:b/>
          <w:i/>
          <w:sz w:val="24"/>
        </w:rPr>
        <w:t>2.4 Testing and evaluation methodology</w:t>
      </w:r>
    </w:p>
    <w:p>
      <w:pPr>
        <w:spacing w:before="0" w:after="0" w:line="480" w:lineRule="auto"/>
      </w:pPr>
      <w:r>
        <w:rPr>
          <w:rFonts w:ascii="Times New Roman" w:hAnsi="Times New Roman"/>
          <w:sz w:val="24"/>
        </w:rPr>
        <w:t>Correctness and quality are measured separately. Pytest runs entirely offline under a 95% coverage gate; a smaller live-marked slice exercises the real embedding model and a real HTTP server on demand. Neither tells you whether the system is getting better at its job, so a separate offline evaluation harness (ADR-0011) scores retrieval quality and Trust Harness accuracy against labeled ground truth. This is deliberately distinct from the product-facing evaluation package, which scores one resume at runtime and cannot detect that the grader itself has gone wrong.</w:t>
      </w:r>
    </w:p>
    <w:p>
      <w:pPr>
        <w:spacing w:before="0" w:after="0" w:line="480" w:lineRule="auto"/>
      </w:pPr>
      <w:r>
        <w:rPr>
          <w:rFonts w:ascii="Times New Roman" w:hAnsi="Times New Roman"/>
          <w:b/>
          <w:i w:val="0"/>
          <w:sz w:val="24"/>
        </w:rPr>
        <w:t>3. Results</w:t>
      </w:r>
    </w:p>
    <w:p>
      <w:pPr>
        <w:spacing w:before="0" w:after="0" w:line="480" w:lineRule="auto"/>
      </w:pPr>
      <w:r>
        <w:rPr>
          <w:rFonts w:ascii="Times New Roman" w:hAnsi="Times New Roman"/>
          <w:b/>
          <w:i/>
          <w:sz w:val="24"/>
        </w:rPr>
        <w:t>3.1 Automated test suite and CI</w:t>
      </w:r>
    </w:p>
    <w:p>
      <w:pPr>
        <w:spacing w:before="0" w:after="0" w:line="480" w:lineRule="auto"/>
      </w:pPr>
      <w:r>
        <w:rPr>
          <w:rFonts w:ascii="Times New Roman" w:hAnsi="Times New Roman"/>
          <w:sz w:val="24"/>
        </w:rPr>
        <w:t>The suite holds 500 passing tests (9 live-marked tests deselected by default) at 99.2% coverage against a 95% gate. CI runs lint, a format check, strict mypy, and the full suite on Python 3.11 and 3.13 from a locked dependency file on every push and pull request.</w:t>
      </w:r>
    </w:p>
    <w:p>
      <w:pPr>
        <w:spacing w:before="0" w:after="0" w:line="480" w:lineRule="auto"/>
      </w:pPr>
      <w:r>
        <w:rPr>
          <w:rFonts w:ascii="Times New Roman" w:hAnsi="Times New Roman"/>
          <w:b/>
          <w:i/>
          <w:sz w:val="24"/>
        </w:rPr>
        <w:t>3.2 Retrieval evaluation</w:t>
      </w:r>
    </w:p>
    <w:p>
      <w:pPr>
        <w:spacing w:before="0" w:after="0" w:line="480" w:lineRule="auto"/>
      </w:pPr>
      <w:r>
        <w:rPr>
          <w:rFonts w:ascii="Times New Roman" w:hAnsi="Times New Roman"/>
          <w:sz w:val="24"/>
        </w:rPr>
        <w:t>Scored at k=8, the depth a real generation actually retrieves, hybrid retrieval reaches recall@8 1.000 and MRR 0.938 over a 10-document labeled corpus and 9 queries, including one query sharing no vocabulary with its answer and one naming an exact product the embedder treats as interchangeable with a competitor. Precision@8 is 0.156, expected rather than a weakness (most queries have one relevant document, capping precision at 0.125). The one deliberately unanswerable query still returns a full 8 results, since retrieval has no notion of “no good answer.” That's a weak spot discussed in Section 4.</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before="0" w:after="0" w:line="240" w:lineRule="auto"/>
            </w:pPr>
            <w:r>
              <w:rPr>
                <w:rFonts w:ascii="Times New Roman" w:hAnsi="Times New Roman"/>
                <w:b/>
                <w:sz w:val="24"/>
              </w:rPr>
              <w:t>Metric</w:t>
            </w:r>
          </w:p>
        </w:tc>
        <w:tc>
          <w:tcPr>
            <w:tcW w:type="dxa" w:w="3120"/>
          </w:tcPr>
          <w:p>
            <w:pPr>
              <w:spacing w:before="0" w:after="0" w:line="240" w:lineRule="auto"/>
            </w:pPr>
            <w:r>
              <w:rPr>
                <w:rFonts w:ascii="Times New Roman" w:hAnsi="Times New Roman"/>
                <w:b/>
                <w:sz w:val="24"/>
              </w:rPr>
              <w:t>Value</w:t>
            </w:r>
          </w:p>
        </w:tc>
        <w:tc>
          <w:tcPr>
            <w:tcW w:type="dxa" w:w="3120"/>
          </w:tcPr>
          <w:p>
            <w:pPr>
              <w:spacing w:before="0" w:after="0" w:line="240" w:lineRule="auto"/>
            </w:pPr>
            <w:r>
              <w:rPr>
                <w:rFonts w:ascii="Times New Roman" w:hAnsi="Times New Roman"/>
                <w:b/>
                <w:sz w:val="24"/>
              </w:rPr>
              <w:t>Corpus</w:t>
            </w:r>
          </w:p>
        </w:tc>
      </w:tr>
      <w:tr>
        <w:tc>
          <w:tcPr>
            <w:tcW w:type="dxa" w:w="3120"/>
          </w:tcPr>
          <w:p>
            <w:pPr>
              <w:spacing w:before="0" w:after="0" w:line="240" w:lineRule="auto"/>
            </w:pPr>
            <w:r>
              <w:rPr>
                <w:rFonts w:ascii="Times New Roman" w:hAnsi="Times New Roman"/>
                <w:sz w:val="24"/>
              </w:rPr>
              <w:t>Recall@8</w:t>
            </w:r>
          </w:p>
        </w:tc>
        <w:tc>
          <w:tcPr>
            <w:tcW w:type="dxa" w:w="3120"/>
          </w:tcPr>
          <w:p>
            <w:pPr>
              <w:spacing w:before="0" w:after="0" w:line="240" w:lineRule="auto"/>
            </w:pPr>
            <w:r>
              <w:rPr>
                <w:rFonts w:ascii="Times New Roman" w:hAnsi="Times New Roman"/>
                <w:sz w:val="24"/>
              </w:rPr>
              <w:t>1.000</w:t>
            </w:r>
          </w:p>
        </w:tc>
        <w:tc>
          <w:tcPr>
            <w:tcW w:type="dxa" w:w="3120"/>
          </w:tcPr>
          <w:p>
            <w:pPr>
              <w:spacing w:before="0" w:after="0" w:line="240" w:lineRule="auto"/>
            </w:pPr>
            <w:r>
              <w:rPr>
                <w:rFonts w:ascii="Times New Roman" w:hAnsi="Times New Roman"/>
                <w:sz w:val="24"/>
              </w:rPr>
              <w:t>10 documents / 9 queries</w:t>
            </w:r>
          </w:p>
        </w:tc>
      </w:tr>
      <w:tr>
        <w:tc>
          <w:tcPr>
            <w:tcW w:type="dxa" w:w="3120"/>
          </w:tcPr>
          <w:p>
            <w:pPr>
              <w:spacing w:before="0" w:after="0" w:line="240" w:lineRule="auto"/>
            </w:pPr>
            <w:r>
              <w:rPr>
                <w:rFonts w:ascii="Times New Roman" w:hAnsi="Times New Roman"/>
                <w:sz w:val="24"/>
              </w:rPr>
              <w:t>MRR</w:t>
            </w:r>
          </w:p>
        </w:tc>
        <w:tc>
          <w:tcPr>
            <w:tcW w:type="dxa" w:w="3120"/>
          </w:tcPr>
          <w:p>
            <w:pPr>
              <w:spacing w:before="0" w:after="0" w:line="240" w:lineRule="auto"/>
            </w:pPr>
            <w:r>
              <w:rPr>
                <w:rFonts w:ascii="Times New Roman" w:hAnsi="Times New Roman"/>
                <w:sz w:val="24"/>
              </w:rPr>
              <w:t>0.938</w:t>
            </w:r>
          </w:p>
        </w:tc>
        <w:tc>
          <w:tcPr>
            <w:tcW w:type="dxa" w:w="3120"/>
          </w:tcPr>
          <w:p>
            <w:pPr>
              <w:spacing w:before="0" w:after="0" w:line="240" w:lineRule="auto"/>
            </w:pPr>
            <w:r>
              <w:rPr>
                <w:rFonts w:ascii="Times New Roman" w:hAnsi="Times New Roman"/>
                <w:sz w:val="24"/>
              </w:rPr>
              <w:t>10 documents / 9 queries</w:t>
            </w:r>
          </w:p>
        </w:tc>
      </w:tr>
      <w:tr>
        <w:tc>
          <w:tcPr>
            <w:tcW w:type="dxa" w:w="3120"/>
          </w:tcPr>
          <w:p>
            <w:pPr>
              <w:spacing w:before="0" w:after="0" w:line="240" w:lineRule="auto"/>
            </w:pPr>
            <w:r>
              <w:rPr>
                <w:rFonts w:ascii="Times New Roman" w:hAnsi="Times New Roman"/>
                <w:sz w:val="24"/>
              </w:rPr>
              <w:t>Precision@8</w:t>
            </w:r>
          </w:p>
        </w:tc>
        <w:tc>
          <w:tcPr>
            <w:tcW w:type="dxa" w:w="3120"/>
          </w:tcPr>
          <w:p>
            <w:pPr>
              <w:spacing w:before="0" w:after="0" w:line="240" w:lineRule="auto"/>
            </w:pPr>
            <w:r>
              <w:rPr>
                <w:rFonts w:ascii="Times New Roman" w:hAnsi="Times New Roman"/>
                <w:sz w:val="24"/>
              </w:rPr>
              <w:t>0.156</w:t>
            </w:r>
          </w:p>
        </w:tc>
        <w:tc>
          <w:tcPr>
            <w:tcW w:type="dxa" w:w="3120"/>
          </w:tcPr>
          <w:p>
            <w:pPr>
              <w:spacing w:before="0" w:after="0" w:line="240" w:lineRule="auto"/>
            </w:pPr>
            <w:r>
              <w:rPr>
                <w:rFonts w:ascii="Times New Roman" w:hAnsi="Times New Roman"/>
                <w:sz w:val="24"/>
              </w:rPr>
              <w:t>capped by single-relevant-doc queries</w:t>
            </w:r>
          </w:p>
        </w:tc>
      </w:tr>
      <w:tr>
        <w:tc>
          <w:tcPr>
            <w:tcW w:type="dxa" w:w="3120"/>
          </w:tcPr>
          <w:p>
            <w:pPr>
              <w:spacing w:before="0" w:after="0" w:line="240" w:lineRule="auto"/>
            </w:pPr>
            <w:r>
              <w:rPr>
                <w:rFonts w:ascii="Times New Roman" w:hAnsi="Times New Roman"/>
                <w:sz w:val="24"/>
              </w:rPr>
              <w:t>Hit rate</w:t>
            </w:r>
          </w:p>
        </w:tc>
        <w:tc>
          <w:tcPr>
            <w:tcW w:type="dxa" w:w="3120"/>
          </w:tcPr>
          <w:p>
            <w:pPr>
              <w:spacing w:before="0" w:after="0" w:line="240" w:lineRule="auto"/>
            </w:pPr>
            <w:r>
              <w:rPr>
                <w:rFonts w:ascii="Times New Roman" w:hAnsi="Times New Roman"/>
                <w:sz w:val="24"/>
              </w:rPr>
              <w:t>1.000</w:t>
            </w:r>
          </w:p>
        </w:tc>
        <w:tc>
          <w:tcPr>
            <w:tcW w:type="dxa" w:w="3120"/>
          </w:tcPr>
          <w:p>
            <w:pPr>
              <w:spacing w:before="0" w:after="0" w:line="240" w:lineRule="auto"/>
            </w:pPr>
            <w:r>
              <w:rPr>
                <w:rFonts w:ascii="Times New Roman" w:hAnsi="Times New Roman"/>
                <w:sz w:val="24"/>
              </w:rPr>
              <w:t>N/A</w:t>
            </w:r>
          </w:p>
        </w:tc>
      </w:tr>
    </w:tbl>
    <w:p>
      <w:pPr>
        <w:spacing w:before="0" w:after="0" w:line="480" w:lineRule="auto"/>
      </w:pPr>
    </w:p>
    <w:p>
      <w:pPr>
        <w:spacing w:before="0" w:after="0" w:line="480" w:lineRule="auto"/>
      </w:pPr>
      <w:r>
        <w:rPr>
          <w:rFonts w:ascii="Times New Roman" w:hAnsi="Times New Roman"/>
          <w:b/>
          <w:i/>
          <w:sz w:val="24"/>
        </w:rPr>
        <w:t>3.3 Trust Harness evaluation and calibration fix</w:t>
      </w:r>
    </w:p>
    <w:p>
      <w:pPr>
        <w:spacing w:before="0" w:after="0" w:line="480" w:lineRule="auto"/>
      </w:pPr>
      <w:r>
        <w:rPr>
          <w:rFonts w:ascii="Times New Roman" w:hAnsi="Times New Roman"/>
          <w:sz w:val="24"/>
        </w:rPr>
        <w:t>The Trust Harness's original prompt said only to “be strict... do not give the draft the benefit of the doubt,” without defining its three labels. Scored against a 12-case labeled dataset on a real Bedrock model, that prompt measured accuracy 0.500/macro-F1 0.489, with every error off by one severity step toward under-crediting. Even a claim restating its evidence verbatim was downgraded. Explicit label definitions plus a named asymmetry between error types (a false pass ships a fabrication; a false flag costs one rewrite) raised accuracy/macro-F1 to 0.833, reproduced identically on repeat runs, with dangerous errors held at zero throughout.</w:t>
      </w:r>
    </w:p>
    <w:p>
      <w:pPr>
        <w:spacing w:before="0" w:after="0" w:line="480" w:lineRule="auto"/>
      </w:pPr>
      <w:r>
        <w:rPr>
          <w:rFonts w:ascii="Times New Roman" w:hAnsi="Times New Roman"/>
          <w:b/>
          <w:i/>
          <w:sz w:val="24"/>
        </w:rPr>
        <w:t>3.4 End-to-end generations against a real model</w:t>
      </w:r>
    </w:p>
    <w:p>
      <w:pPr>
        <w:spacing w:before="0" w:after="0" w:line="480" w:lineRule="auto"/>
      </w:pPr>
      <w:r>
        <w:rPr>
          <w:rFonts w:ascii="Times New Roman" w:hAnsi="Times New Roman"/>
          <w:sz w:val="24"/>
        </w:rPr>
        <w:t>One synthetic candidate was run against four job postings, real Bedrock end to end, each drafted twice — the loop no longer stops the instant a draft passes (ADR-0016), so even Scenario 1's already-passing first attempt got a second draft anyway. Three of four still fail the quality gate. That's deliberate: a gate that never rejects anything is decoration. Scenario 4 is the clearest evidence for the project's design bet: given an iOS posting for a backend candidate, the writer refused to invent iOS experience, so every claim was supported (Trust 100) and the resume matched no required keyword (ATS 0), identically on both drafts. The system chose to fail the candidate rather than lie for them.</w:t>
      </w:r>
    </w:p>
    <w:tbl>
      <w:tblPr>
        <w:tblStyle w:val="LightGrid-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spacing w:before="0" w:after="0" w:line="240" w:lineRule="auto"/>
            </w:pPr>
            <w:r>
              <w:rPr>
                <w:rFonts w:ascii="Times New Roman" w:hAnsi="Times New Roman"/>
                <w:b/>
                <w:sz w:val="24"/>
              </w:rPr>
              <w:t>Scenario</w:t>
            </w:r>
          </w:p>
        </w:tc>
        <w:tc>
          <w:tcPr>
            <w:tcW w:type="dxa" w:w="1337"/>
          </w:tcPr>
          <w:p>
            <w:pPr>
              <w:spacing w:before="0" w:after="0" w:line="240" w:lineRule="auto"/>
            </w:pPr>
            <w:r>
              <w:rPr>
                <w:rFonts w:ascii="Times New Roman" w:hAnsi="Times New Roman"/>
                <w:b/>
                <w:sz w:val="24"/>
              </w:rPr>
              <w:t>Result</w:t>
            </w:r>
          </w:p>
        </w:tc>
        <w:tc>
          <w:tcPr>
            <w:tcW w:type="dxa" w:w="1337"/>
          </w:tcPr>
          <w:p>
            <w:pPr>
              <w:spacing w:before="0" w:after="0" w:line="240" w:lineRule="auto"/>
            </w:pPr>
            <w:r>
              <w:rPr>
                <w:rFonts w:ascii="Times New Roman" w:hAnsi="Times New Roman"/>
                <w:b/>
                <w:sz w:val="24"/>
              </w:rPr>
              <w:t>Trust /90</w:t>
            </w:r>
          </w:p>
        </w:tc>
        <w:tc>
          <w:tcPr>
            <w:tcW w:type="dxa" w:w="1337"/>
          </w:tcPr>
          <w:p>
            <w:pPr>
              <w:spacing w:before="0" w:after="0" w:line="240" w:lineRule="auto"/>
            </w:pPr>
            <w:r>
              <w:rPr>
                <w:rFonts w:ascii="Times New Roman" w:hAnsi="Times New Roman"/>
                <w:b/>
                <w:sz w:val="24"/>
              </w:rPr>
              <w:t>ATS /85</w:t>
            </w:r>
          </w:p>
        </w:tc>
        <w:tc>
          <w:tcPr>
            <w:tcW w:type="dxa" w:w="1337"/>
          </w:tcPr>
          <w:p>
            <w:pPr>
              <w:spacing w:before="0" w:after="0" w:line="240" w:lineRule="auto"/>
            </w:pPr>
            <w:r>
              <w:rPr>
                <w:rFonts w:ascii="Times New Roman" w:hAnsi="Times New Roman"/>
                <w:b/>
                <w:sz w:val="24"/>
              </w:rPr>
              <w:t>Drafts</w:t>
            </w:r>
          </w:p>
        </w:tc>
        <w:tc>
          <w:tcPr>
            <w:tcW w:type="dxa" w:w="1337"/>
          </w:tcPr>
          <w:p>
            <w:pPr>
              <w:spacing w:before="0" w:after="0" w:line="240" w:lineRule="auto"/>
            </w:pPr>
            <w:r>
              <w:rPr>
                <w:rFonts w:ascii="Times New Roman" w:hAnsi="Times New Roman"/>
                <w:b/>
                <w:sz w:val="24"/>
              </w:rPr>
              <w:t>LLM calls</w:t>
            </w:r>
          </w:p>
        </w:tc>
        <w:tc>
          <w:tcPr>
            <w:tcW w:type="dxa" w:w="1337"/>
          </w:tcPr>
          <w:p>
            <w:pPr>
              <w:spacing w:before="0" w:after="0" w:line="240" w:lineRule="auto"/>
            </w:pPr>
            <w:r>
              <w:rPr>
                <w:rFonts w:ascii="Times New Roman" w:hAnsi="Times New Roman"/>
                <w:b/>
                <w:sz w:val="24"/>
              </w:rPr>
              <w:t>Cost</w:t>
            </w:r>
          </w:p>
        </w:tc>
      </w:tr>
      <w:tr>
        <w:tc>
          <w:tcPr>
            <w:tcW w:type="dxa" w:w="1337"/>
          </w:tcPr>
          <w:p>
            <w:pPr>
              <w:spacing w:before="0" w:after="0" w:line="240" w:lineRule="auto"/>
            </w:pPr>
            <w:r>
              <w:rPr>
                <w:rFonts w:ascii="Times New Roman" w:hAnsi="Times New Roman"/>
                <w:sz w:val="24"/>
              </w:rPr>
              <w:t>1-strong-match</w:t>
            </w:r>
          </w:p>
        </w:tc>
        <w:tc>
          <w:tcPr>
            <w:tcW w:type="dxa" w:w="1337"/>
          </w:tcPr>
          <w:p>
            <w:pPr>
              <w:spacing w:before="0" w:after="0" w:line="240" w:lineRule="auto"/>
            </w:pPr>
            <w:r>
              <w:rPr>
                <w:rFonts w:ascii="Times New Roman" w:hAnsi="Times New Roman"/>
                <w:sz w:val="24"/>
              </w:rPr>
              <w:t>PASS</w:t>
            </w:r>
          </w:p>
        </w:tc>
        <w:tc>
          <w:tcPr>
            <w:tcW w:type="dxa" w:w="1337"/>
          </w:tcPr>
          <w:p>
            <w:pPr>
              <w:spacing w:before="0" w:after="0" w:line="240" w:lineRule="auto"/>
            </w:pPr>
            <w:r>
              <w:rPr>
                <w:rFonts w:ascii="Times New Roman" w:hAnsi="Times New Roman"/>
                <w:sz w:val="24"/>
              </w:rPr>
              <w:t>93</w:t>
            </w:r>
          </w:p>
        </w:tc>
        <w:tc>
          <w:tcPr>
            <w:tcW w:type="dxa" w:w="1337"/>
          </w:tcPr>
          <w:p>
            <w:pPr>
              <w:spacing w:before="0" w:after="0" w:line="240" w:lineRule="auto"/>
            </w:pPr>
            <w:r>
              <w:rPr>
                <w:rFonts w:ascii="Times New Roman" w:hAnsi="Times New Roman"/>
                <w:sz w:val="24"/>
              </w:rPr>
              <w:t>95</w:t>
            </w:r>
          </w:p>
        </w:tc>
        <w:tc>
          <w:tcPr>
            <w:tcW w:type="dxa" w:w="1337"/>
          </w:tcPr>
          <w:p>
            <w:pPr>
              <w:spacing w:before="0" w:after="0" w:line="240" w:lineRule="auto"/>
            </w:pPr>
            <w:r>
              <w:rPr>
                <w:rFonts w:ascii="Times New Roman" w:hAnsi="Times New Roman"/>
                <w:sz w:val="24"/>
              </w:rPr>
              <w:t>2</w:t>
            </w:r>
          </w:p>
        </w:tc>
        <w:tc>
          <w:tcPr>
            <w:tcW w:type="dxa" w:w="1337"/>
          </w:tcPr>
          <w:p>
            <w:pPr>
              <w:spacing w:before="0" w:after="0" w:line="240" w:lineRule="auto"/>
            </w:pPr>
            <w:r>
              <w:rPr>
                <w:rFonts w:ascii="Times New Roman" w:hAnsi="Times New Roman"/>
                <w:sz w:val="24"/>
              </w:rPr>
              <w:t>6</w:t>
            </w:r>
          </w:p>
        </w:tc>
        <w:tc>
          <w:tcPr>
            <w:tcW w:type="dxa" w:w="1337"/>
          </w:tcPr>
          <w:p>
            <w:pPr>
              <w:spacing w:before="0" w:after="0" w:line="240" w:lineRule="auto"/>
            </w:pPr>
            <w:r>
              <w:rPr>
                <w:rFonts w:ascii="Times New Roman" w:hAnsi="Times New Roman"/>
                <w:sz w:val="24"/>
              </w:rPr>
              <w:t>$0.53</w:t>
            </w:r>
          </w:p>
        </w:tc>
      </w:tr>
      <w:tr>
        <w:tc>
          <w:tcPr>
            <w:tcW w:type="dxa" w:w="1337"/>
          </w:tcPr>
          <w:p>
            <w:pPr>
              <w:spacing w:before="0" w:after="0" w:line="240" w:lineRule="auto"/>
            </w:pPr>
            <w:r>
              <w:rPr>
                <w:rFonts w:ascii="Times New Roman" w:hAnsi="Times New Roman"/>
                <w:sz w:val="24"/>
              </w:rPr>
              <w:t>2-partial-match</w:t>
            </w:r>
          </w:p>
        </w:tc>
        <w:tc>
          <w:tcPr>
            <w:tcW w:type="dxa" w:w="1337"/>
          </w:tcPr>
          <w:p>
            <w:pPr>
              <w:spacing w:before="0" w:after="0" w:line="240" w:lineRule="auto"/>
            </w:pPr>
            <w:r>
              <w:rPr>
                <w:rFonts w:ascii="Times New Roman" w:hAnsi="Times New Roman"/>
                <w:sz w:val="24"/>
              </w:rPr>
              <w:t>FAIL</w:t>
            </w:r>
          </w:p>
        </w:tc>
        <w:tc>
          <w:tcPr>
            <w:tcW w:type="dxa" w:w="1337"/>
          </w:tcPr>
          <w:p>
            <w:pPr>
              <w:spacing w:before="0" w:after="0" w:line="240" w:lineRule="auto"/>
            </w:pPr>
            <w:r>
              <w:rPr>
                <w:rFonts w:ascii="Times New Roman" w:hAnsi="Times New Roman"/>
                <w:sz w:val="24"/>
              </w:rPr>
              <w:t>81</w:t>
            </w:r>
          </w:p>
        </w:tc>
        <w:tc>
          <w:tcPr>
            <w:tcW w:type="dxa" w:w="1337"/>
          </w:tcPr>
          <w:p>
            <w:pPr>
              <w:spacing w:before="0" w:after="0" w:line="240" w:lineRule="auto"/>
            </w:pPr>
            <w:r>
              <w:rPr>
                <w:rFonts w:ascii="Times New Roman" w:hAnsi="Times New Roman"/>
                <w:sz w:val="24"/>
              </w:rPr>
              <w:t>63</w:t>
            </w:r>
          </w:p>
        </w:tc>
        <w:tc>
          <w:tcPr>
            <w:tcW w:type="dxa" w:w="1337"/>
          </w:tcPr>
          <w:p>
            <w:pPr>
              <w:spacing w:before="0" w:after="0" w:line="240" w:lineRule="auto"/>
            </w:pPr>
            <w:r>
              <w:rPr>
                <w:rFonts w:ascii="Times New Roman" w:hAnsi="Times New Roman"/>
                <w:sz w:val="24"/>
              </w:rPr>
              <w:t>2</w:t>
            </w:r>
          </w:p>
        </w:tc>
        <w:tc>
          <w:tcPr>
            <w:tcW w:type="dxa" w:w="1337"/>
          </w:tcPr>
          <w:p>
            <w:pPr>
              <w:spacing w:before="0" w:after="0" w:line="240" w:lineRule="auto"/>
            </w:pPr>
            <w:r>
              <w:rPr>
                <w:rFonts w:ascii="Times New Roman" w:hAnsi="Times New Roman"/>
                <w:sz w:val="24"/>
              </w:rPr>
              <w:t>6</w:t>
            </w:r>
          </w:p>
        </w:tc>
        <w:tc>
          <w:tcPr>
            <w:tcW w:type="dxa" w:w="1337"/>
          </w:tcPr>
          <w:p>
            <w:pPr>
              <w:spacing w:before="0" w:after="0" w:line="240" w:lineRule="auto"/>
            </w:pPr>
            <w:r>
              <w:rPr>
                <w:rFonts w:ascii="Times New Roman" w:hAnsi="Times New Roman"/>
                <w:sz w:val="24"/>
              </w:rPr>
              <w:t>$0.56</w:t>
            </w:r>
          </w:p>
        </w:tc>
      </w:tr>
      <w:tr>
        <w:tc>
          <w:tcPr>
            <w:tcW w:type="dxa" w:w="1337"/>
          </w:tcPr>
          <w:p>
            <w:pPr>
              <w:spacing w:before="0" w:after="0" w:line="240" w:lineRule="auto"/>
            </w:pPr>
            <w:r>
              <w:rPr>
                <w:rFonts w:ascii="Times New Roman" w:hAnsi="Times New Roman"/>
                <w:sz w:val="24"/>
              </w:rPr>
              <w:t>3-inflation-pressure</w:t>
            </w:r>
          </w:p>
        </w:tc>
        <w:tc>
          <w:tcPr>
            <w:tcW w:type="dxa" w:w="1337"/>
          </w:tcPr>
          <w:p>
            <w:pPr>
              <w:spacing w:before="0" w:after="0" w:line="240" w:lineRule="auto"/>
            </w:pPr>
            <w:r>
              <w:rPr>
                <w:rFonts w:ascii="Times New Roman" w:hAnsi="Times New Roman"/>
                <w:sz w:val="24"/>
              </w:rPr>
              <w:t>FAIL</w:t>
            </w:r>
          </w:p>
        </w:tc>
        <w:tc>
          <w:tcPr>
            <w:tcW w:type="dxa" w:w="1337"/>
          </w:tcPr>
          <w:p>
            <w:pPr>
              <w:spacing w:before="0" w:after="0" w:line="240" w:lineRule="auto"/>
            </w:pPr>
            <w:r>
              <w:rPr>
                <w:rFonts w:ascii="Times New Roman" w:hAnsi="Times New Roman"/>
                <w:sz w:val="24"/>
              </w:rPr>
              <w:t>83</w:t>
            </w:r>
          </w:p>
        </w:tc>
        <w:tc>
          <w:tcPr>
            <w:tcW w:type="dxa" w:w="1337"/>
          </w:tcPr>
          <w:p>
            <w:pPr>
              <w:spacing w:before="0" w:after="0" w:line="240" w:lineRule="auto"/>
            </w:pPr>
            <w:r>
              <w:rPr>
                <w:rFonts w:ascii="Times New Roman" w:hAnsi="Times New Roman"/>
                <w:sz w:val="24"/>
              </w:rPr>
              <w:t>42</w:t>
            </w:r>
          </w:p>
        </w:tc>
        <w:tc>
          <w:tcPr>
            <w:tcW w:type="dxa" w:w="1337"/>
          </w:tcPr>
          <w:p>
            <w:pPr>
              <w:spacing w:before="0" w:after="0" w:line="240" w:lineRule="auto"/>
            </w:pPr>
            <w:r>
              <w:rPr>
                <w:rFonts w:ascii="Times New Roman" w:hAnsi="Times New Roman"/>
                <w:sz w:val="24"/>
              </w:rPr>
              <w:t>2</w:t>
            </w:r>
          </w:p>
        </w:tc>
        <w:tc>
          <w:tcPr>
            <w:tcW w:type="dxa" w:w="1337"/>
          </w:tcPr>
          <w:p>
            <w:pPr>
              <w:spacing w:before="0" w:after="0" w:line="240" w:lineRule="auto"/>
            </w:pPr>
            <w:r>
              <w:rPr>
                <w:rFonts w:ascii="Times New Roman" w:hAnsi="Times New Roman"/>
                <w:sz w:val="24"/>
              </w:rPr>
              <w:t>6</w:t>
            </w:r>
          </w:p>
        </w:tc>
        <w:tc>
          <w:tcPr>
            <w:tcW w:type="dxa" w:w="1337"/>
          </w:tcPr>
          <w:p>
            <w:pPr>
              <w:spacing w:before="0" w:after="0" w:line="240" w:lineRule="auto"/>
            </w:pPr>
            <w:r>
              <w:rPr>
                <w:rFonts w:ascii="Times New Roman" w:hAnsi="Times New Roman"/>
                <w:sz w:val="24"/>
              </w:rPr>
              <w:t>$0.60</w:t>
            </w:r>
          </w:p>
        </w:tc>
      </w:tr>
      <w:tr>
        <w:tc>
          <w:tcPr>
            <w:tcW w:type="dxa" w:w="1337"/>
          </w:tcPr>
          <w:p>
            <w:pPr>
              <w:spacing w:before="0" w:after="0" w:line="240" w:lineRule="auto"/>
            </w:pPr>
            <w:r>
              <w:rPr>
                <w:rFonts w:ascii="Times New Roman" w:hAnsi="Times New Roman"/>
                <w:sz w:val="24"/>
              </w:rPr>
              <w:t>4-wrong-domain</w:t>
            </w:r>
          </w:p>
        </w:tc>
        <w:tc>
          <w:tcPr>
            <w:tcW w:type="dxa" w:w="1337"/>
          </w:tcPr>
          <w:p>
            <w:pPr>
              <w:spacing w:before="0" w:after="0" w:line="240" w:lineRule="auto"/>
            </w:pPr>
            <w:r>
              <w:rPr>
                <w:rFonts w:ascii="Times New Roman" w:hAnsi="Times New Roman"/>
                <w:sz w:val="24"/>
              </w:rPr>
              <w:t>FAIL</w:t>
            </w:r>
          </w:p>
        </w:tc>
        <w:tc>
          <w:tcPr>
            <w:tcW w:type="dxa" w:w="1337"/>
          </w:tcPr>
          <w:p>
            <w:pPr>
              <w:spacing w:before="0" w:after="0" w:line="240" w:lineRule="auto"/>
            </w:pPr>
            <w:r>
              <w:rPr>
                <w:rFonts w:ascii="Times New Roman" w:hAnsi="Times New Roman"/>
                <w:sz w:val="24"/>
              </w:rPr>
              <w:t>100</w:t>
            </w:r>
          </w:p>
        </w:tc>
        <w:tc>
          <w:tcPr>
            <w:tcW w:type="dxa" w:w="1337"/>
          </w:tcPr>
          <w:p>
            <w:pPr>
              <w:spacing w:before="0" w:after="0" w:line="240" w:lineRule="auto"/>
            </w:pPr>
            <w:r>
              <w:rPr>
                <w:rFonts w:ascii="Times New Roman" w:hAnsi="Times New Roman"/>
                <w:sz w:val="24"/>
              </w:rPr>
              <w:t>0</w:t>
            </w:r>
          </w:p>
        </w:tc>
        <w:tc>
          <w:tcPr>
            <w:tcW w:type="dxa" w:w="1337"/>
          </w:tcPr>
          <w:p>
            <w:pPr>
              <w:spacing w:before="0" w:after="0" w:line="240" w:lineRule="auto"/>
            </w:pPr>
            <w:r>
              <w:rPr>
                <w:rFonts w:ascii="Times New Roman" w:hAnsi="Times New Roman"/>
                <w:sz w:val="24"/>
              </w:rPr>
              <w:t>2</w:t>
            </w:r>
          </w:p>
        </w:tc>
        <w:tc>
          <w:tcPr>
            <w:tcW w:type="dxa" w:w="1337"/>
          </w:tcPr>
          <w:p>
            <w:pPr>
              <w:spacing w:before="0" w:after="0" w:line="240" w:lineRule="auto"/>
            </w:pPr>
            <w:r>
              <w:rPr>
                <w:rFonts w:ascii="Times New Roman" w:hAnsi="Times New Roman"/>
                <w:sz w:val="24"/>
              </w:rPr>
              <w:t>6</w:t>
            </w:r>
          </w:p>
        </w:tc>
        <w:tc>
          <w:tcPr>
            <w:tcW w:type="dxa" w:w="1337"/>
          </w:tcPr>
          <w:p>
            <w:pPr>
              <w:spacing w:before="0" w:after="0" w:line="240" w:lineRule="auto"/>
            </w:pPr>
            <w:r>
              <w:rPr>
                <w:rFonts w:ascii="Times New Roman" w:hAnsi="Times New Roman"/>
                <w:sz w:val="24"/>
              </w:rPr>
              <w:t>$0.51</w:t>
            </w:r>
          </w:p>
        </w:tc>
      </w:tr>
    </w:tbl>
    <w:p>
      <w:pPr>
        <w:spacing w:before="0" w:after="0" w:line="480" w:lineRule="auto"/>
      </w:pPr>
    </w:p>
    <w:p>
      <w:pPr>
        <w:spacing w:before="0" w:after="0" w:line="480" w:lineRule="auto"/>
        <w:jc w:val="center"/>
      </w:pPr>
      <w:r>
        <w:drawing>
          <wp:inline xmlns:a="http://schemas.openxmlformats.org/drawingml/2006/main" xmlns:pic="http://schemas.openxmlformats.org/drawingml/2006/picture">
            <wp:extent cx="4572000" cy="1524000"/>
            <wp:docPr id="2" name="Picture 2"/>
            <wp:cNvGraphicFramePr>
              <a:graphicFrameLocks noChangeAspect="1"/>
            </wp:cNvGraphicFramePr>
            <a:graphic>
              <a:graphicData uri="http://schemas.openxmlformats.org/drawingml/2006/picture">
                <pic:pic>
                  <pic:nvPicPr>
                    <pic:cNvPr id="0" name="fig2_results.png"/>
                    <pic:cNvPicPr/>
                  </pic:nvPicPr>
                  <pic:blipFill>
                    <a:blip r:embed="rId10"/>
                    <a:stretch>
                      <a:fillRect/>
                    </a:stretch>
                  </pic:blipFill>
                  <pic:spPr>
                    <a:xfrm>
                      <a:off x="0" y="0"/>
                      <a:ext cx="4572000" cy="1524000"/>
                    </a:xfrm>
                    <a:prstGeom prst="rect"/>
                  </pic:spPr>
                </pic:pic>
              </a:graphicData>
            </a:graphic>
          </wp:inline>
        </w:drawing>
      </w:r>
    </w:p>
    <w:p>
      <w:pPr>
        <w:spacing w:before="0" w:after="0" w:line="480" w:lineRule="auto"/>
        <w:jc w:val="center"/>
      </w:pPr>
      <w:r>
        <w:rPr>
          <w:rFonts w:ascii="Times New Roman" w:hAnsi="Times New Roman"/>
          <w:b w:val="0"/>
          <w:i/>
          <w:sz w:val="20"/>
        </w:rPr>
        <w:t>Figure 2. Trust Harness accuracy before/after the calibration fix (left) and Trust/ATS scores across four real Bedrock generations, dashed lines marking the quality gate (right).</w:t>
      </w:r>
    </w:p>
    <w:p>
      <w:pPr>
        <w:spacing w:before="0" w:after="0" w:line="480" w:lineRule="auto"/>
      </w:pPr>
      <w:r>
        <w:rPr>
          <w:rFonts w:ascii="Times New Roman" w:hAnsi="Times New Roman"/>
          <w:sz w:val="24"/>
        </w:rPr>
        <w:t>Scenario 3 shows the checks working under pressure: asked for staff-level scope the evidence doesn't fully support, the writer overstated three claims outright — UNSUPPORTED, including “defining the architectural roadmap for platform-wide event streaming” — and inflated a fourth to PARTIALLY_SUPPORTED, rather than staying within what the evidence documents. The Trust Harness caught all four rather than letting any read as fact. Because every scenario now runs both of its drafts, cost per run was uniform this time (six LLM calls, $0.51-$0.60) rather than the four-to-ten-call spread a lucky-or-unlucky first draft produced under the old stop-on-first-pass rule — more predictable, though not free. The second draft's own effect was consistent and not obviously beneficial: in three of the four scenarios (including Scenario 1, where both drafts already passed) the rewrite traded ATS for Trust rather than improving both — Scenario 1 moved from 93/95 to 100/90, still passing but with a worse ATS score, so the run correctly exported the first draft instead of the second. That consistent pattern, on a four-scenario sample, is preliminary evidence rather than proof, but it is why the default rewrite count was set to one rather than restored to the original three (ADR-0016) until a larger real-provider comparison says otherwise. Telemetry (ADR-0012) attributes every one of those calls to its node and reports an honest null rather than a partial total for any unpriced model.</w:t>
      </w:r>
    </w:p>
    <w:p>
      <w:pPr>
        <w:spacing w:before="0" w:after="0" w:line="480" w:lineRule="auto"/>
      </w:pPr>
      <w:r>
        <w:rPr>
          <w:rFonts w:ascii="Times New Roman" w:hAnsi="Times New Roman"/>
          <w:b/>
          <w:i w:val="0"/>
          <w:sz w:val="24"/>
        </w:rPr>
        <w:t>4. Discussion</w:t>
      </w:r>
    </w:p>
    <w:p>
      <w:pPr>
        <w:spacing w:before="0" w:after="0" w:line="480" w:lineRule="auto"/>
      </w:pPr>
      <w:r>
        <w:rPr>
          <w:rFonts w:ascii="Times New Roman" w:hAnsi="Times New Roman"/>
          <w:b/>
          <w:i/>
          <w:sz w:val="24"/>
        </w:rPr>
        <w:t>4.1 What worked</w:t>
      </w:r>
    </w:p>
    <w:p>
      <w:pPr>
        <w:spacing w:before="0" w:after="0" w:line="480" w:lineRule="auto"/>
      </w:pPr>
      <w:r>
        <w:rPr>
          <w:rFonts w:ascii="Times New Roman" w:hAnsi="Times New Roman"/>
          <w:sz w:val="24"/>
        </w:rPr>
        <w:t>Treating this as a faithful port kept every regression attributable to a specific decision. The offline-first test suite stayed fast enough to run on every change, catching most structural bugs before a real model call. Most importantly, separating generation from verification, and both from the harness grading the verifier itself, is what let §3.3's calibration bug be found at all. Nothing in the runtime pipeline could reveal it, since the Trust score is computed from whatever the harness reports.</w:t>
      </w:r>
    </w:p>
    <w:p>
      <w:pPr>
        <w:spacing w:before="0" w:after="0" w:line="480" w:lineRule="auto"/>
      </w:pPr>
      <w:r>
        <w:rPr>
          <w:rFonts w:ascii="Times New Roman" w:hAnsi="Times New Roman"/>
          <w:b/>
          <w:i/>
          <w:sz w:val="24"/>
        </w:rPr>
        <w:t>4.2 Challenges encountered and how they were addressed</w:t>
      </w:r>
    </w:p>
    <w:p>
      <w:pPr>
        <w:spacing w:before="0" w:after="0" w:line="480" w:lineRule="auto"/>
      </w:pPr>
      <w:r>
        <w:rPr>
          <w:rFonts w:ascii="Times New Roman" w:hAnsi="Times New Roman"/>
          <w:sz w:val="24"/>
        </w:rPr>
        <w:t>Several consequential bugs were invisible to static analysis and unit tests, surfacing only when the real system ran:</w:t>
      </w:r>
    </w:p>
    <w:p>
      <w:pPr>
        <w:pStyle w:val="ListBullet"/>
        <w:spacing w:before="0" w:after="0" w:line="480" w:lineRule="auto"/>
      </w:pPr>
      <w:r>
        <w:rPr>
          <w:rFonts w:ascii="Times New Roman" w:hAnsi="Times New Roman"/>
          <w:sz w:val="24"/>
        </w:rPr>
        <w:t>Trust Harness miscalibration (§3.3): an undefined “be strict” instruction caused a uniform downgrade. Fixed with explicit label definitions, verified by an A/B comparison, not inspection.</w:t>
      </w:r>
    </w:p>
    <w:p>
      <w:pPr>
        <w:pStyle w:val="ListBullet"/>
        <w:spacing w:before="0" w:after="0" w:line="480" w:lineRule="auto"/>
      </w:pPr>
      <w:r>
        <w:rPr>
          <w:rFonts w:ascii="Times New Roman" w:hAnsi="Times New Roman"/>
          <w:sz w:val="24"/>
        </w:rPr>
        <w:t>Token/cost invisibility: with_structured_output consumes the AIMessage before usage_metadata reaches the agent. Fixed with a LangGraph callback that sees every nested model call.</w:t>
      </w:r>
    </w:p>
    <w:p>
      <w:pPr>
        <w:pStyle w:val="ListBullet"/>
        <w:spacing w:before="0" w:after="0" w:line="480" w:lineRule="auto"/>
      </w:pPr>
      <w:r>
        <w:rPr>
          <w:rFonts w:ascii="Times New Roman" w:hAnsi="Times New Roman"/>
          <w:sz w:val="24"/>
        </w:rPr>
        <w:t>Structured-output brittleness: an empty section heading failed the strict schema and crashed parsing, losing a paid-for draft. Fixed with a lenient private schema, relabeled in code.</w:t>
      </w:r>
    </w:p>
    <w:p>
      <w:pPr>
        <w:pStyle w:val="ListBullet"/>
        <w:spacing w:before="0" w:after="0" w:line="480" w:lineRule="auto"/>
      </w:pPr>
      <w:r>
        <w:rPr>
          <w:rFonts w:ascii="Times New Roman" w:hAnsi="Times New Roman"/>
          <w:sz w:val="24"/>
        </w:rPr>
        <w:t>PDF export crashing on real prose: fpdf2's core font only encodes Latin-1, and an em dash in real Bedrock output destroyed an already-paid-for export. Fixed with transliteration and a degrade-to-‘?’ fallback.</w:t>
      </w:r>
    </w:p>
    <w:p>
      <w:pPr>
        <w:pStyle w:val="ListBullet"/>
        <w:spacing w:before="0" w:after="0" w:line="480" w:lineRule="auto"/>
      </w:pPr>
      <w:r>
        <w:rPr>
          <w:rFonts w:ascii="Times New Roman" w:hAnsi="Times New Roman"/>
          <w:sz w:val="24"/>
        </w:rPr>
        <w:t>A silent 422 on every route: FastAPI couldn't resolve a type alias defined inside a function once `from __future__ import annotations` was active, and only booting the real app caught it. Fixed by moving it to module scope.</w:t>
      </w:r>
    </w:p>
    <w:p>
      <w:pPr>
        <w:spacing w:before="0" w:after="0" w:line="480" w:lineRule="auto"/>
      </w:pPr>
      <w:r>
        <w:rPr>
          <w:rFonts w:ascii="Times New Roman" w:hAnsi="Times New Roman"/>
          <w:sz w:val="24"/>
        </w:rPr>
        <w:t>These are integration-boundary bugs, not logic errors inside one function. That's exactly the class an offline-first suite is weakest against and a real end-to-end run is strongest against, the argument for keeping live and manual smoke-test paths at all.</w:t>
      </w:r>
    </w:p>
    <w:p>
      <w:pPr>
        <w:spacing w:before="0" w:after="0" w:line="480" w:lineRule="auto"/>
      </w:pPr>
      <w:r>
        <w:rPr>
          <w:rFonts w:ascii="Times New Roman" w:hAnsi="Times New Roman"/>
          <w:b/>
          <w:i/>
          <w:sz w:val="24"/>
        </w:rPr>
        <w:t>4.3 Ethical considerations</w:t>
      </w:r>
    </w:p>
    <w:p>
      <w:pPr>
        <w:spacing w:before="0" w:after="0" w:line="480" w:lineRule="auto"/>
      </w:pPr>
      <w:r>
        <w:rPr>
          <w:rFonts w:ascii="Times New Roman" w:hAnsi="Times New Roman"/>
          <w:sz w:val="24"/>
        </w:rPr>
        <w:t>Security: externally sourced text, such as a posting, an uploaded document, or retrieved evidence, is wrapped and marked as data before reaching a prompt, so injection reads as content, not instruction. Fairness: the Trust Harness doubles as a fairness mechanism, since an ungrounded generator would favor candidates whose backgrounds happen to embellish well; the ATS score carries a smaller residual bias risk and is treated as candidate feedback, not a claim about a real employer's system. Privacy: every record and vector carries a user_id, filtered server-side. The API still resolves identity from a self-reported header with no authentication behind it: the clearest ethical gap carried into Section 5.</w:t>
      </w:r>
    </w:p>
    <w:p>
      <w:pPr>
        <w:spacing w:before="0" w:after="0" w:line="480" w:lineRule="auto"/>
      </w:pPr>
      <w:r>
        <w:rPr>
          <w:rFonts w:ascii="Times New Roman" w:hAnsi="Times New Roman"/>
          <w:b/>
          <w:i/>
          <w:sz w:val="24"/>
        </w:rPr>
        <w:t>4.4 Limitations</w:t>
      </w:r>
    </w:p>
    <w:p>
      <w:pPr>
        <w:spacing w:before="0" w:after="0" w:line="480" w:lineRule="auto"/>
      </w:pPr>
      <w:r>
        <w:rPr>
          <w:rFonts w:ascii="Times New Roman" w:hAnsi="Times New Roman"/>
          <w:sz w:val="24"/>
        </w:rPr>
        <w:t>Two PARTIALLY_SUPPORTED claims still misclassify as UNSUPPORTED. That's the safe direction, but not a solved problem. Retrieval always fills its configured depth even with nothing relevant, relying on the Trust Harness as the actual downstream safeguard. PDF export degrades any non-Latin-1 character to ‘?’, and the storage schema has no migration tool: a change is invisible to a database file created before it.</w:t>
      </w:r>
    </w:p>
    <w:p>
      <w:pPr>
        <w:spacing w:before="0" w:after="0" w:line="480" w:lineRule="auto"/>
      </w:pPr>
      <w:r>
        <w:rPr>
          <w:rFonts w:ascii="Times New Roman" w:hAnsi="Times New Roman"/>
          <w:b/>
          <w:i w:val="0"/>
          <w:sz w:val="24"/>
        </w:rPr>
        <w:t>5. Future Work</w:t>
      </w:r>
    </w:p>
    <w:p>
      <w:pPr>
        <w:pStyle w:val="ListBullet"/>
        <w:spacing w:before="0" w:after="0" w:line="480" w:lineRule="auto"/>
      </w:pPr>
      <w:r>
        <w:rPr>
          <w:rFonts w:ascii="Times New Roman" w:hAnsi="Times New Roman"/>
          <w:sz w:val="24"/>
        </w:rPr>
        <w:t>Real authentication and rate limiting, replacing the self-reported X-User-Id header. Every store call is already user-scoped.</w:t>
      </w:r>
    </w:p>
    <w:p>
      <w:pPr>
        <w:pStyle w:val="ListBullet"/>
        <w:spacing w:before="0" w:after="0" w:line="480" w:lineRule="auto"/>
      </w:pPr>
      <w:r>
        <w:rPr>
          <w:rFonts w:ascii="Times New Roman" w:hAnsi="Times New Roman"/>
          <w:sz w:val="24"/>
        </w:rPr>
        <w:t>A relevance threshold on retrieval, so an unanswerable query returns fewer chunks instead of always filling top-k.</w:t>
      </w:r>
    </w:p>
    <w:p>
      <w:pPr>
        <w:pStyle w:val="ListBullet"/>
        <w:spacing w:before="0" w:after="0" w:line="480" w:lineRule="auto"/>
      </w:pPr>
      <w:r>
        <w:rPr>
          <w:rFonts w:ascii="Times New Roman" w:hAnsi="Times New Roman"/>
          <w:sz w:val="24"/>
        </w:rPr>
        <w:t>A larger labeled Trust Harness dataset targeting compound and seniority-inflation claims, the two remaining failure modes.</w:t>
      </w:r>
    </w:p>
    <w:p>
      <w:pPr>
        <w:pStyle w:val="ListBullet"/>
        <w:spacing w:before="0" w:after="0" w:line="480" w:lineRule="auto"/>
      </w:pPr>
      <w:r>
        <w:rPr>
          <w:rFonts w:ascii="Times New Roman" w:hAnsi="Times New Roman"/>
          <w:sz w:val="24"/>
        </w:rPr>
        <w:t>Unicode-capable PDF export (a bundled TTF) instead of degrading non-Latin-1 characters to ‘?’.</w:t>
      </w:r>
    </w:p>
    <w:p>
      <w:pPr>
        <w:pStyle w:val="ListBullet"/>
        <w:spacing w:before="0" w:after="0" w:line="480" w:lineRule="auto"/>
      </w:pPr>
      <w:r>
        <w:rPr>
          <w:rFonts w:ascii="Times New Roman" w:hAnsi="Times New Roman"/>
          <w:sz w:val="24"/>
        </w:rPr>
        <w:t>Real schema migration tooling, and an incremental scale path (Kubernetes or a managed service) if demand grows.</w:t>
      </w:r>
    </w:p>
    <w:p>
      <w:pPr>
        <w:spacing w:before="0" w:after="0" w:line="480" w:lineRule="auto"/>
      </w:pPr>
      <w:r>
        <w:rPr>
          <w:rFonts w:ascii="Times New Roman" w:hAnsi="Times New Roman"/>
          <w:b/>
          <w:i w:val="0"/>
          <w:sz w:val="24"/>
        </w:rPr>
        <w:t>6. Conclusion</w:t>
      </w:r>
    </w:p>
    <w:p>
      <w:pPr>
        <w:spacing w:before="0" w:after="0" w:line="480" w:lineRule="auto"/>
      </w:pPr>
      <w:r>
        <w:rPr>
          <w:rFonts w:ascii="Times New Roman" w:hAnsi="Times New Roman"/>
          <w:sz w:val="24"/>
        </w:rPr>
        <w:t>This reimplementation carries forward its predecessor's central bet: a resume generator is trustworthy only if something other than the generator checks its claims. The measurement layer built alongside it is what let that bet be verified rather than assumed. The evaluation harness caught a real regression in the one component the system's credibility rests on, and a real end-to-end run showed the resulting behavior directly: the system would rather fail an ATS check than fabricate experience. What remains open is documented, not hidden: authentication, a retrieval-side relevance floor, and a dataset gap around two claim types the harness still gets wrong.</w:t>
      </w:r>
    </w:p>
    <w:p>
      <w:pPr>
        <w:spacing w:before="0" w:after="0" w:line="480" w:lineRule="auto"/>
      </w:pPr>
      <w:r>
        <w:rPr>
          <w:rFonts w:ascii="Times New Roman" w:hAnsi="Times New Roman"/>
          <w:b/>
          <w:i w:val="0"/>
          <w:sz w:val="24"/>
        </w:rPr>
        <w:t>AI Disclosure Statement</w:t>
      </w:r>
    </w:p>
    <w:p>
      <w:pPr>
        <w:spacing w:before="0" w:after="0" w:line="480" w:lineRule="auto"/>
      </w:pPr>
      <w:r>
        <w:rPr>
          <w:rFonts w:ascii="Times New Roman" w:hAnsi="Times New Roman"/>
          <w:sz w:val="24"/>
        </w:rPr>
        <w:t>Throughout this project, an AI coding assistant (Claude Code) was used to implement the LangChain/LangGraph/ChromaDB port, build and run the evaluation harness and telemetry layer, diagnose and fix the bugs in Section 4.2, generate the sample runs in Section 3.4, and draft this report and its figures. All numeric results came from actually running the project's code: the test suite, the evals CLI, or a real Bedrock-hosted model. None were estimated. All findings and this report's final text were reviewed and confirmed by the author.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