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p>
    <w:p>
      <w:pPr>
        <w:spacing w:line="480" w:lineRule="auto"/>
        <w:jc w:val="center"/>
      </w:pPr>
      <w:r>
        <w:rPr>
          <w:rFonts w:ascii="Times New Roman" w:hAnsi="Times New Roman"/>
          <w:b w:val="0"/>
          <w:sz w:val="24"/>
        </w:rPr>
        <w:t>MSAI 699 Capstone Project</w:t>
      </w:r>
    </w:p>
    <w:p>
      <w:pPr>
        <w:spacing w:line="480" w:lineRule="auto"/>
        <w:jc w:val="center"/>
      </w:pPr>
    </w:p>
    <w:p>
      <w:pPr>
        <w:spacing w:line="480" w:lineRule="auto"/>
        <w:jc w:val="center"/>
      </w:pPr>
      <w:r>
        <w:rPr>
          <w:rFonts w:ascii="Times New Roman" w:hAnsi="Times New Roman"/>
          <w:b w:val="0"/>
          <w:sz w:val="24"/>
        </w:rPr>
        <w:t>Instructor: Dr. Gamini Bulumulle</w:t>
      </w:r>
    </w:p>
    <w:p>
      <w:pPr>
        <w:spacing w:line="480" w:lineRule="auto"/>
        <w:jc w:val="center"/>
      </w:pPr>
    </w:p>
    <w:p>
      <w:pPr>
        <w:spacing w:line="480" w:lineRule="auto"/>
        <w:jc w:val="center"/>
      </w:pPr>
      <w:r>
        <w:rPr>
          <w:rFonts w:ascii="Times New Roman" w:hAnsi="Times New Roman"/>
          <w:b w:val="0"/>
          <w:sz w:val="24"/>
        </w:rPr>
        <w:t>Week 6: Testing, Evaluation &amp; Documentation: Model Testing and Debugging Report</w:t>
      </w:r>
    </w:p>
    <w:p>
      <w:pPr>
        <w:spacing w:line="480" w:lineRule="auto"/>
        <w:jc w:val="center"/>
      </w:pPr>
    </w:p>
    <w:p>
      <w:pPr>
        <w:spacing w:line="480" w:lineRule="auto"/>
        <w:jc w:val="center"/>
      </w:pPr>
      <w:r>
        <w:rPr>
          <w:rFonts w:ascii="Times New Roman" w:hAnsi="Times New Roman"/>
          <w:b w:val="0"/>
          <w:sz w:val="24"/>
        </w:rPr>
        <w:t>Peng Fei Xu</w:t>
      </w:r>
    </w:p>
    <w:p>
      <w:pPr>
        <w:spacing w:line="480" w:lineRule="auto"/>
        <w:jc w:val="center"/>
      </w:pPr>
    </w:p>
    <w:p>
      <w:pPr>
        <w:spacing w:line="480" w:lineRule="auto"/>
        <w:jc w:val="center"/>
      </w:pPr>
      <w:r>
        <w:rPr>
          <w:rFonts w:ascii="Times New Roman" w:hAnsi="Times New Roman"/>
          <w:b w:val="0"/>
          <w:sz w:val="24"/>
        </w:rPr>
        <w:t>University of the Cumberlands</w:t>
      </w:r>
    </w:p>
    <w:p>
      <w:pPr>
        <w:spacing w:line="480" w:lineRule="auto"/>
        <w:jc w:val="center"/>
      </w:pPr>
    </w:p>
    <w:p>
      <w:pPr>
        <w:spacing w:line="480" w:lineRule="auto"/>
        <w:jc w:val="center"/>
      </w:pPr>
      <w:r>
        <w:rPr>
          <w:rFonts w:ascii="Times New Roman" w:hAnsi="Times New Roman"/>
          <w:b w:val="0"/>
          <w:sz w:val="24"/>
        </w:rPr>
        <w:t>Submitted to the University of the Cumberlands</w:t>
      </w:r>
    </w:p>
    <w:p>
      <w:pPr>
        <w:spacing w:line="480" w:lineRule="auto"/>
        <w:jc w:val="center"/>
      </w:pPr>
      <w:r>
        <w:rPr>
          <w:rFonts w:ascii="Times New Roman" w:hAnsi="Times New Roman"/>
          <w:b w:val="0"/>
          <w:sz w:val="24"/>
        </w:rPr>
        <w:t>in Partial Fulfillment of the Requirements of the Degree of</w:t>
      </w:r>
    </w:p>
    <w:p>
      <w:pPr>
        <w:spacing w:line="480" w:lineRule="auto"/>
        <w:jc w:val="center"/>
      </w:pPr>
      <w:r>
        <w:rPr>
          <w:rFonts w:ascii="Times New Roman" w:hAnsi="Times New Roman"/>
          <w:b w:val="0"/>
          <w:sz w:val="24"/>
        </w:rPr>
        <w:t>Master of Science in Artificial Intelligence</w:t>
      </w:r>
    </w:p>
    <w:p>
      <w:pPr>
        <w:spacing w:line="480" w:lineRule="auto"/>
        <w:jc w:val="center"/>
      </w:pPr>
    </w:p>
    <w:p>
      <w:pPr>
        <w:spacing w:line="480" w:lineRule="auto"/>
        <w:jc w:val="center"/>
      </w:pPr>
      <w:r>
        <w:rPr>
          <w:rFonts w:ascii="Times New Roman" w:hAnsi="Times New Roman"/>
          <w:b w:val="0"/>
          <w:sz w:val="24"/>
        </w:rPr>
        <w:t>Aug 7, 2026</w:t>
      </w:r>
    </w:p>
    <w:p>
      <w:r>
        <w:br w:type="page"/>
      </w:r>
    </w:p>
    <w:p>
      <w:pPr>
        <w:spacing w:line="480" w:lineRule="auto"/>
        <w:jc w:val="center"/>
      </w:pPr>
      <w:r>
        <w:rPr>
          <w:rFonts w:ascii="Times New Roman" w:hAnsi="Times New Roman"/>
          <w:b/>
          <w:sz w:val="24"/>
        </w:rPr>
        <w:t>Abstract</w:t>
      </w:r>
    </w:p>
    <w:p>
      <w:pPr>
        <w:spacing w:line="480" w:lineRule="auto"/>
      </w:pPr>
      <w:r>
        <w:rPr>
          <w:rFonts w:ascii="Times New Roman" w:hAnsi="Times New Roman"/>
          <w:sz w:val="24"/>
        </w:rPr>
        <w:t>This report documents an A/B test, error analysis, and reliability pass on TrustResume's Trust Harness, the agent that checks every resume claim against the candidate's own evidence. Scored against a 12-case labeled dataset, the harness's original prompt measured accuracy 0.500 / macro-F1 0.489, with every error running the same direction — an undefined “be strict” instruction causing a uniform one-notch downgrade. Replacing it with explicit label definitions and a named error asymmetry raised accuracy/macro-F1 to 0.833, reproduced identically across independent runs at temperature 0, with zero dangerous (too-lenient) errors before and after. Two remaining misclassifications and a retrieval weak spot are analyzed as open findings. Separately, this pass added per-step cost telemetry and fixed a pricing-configuration gap that was silently reporting every Bedrock generation's cost as unknown.</w:t>
      </w:r>
    </w:p>
    <w:p>
      <w:pPr>
        <w:spacing w:line="480" w:lineRule="auto"/>
      </w:pPr>
      <w:r>
        <w:rPr>
          <w:rFonts w:ascii="Times New Roman" w:hAnsi="Times New Roman"/>
          <w:b/>
          <w:sz w:val="24"/>
        </w:rPr>
        <w:t>1. Introduction</w:t>
      </w:r>
    </w:p>
    <w:p>
      <w:pPr>
        <w:spacing w:line="480" w:lineRule="auto"/>
      </w:pPr>
      <w:r>
        <w:rPr>
          <w:rFonts w:ascii="Times New Roman" w:hAnsi="Times New Roman"/>
          <w:sz w:val="24"/>
        </w:rPr>
        <w:t>TrustResume's central claim is that every statement in a generated resume is checked against the candidate's own evidence. The runtime Trust score is computed directly from what the Trust Harness agent reports, so a harness that rubber-stamps everything SUPPORTED would produce a perfect score and an invisible failure. ADR-0011, “An Offline Evaluation Harness with Labeled Ground Truth,” added that check: a hand-labeled claim/evidence dataset scored offline, independent of any live user.</w:t>
      </w:r>
    </w:p>
    <w:p>
      <w:pPr>
        <w:spacing w:line="480" w:lineRule="auto"/>
      </w:pPr>
      <w:r>
        <w:rPr>
          <w:rFonts w:ascii="Times New Roman" w:hAnsi="Times New Roman"/>
          <w:b/>
          <w:sz w:val="24"/>
        </w:rPr>
        <w:t>2. Testing Methodology</w:t>
      </w:r>
    </w:p>
    <w:p>
      <w:pPr>
        <w:spacing w:line="480" w:lineRule="auto"/>
      </w:pPr>
      <w:r>
        <w:rPr>
          <w:rFonts w:ascii="Times New Roman" w:hAnsi="Times New Roman"/>
          <w:sz w:val="24"/>
        </w:rPr>
        <w:t>TrustHarnessAgent extracts every factual claim from a draft and classifies each as SUPPORTED, PARTIALLY_SUPPORTED, or UNSUPPORTED. The 12-case dataset (evals/datasets/trust_claims.jsonl) is weighted toward that boundary, where a resume actually lies. python -m trustresume.evals --suite trust drives every case through the real agent and model (Bedrock, claude-opus-4-6, temperature 0) and scores accuracy, macro-F1, and a confusion matrix; macro-F1 guards against a harness that never predicts UNSUPPORTED looking accurate while failing its only job. A dangerous_errors count is tracked separately, since a too-lenient error ships a fabrication while a too-strict one only costs one rewrite. The A/B test below holds model, temperature, and dataset fixed and varies only the prompt; reproducibility was confirmed by running the current configuration twice independently, returning identical results both times.</w:t>
      </w:r>
    </w:p>
    <w:p>
      <w:pPr>
        <w:spacing w:line="480" w:lineRule="auto"/>
      </w:pPr>
      <w:r>
        <w:rPr>
          <w:rFonts w:ascii="Times New Roman" w:hAnsi="Times New Roman"/>
          <w:b/>
          <w:sz w:val="24"/>
        </w:rPr>
        <w:t>3. A/B Test Results: Trust Harness Prompt</w:t>
      </w:r>
    </w:p>
    <w:p>
      <w:pPr>
        <w:spacing w:line="480" w:lineRule="auto"/>
      </w:pPr>
      <w:r>
        <w:rPr>
          <w:rFonts w:ascii="Times New Roman" w:hAnsi="Times New Roman"/>
          <w:sz w:val="24"/>
        </w:rPr>
        <w:t>The original prompt said only “be strict... do not give the draft the benefit of the doubt,” without ever defining the three labels: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4"/>
              </w:rPr>
              <w:t>Metric</w:t>
            </w:r>
          </w:p>
        </w:tc>
        <w:tc>
          <w:tcPr>
            <w:tcW w:type="dxa" w:w="2880"/>
          </w:tcPr>
          <w:p>
            <w:r>
              <w:rPr>
                <w:rFonts w:ascii="Times New Roman" w:hAnsi="Times New Roman"/>
                <w:b/>
                <w:sz w:val="24"/>
              </w:rPr>
              <w:t>Before (original)</w:t>
            </w:r>
          </w:p>
        </w:tc>
        <w:tc>
          <w:tcPr>
            <w:tcW w:type="dxa" w:w="2880"/>
          </w:tcPr>
          <w:p>
            <w:r>
              <w:rPr>
                <w:rFonts w:ascii="Times New Roman" w:hAnsi="Times New Roman"/>
                <w:b/>
                <w:sz w:val="24"/>
              </w:rPr>
              <w:t>After (redefined labels)</w:t>
            </w:r>
          </w:p>
        </w:tc>
      </w:tr>
      <w:tr>
        <w:tc>
          <w:tcPr>
            <w:tcW w:type="dxa" w:w="2880"/>
          </w:tcPr>
          <w:p>
            <w:r>
              <w:rPr>
                <w:rFonts w:ascii="Times New Roman" w:hAnsi="Times New Roman"/>
                <w:sz w:val="24"/>
              </w:rPr>
              <w:t>Accuracy</w:t>
            </w:r>
          </w:p>
        </w:tc>
        <w:tc>
          <w:tcPr>
            <w:tcW w:type="dxa" w:w="2880"/>
          </w:tcPr>
          <w:p>
            <w:r>
              <w:rPr>
                <w:rFonts w:ascii="Times New Roman" w:hAnsi="Times New Roman"/>
                <w:sz w:val="24"/>
              </w:rPr>
              <w:t>0.500</w:t>
            </w:r>
          </w:p>
        </w:tc>
        <w:tc>
          <w:tcPr>
            <w:tcW w:type="dxa" w:w="2880"/>
          </w:tcPr>
          <w:p>
            <w:r>
              <w:rPr>
                <w:rFonts w:ascii="Times New Roman" w:hAnsi="Times New Roman"/>
                <w:sz w:val="24"/>
              </w:rPr>
              <w:t>0.833</w:t>
            </w:r>
          </w:p>
        </w:tc>
      </w:tr>
      <w:tr>
        <w:tc>
          <w:tcPr>
            <w:tcW w:type="dxa" w:w="2880"/>
          </w:tcPr>
          <w:p>
            <w:r>
              <w:rPr>
                <w:rFonts w:ascii="Times New Roman" w:hAnsi="Times New Roman"/>
                <w:sz w:val="24"/>
              </w:rPr>
              <w:t>Macro-F1</w:t>
            </w:r>
          </w:p>
        </w:tc>
        <w:tc>
          <w:tcPr>
            <w:tcW w:type="dxa" w:w="2880"/>
          </w:tcPr>
          <w:p>
            <w:r>
              <w:rPr>
                <w:rFonts w:ascii="Times New Roman" w:hAnsi="Times New Roman"/>
                <w:sz w:val="24"/>
              </w:rPr>
              <w:t>0.489</w:t>
            </w:r>
          </w:p>
        </w:tc>
        <w:tc>
          <w:tcPr>
            <w:tcW w:type="dxa" w:w="2880"/>
          </w:tcPr>
          <w:p>
            <w:r>
              <w:rPr>
                <w:rFonts w:ascii="Times New Roman" w:hAnsi="Times New Roman"/>
                <w:sz w:val="24"/>
              </w:rPr>
              <w:t>0.833</w:t>
            </w:r>
          </w:p>
        </w:tc>
      </w:tr>
      <w:tr>
        <w:tc>
          <w:tcPr>
            <w:tcW w:type="dxa" w:w="2880"/>
          </w:tcPr>
          <w:p>
            <w:r>
              <w:rPr>
                <w:rFonts w:ascii="Times New Roman" w:hAnsi="Times New Roman"/>
                <w:sz w:val="24"/>
              </w:rPr>
              <w:t>SUPPORTED recall</w:t>
            </w:r>
          </w:p>
        </w:tc>
        <w:tc>
          <w:tcPr>
            <w:tcW w:type="dxa" w:w="2880"/>
          </w:tcPr>
          <w:p>
            <w:r>
              <w:rPr>
                <w:rFonts w:ascii="Times New Roman" w:hAnsi="Times New Roman"/>
                <w:sz w:val="24"/>
              </w:rPr>
              <w:t>0.25</w:t>
            </w:r>
          </w:p>
        </w:tc>
        <w:tc>
          <w:tcPr>
            <w:tcW w:type="dxa" w:w="2880"/>
          </w:tcPr>
          <w:p>
            <w:r>
              <w:rPr>
                <w:rFonts w:ascii="Times New Roman" w:hAnsi="Times New Roman"/>
                <w:sz w:val="24"/>
              </w:rPr>
              <w:t>1.00</w:t>
            </w:r>
          </w:p>
        </w:tc>
      </w:tr>
      <w:tr>
        <w:tc>
          <w:tcPr>
            <w:tcW w:type="dxa" w:w="2880"/>
          </w:tcPr>
          <w:p>
            <w:r>
              <w:rPr>
                <w:rFonts w:ascii="Times New Roman" w:hAnsi="Times New Roman"/>
                <w:sz w:val="24"/>
              </w:rPr>
              <w:t>Dangerous (too-lenient) errors</w:t>
            </w:r>
          </w:p>
        </w:tc>
        <w:tc>
          <w:tcPr>
            <w:tcW w:type="dxa" w:w="2880"/>
          </w:tcPr>
          <w:p>
            <w:r>
              <w:rPr>
                <w:rFonts w:ascii="Times New Roman" w:hAnsi="Times New Roman"/>
                <w:sz w:val="24"/>
              </w:rPr>
              <w:t>0</w:t>
            </w:r>
          </w:p>
        </w:tc>
        <w:tc>
          <w:tcPr>
            <w:tcW w:type="dxa" w:w="2880"/>
          </w:tcPr>
          <w:p>
            <w:r>
              <w:rPr>
                <w:rFonts w:ascii="Times New Roman" w:hAnsi="Times New Roman"/>
                <w:sz w:val="24"/>
              </w:rPr>
              <w:t>0</w:t>
            </w:r>
          </w:p>
        </w:tc>
      </w:tr>
    </w:tbl>
    <w:p/>
    <w:p>
      <w:pPr>
        <w:spacing w:line="480" w:lineRule="auto"/>
      </w:pPr>
      <w:r>
        <w:rPr>
          <w:rFonts w:ascii="Times New Roman" w:hAnsi="Times New Roman"/>
          <w:sz w:val="24"/>
        </w:rPr>
        <w:t>All six errors under the original prompt ran the same direction, off by exactly one severity step toward under-crediting — e.g. a claim restating its evidence verbatim was downgraded to PARTIALLY_SUPPORTED. That is a model told to be cautious with no defined boundary, not one that cannot distinguish supported from unsupported. The fix replaced the instruction with explicit definitions (SUPPORTED covers restatements and entailed generalizations; PARTIALLY_SUPPORTED is reserved for overstated scope, seniority, or numbers; UNSUPPORTED for claims with no basis at all) and named the asymmetry directly, so the model resists overstatement without discounting everything. Both conditions were reproduced independently this session — 0.833/0.833 twice, and reverting to the original prompt returned 0.500/0.489, exactly matching. Dangerous errors held at zero throughout: the fix gained accuracy without becoming more permissive.</w:t>
      </w:r>
    </w:p>
    <w:p>
      <w:pPr>
        <w:spacing w:line="480" w:lineRule="auto"/>
      </w:pPr>
      <w:r>
        <w:rPr>
          <w:rFonts w:ascii="Times New Roman" w:hAnsi="Times New Roman"/>
          <w:b/>
          <w:sz w:val="24"/>
        </w:rPr>
        <w:t>4. Error Analysis</w:t>
      </w:r>
    </w:p>
    <w:p>
      <w:pPr>
        <w:spacing w:line="480" w:lineRule="auto"/>
      </w:pPr>
      <w:r>
        <w:rPr>
          <w:rFonts w:ascii="Times New Roman" w:hAnsi="Times New Roman"/>
          <w:sz w:val="24"/>
        </w:rPr>
        <w:t>Two cases still misclassify after the fix, both PARTIALLY_SUPPORTED claims judged UNSUPPORTED — the safe direction, but worth naming precisely: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4"/>
              </w:rPr>
              <w:t>Case</w:t>
            </w:r>
          </w:p>
        </w:tc>
        <w:tc>
          <w:tcPr>
            <w:tcW w:type="dxa" w:w="2160"/>
          </w:tcPr>
          <w:p>
            <w:r>
              <w:rPr>
                <w:rFonts w:ascii="Times New Roman" w:hAnsi="Times New Roman"/>
                <w:b/>
                <w:sz w:val="24"/>
              </w:rPr>
              <w:t>Claim</w:t>
            </w:r>
          </w:p>
        </w:tc>
        <w:tc>
          <w:tcPr>
            <w:tcW w:type="dxa" w:w="2160"/>
          </w:tcPr>
          <w:p>
            <w:r>
              <w:rPr>
                <w:rFonts w:ascii="Times New Roman" w:hAnsi="Times New Roman"/>
                <w:b/>
                <w:sz w:val="24"/>
              </w:rPr>
              <w:t>Evidence</w:t>
            </w:r>
          </w:p>
        </w:tc>
        <w:tc>
          <w:tcPr>
            <w:tcW w:type="dxa" w:w="2160"/>
          </w:tcPr>
          <w:p>
            <w:r>
              <w:rPr>
                <w:rFonts w:ascii="Times New Roman" w:hAnsi="Times New Roman"/>
                <w:b/>
                <w:sz w:val="24"/>
              </w:rPr>
              <w:t>Expected → Predicted</w:t>
            </w:r>
          </w:p>
        </w:tc>
      </w:tr>
      <w:tr>
        <w:tc>
          <w:tcPr>
            <w:tcW w:type="dxa" w:w="2160"/>
          </w:tcPr>
          <w:p>
            <w:r>
              <w:rPr>
                <w:rFonts w:ascii="Times New Roman" w:hAnsi="Times New Roman"/>
                <w:sz w:val="24"/>
              </w:rPr>
              <w:t>t6</w:t>
            </w:r>
          </w:p>
        </w:tc>
        <w:tc>
          <w:tcPr>
            <w:tcW w:type="dxa" w:w="2160"/>
          </w:tcPr>
          <w:p>
            <w:r>
              <w:rPr>
                <w:rFonts w:ascii="Times New Roman" w:hAnsi="Times New Roman"/>
                <w:sz w:val="24"/>
              </w:rPr>
              <w:t>Owned CI/CD and cut build times by 90%.</w:t>
            </w:r>
          </w:p>
        </w:tc>
        <w:tc>
          <w:tcPr>
            <w:tcW w:type="dxa" w:w="2160"/>
          </w:tcPr>
          <w:p>
            <w:r>
              <w:rPr>
                <w:rFonts w:ascii="Times New Roman" w:hAnsi="Times New Roman"/>
                <w:sz w:val="24"/>
              </w:rPr>
              <w:t>Owned CI/CD for 40 engineers; a caching layer cut build time 11→4 min (~64%).</w:t>
            </w:r>
          </w:p>
        </w:tc>
        <w:tc>
          <w:tcPr>
            <w:tcW w:type="dxa" w:w="2160"/>
          </w:tcPr>
          <w:p>
            <w:r>
              <w:rPr>
                <w:rFonts w:ascii="Times New Roman" w:hAnsi="Times New Roman"/>
                <w:sz w:val="24"/>
              </w:rPr>
              <w:t>PARTIAL → UNSUPPORTED</w:t>
            </w:r>
          </w:p>
        </w:tc>
      </w:tr>
      <w:tr>
        <w:tc>
          <w:tcPr>
            <w:tcW w:type="dxa" w:w="2160"/>
          </w:tcPr>
          <w:p>
            <w:r>
              <w:rPr>
                <w:rFonts w:ascii="Times New Roman" w:hAnsi="Times New Roman"/>
                <w:sz w:val="24"/>
              </w:rPr>
              <w:t>t7</w:t>
            </w:r>
          </w:p>
        </w:tc>
        <w:tc>
          <w:tcPr>
            <w:tcW w:type="dxa" w:w="2160"/>
          </w:tcPr>
          <w:p>
            <w:r>
              <w:rPr>
                <w:rFonts w:ascii="Times New Roman" w:hAnsi="Times New Roman"/>
                <w:sz w:val="24"/>
              </w:rPr>
              <w:t>Expert-level Kubernetes administrator.</w:t>
            </w:r>
          </w:p>
        </w:tc>
        <w:tc>
          <w:tcPr>
            <w:tcW w:type="dxa" w:w="2160"/>
          </w:tcPr>
          <w:p>
            <w:r>
              <w:rPr>
                <w:rFonts w:ascii="Times New Roman" w:hAnsi="Times New Roman"/>
                <w:sz w:val="24"/>
              </w:rPr>
              <w:t>Self-taught enough to debug one scheduling bug.</w:t>
            </w:r>
          </w:p>
        </w:tc>
        <w:tc>
          <w:tcPr>
            <w:tcW w:type="dxa" w:w="2160"/>
          </w:tcPr>
          <w:p>
            <w:r>
              <w:rPr>
                <w:rFonts w:ascii="Times New Roman" w:hAnsi="Times New Roman"/>
                <w:sz w:val="24"/>
              </w:rPr>
              <w:t>PARTIAL → UNSUPPORTED</w:t>
            </w:r>
          </w:p>
        </w:tc>
      </w:tr>
    </w:tbl>
    <w:p/>
    <w:p>
      <w:pPr>
        <w:spacing w:line="480" w:lineRule="auto"/>
      </w:pPr>
      <w:r>
        <w:rPr>
          <w:rFonts w:ascii="Times New Roman" w:hAnsi="Times New Roman"/>
          <w:sz w:val="24"/>
        </w:rPr>
        <w:t>t6 is compound (true ownership, false 90% figure); the model let the false part drag the whole claim to UNSUPPORTED instead of averaging. t7 is seniority inflation the prompt's own definitions almost describe verbatim as PARTIALLY_SUPPORTED, yet the model called it baseless — a genuinely borderline case still resolved toward the stricter neighbor. A concrete next step is adding more compound-claim and seniority-gap examples to the labeled dataset itself. A related weak spot: the retrieval eval's one deliberately unanswerable query still returns a full 8 irrelevant chunks, since hybrid retrieval has no “no good answer” notion. The Trust Harness is the actual safeguard here (Section 3's zero dangerous errors is evidence it works), but a retrieval-side relevance threshold would be a cheaper first line of defense.</w:t>
      </w:r>
    </w:p>
    <w:p>
      <w:pPr>
        <w:spacing w:line="480" w:lineRule="auto"/>
      </w:pPr>
      <w:r>
        <w:rPr>
          <w:rFonts w:ascii="Times New Roman" w:hAnsi="Times New Roman"/>
          <w:b/>
          <w:sz w:val="24"/>
        </w:rPr>
        <w:t>5. Reliability Improvements &amp; Best Practices</w:t>
      </w:r>
    </w:p>
    <w:p>
      <w:pPr>
        <w:spacing w:line="480" w:lineRule="auto"/>
      </w:pPr>
      <w:r>
        <w:rPr>
          <w:rFonts w:ascii="Times New Roman" w:hAnsi="Times New Roman"/>
          <w:sz w:val="24"/>
        </w:rPr>
        <w:t>Two changes made alongside the fix address reliability, both found by measuring a real run rather than trusting it worked. Telemetry previously recorded tokens-per-model and duration-per-node as two unlinked lists; LangGraph already tags each LLM call with the node that made it, so the tracker now attributes tokens and cost to that node directly, with no agent changes required, and every run now emits a metrics.json with a per-step breakdown. Separately, config/pricing.json listed OpenAI rates only, so every Bedrock generation reported cost_usd = null — correct behavior for an unpriced model, but Bedrock was never actually unpriced, just missing. The fix adds real Claude rates plus a version-extension guard so a future model release cannot silently inherit an earlier one's price.</w:t>
      </w:r>
    </w:p>
    <w:p>
      <w:pPr>
        <w:spacing w:line="480" w:lineRule="auto"/>
      </w:pPr>
      <w:r>
        <w:rPr>
          <w:rFonts w:ascii="Times New Roman" w:hAnsi="Times New Roman"/>
          <w:sz w:val="24"/>
        </w:rPr>
        <w:t>Best practices: never report a partial/default number when the true value is unknown; when a classifier's errors are correlated, examine their direction before touching the model or data; treat too-lenient and too-strict errors as different severities; reproduce a before/after comparison at a pinned temperature, in both directions, before treating a fix as confirmed.</w:t>
      </w:r>
    </w:p>
    <w:p>
      <w:pPr>
        <w:spacing w:line="480" w:lineRule="auto"/>
      </w:pPr>
      <w:r>
        <w:rPr>
          <w:rFonts w:ascii="Times New Roman" w:hAnsi="Times New Roman"/>
          <w:b/>
          <w:sz w:val="24"/>
        </w:rPr>
        <w:t>6. Conclusion</w:t>
      </w:r>
    </w:p>
    <w:p>
      <w:pPr>
        <w:spacing w:line="480" w:lineRule="auto"/>
      </w:pPr>
      <w:r>
        <w:rPr>
          <w:rFonts w:ascii="Times New Roman" w:hAnsi="Times New Roman"/>
          <w:sz w:val="24"/>
        </w:rPr>
        <w:t>The offline evaluation measured a real regression (accuracy 0.500), root-caused it to an undefined strictness instruction, and confirmed a fix (accuracy 0.833) that closed the gap without opening the more dangerous false-pass failure mode. Two misclassifications and a retrieval weak spot remain as documented open findings rather than treated as solved. Alongside the model-quality work, a telemetry and pricing fix closed a gap where every real generation's cost was silently unreportable, extending the same “never report an unearned number” discipline to cost accounting.</w:t>
      </w:r>
    </w:p>
    <w:p>
      <w:pPr>
        <w:spacing w:line="480" w:lineRule="auto"/>
      </w:pPr>
      <w:r>
        <w:rPr>
          <w:rFonts w:ascii="Times New Roman" w:hAnsi="Times New Roman"/>
          <w:b/>
          <w:sz w:val="24"/>
        </w:rPr>
        <w:t>AI Disclosure Statement</w:t>
      </w:r>
    </w:p>
    <w:p>
      <w:pPr>
        <w:spacing w:line="480" w:lineRule="auto"/>
      </w:pPr>
      <w:r>
        <w:rPr>
          <w:rFonts w:ascii="Times New Roman" w:hAnsi="Times New Roman"/>
          <w:sz w:val="24"/>
        </w:rPr>
        <w:t>In August 2026, during Week 6 of this project, an AI coding assistant (Claude) was used to run the evaluation harness, independently reproduce the A/B comparison, implement the Section 5 fix, and draft this report. The Trust Harness prompt fix (Section 3) was implemented in an earlier session and is reported here, not newly authored. All numeric results came from running the project's code against a real Bedrock-hosted model. All findings were reviewed and confirmed by the author.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