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p>
    <w:p>
      <w:pPr>
        <w:spacing w:line="480" w:lineRule="auto"/>
        <w:jc w:val="center"/>
      </w:pPr>
      <w:r>
        <w:rPr>
          <w:rFonts w:ascii="Times New Roman" w:hAnsi="Times New Roman"/>
          <w:b w:val="0"/>
          <w:sz w:val="24"/>
        </w:rPr>
        <w:t>MSAI 699 Capstone Project</w:t>
      </w:r>
    </w:p>
    <w:p>
      <w:pPr>
        <w:spacing w:line="480" w:lineRule="auto"/>
        <w:jc w:val="center"/>
      </w:pPr>
    </w:p>
    <w:p>
      <w:pPr>
        <w:spacing w:line="480" w:lineRule="auto"/>
        <w:jc w:val="center"/>
      </w:pPr>
      <w:r>
        <w:rPr>
          <w:rFonts w:ascii="Times New Roman" w:hAnsi="Times New Roman"/>
          <w:b w:val="0"/>
          <w:sz w:val="24"/>
        </w:rPr>
        <w:t>Instructor: Dr. Gamini Bulumulle</w:t>
      </w:r>
    </w:p>
    <w:p>
      <w:pPr>
        <w:spacing w:line="480" w:lineRule="auto"/>
        <w:jc w:val="center"/>
      </w:pPr>
    </w:p>
    <w:p>
      <w:pPr>
        <w:spacing w:line="480" w:lineRule="auto"/>
        <w:jc w:val="center"/>
      </w:pPr>
      <w:r>
        <w:rPr>
          <w:rFonts w:ascii="Times New Roman" w:hAnsi="Times New Roman"/>
          <w:b w:val="0"/>
          <w:sz w:val="24"/>
        </w:rPr>
        <w:t>Week 6: Testing, Evaluation &amp; Documentation: Model Testing and Debugging Report</w:t>
      </w:r>
    </w:p>
    <w:p>
      <w:pPr>
        <w:spacing w:line="480" w:lineRule="auto"/>
        <w:jc w:val="center"/>
      </w:pPr>
    </w:p>
    <w:p>
      <w:pPr>
        <w:spacing w:line="480" w:lineRule="auto"/>
        <w:jc w:val="center"/>
      </w:pPr>
      <w:r>
        <w:rPr>
          <w:rFonts w:ascii="Times New Roman" w:hAnsi="Times New Roman"/>
          <w:b w:val="0"/>
          <w:sz w:val="24"/>
        </w:rPr>
        <w:t>Peng Fei Xu</w:t>
      </w:r>
    </w:p>
    <w:p>
      <w:pPr>
        <w:spacing w:line="480" w:lineRule="auto"/>
        <w:jc w:val="center"/>
      </w:pPr>
    </w:p>
    <w:p>
      <w:pPr>
        <w:spacing w:line="480" w:lineRule="auto"/>
        <w:jc w:val="center"/>
      </w:pPr>
      <w:r>
        <w:rPr>
          <w:rFonts w:ascii="Times New Roman" w:hAnsi="Times New Roman"/>
          <w:b w:val="0"/>
          <w:sz w:val="24"/>
        </w:rPr>
        <w:t>University of the Cumberlands</w:t>
      </w:r>
    </w:p>
    <w:p>
      <w:pPr>
        <w:spacing w:line="480" w:lineRule="auto"/>
        <w:jc w:val="center"/>
      </w:pPr>
    </w:p>
    <w:p>
      <w:pPr>
        <w:spacing w:line="480" w:lineRule="auto"/>
        <w:jc w:val="center"/>
      </w:pPr>
      <w:r>
        <w:rPr>
          <w:rFonts w:ascii="Times New Roman" w:hAnsi="Times New Roman"/>
          <w:b w:val="0"/>
          <w:sz w:val="24"/>
        </w:rPr>
        <w:t>Submitted to the University of the Cumberlands</w:t>
      </w:r>
    </w:p>
    <w:p>
      <w:pPr>
        <w:spacing w:line="480" w:lineRule="auto"/>
        <w:jc w:val="center"/>
      </w:pPr>
      <w:r>
        <w:rPr>
          <w:rFonts w:ascii="Times New Roman" w:hAnsi="Times New Roman"/>
          <w:b w:val="0"/>
          <w:sz w:val="24"/>
        </w:rPr>
        <w:t>in Partial Fulfillment of the Requirements of the Degree of</w:t>
      </w:r>
    </w:p>
    <w:p>
      <w:pPr>
        <w:spacing w:line="480" w:lineRule="auto"/>
        <w:jc w:val="center"/>
      </w:pPr>
      <w:r>
        <w:rPr>
          <w:rFonts w:ascii="Times New Roman" w:hAnsi="Times New Roman"/>
          <w:b w:val="0"/>
          <w:sz w:val="24"/>
        </w:rPr>
        <w:t>Master of Science in Artificial Intelligence</w:t>
      </w:r>
    </w:p>
    <w:p>
      <w:pPr>
        <w:spacing w:line="480" w:lineRule="auto"/>
        <w:jc w:val="center"/>
      </w:pPr>
    </w:p>
    <w:p>
      <w:pPr>
        <w:spacing w:line="480" w:lineRule="auto"/>
        <w:jc w:val="center"/>
      </w:pPr>
      <w:r>
        <w:rPr>
          <w:rFonts w:ascii="Times New Roman" w:hAnsi="Times New Roman"/>
          <w:b w:val="0"/>
          <w:sz w:val="24"/>
        </w:rPr>
        <w:t>Aug 7, 2026</w:t>
      </w:r>
    </w:p>
    <w:p>
      <w:r>
        <w:br w:type="page"/>
      </w:r>
    </w:p>
    <w:p>
      <w:pPr>
        <w:spacing w:line="480" w:lineRule="auto"/>
        <w:jc w:val="center"/>
      </w:pPr>
      <w:r>
        <w:rPr>
          <w:rFonts w:ascii="Times New Roman" w:hAnsi="Times New Roman"/>
          <w:b/>
          <w:sz w:val="24"/>
        </w:rPr>
        <w:t>Abstract</w:t>
      </w:r>
    </w:p>
    <w:p>
      <w:pPr>
        <w:spacing w:line="480" w:lineRule="auto"/>
      </w:pPr>
      <w:r>
        <w:rPr>
          <w:rFonts w:ascii="Times New Roman" w:hAnsi="Times New Roman"/>
          <w:sz w:val="24"/>
        </w:rPr>
        <w:t>This report documents a testing and debugging pass on TrustResume's Trust Harness, the agent that checks every claim in a generated resume against the candidate's own evidence. The project's offline evaluation harness scores the Trust Harness against 12 hand-labeled claim/evidence/verdict cases. Run against the harness's original prompt, it measured accuracy 0.500 and macro-F1 0.489, with every error running the same direction: a strictness instruction with no defined labels caused a uniform one-notch downgrade. Replacing that instruction with explicit label definitions and a named asymmetry between the two error types raised accuracy and macro-F1 to 0.833, reproduced identically across independent runs at temperature 0, with zero dangerous (too-lenient) errors before and after. Two remaining misclassifications and a related retrieval weak spot are analyzed as open findings. Separately, this pass added per-step cost telemetry and fixed a pricing-configuration gap that had been silently reporting every Bedrock generation's cost as unknown.</w:t>
      </w:r>
    </w:p>
    <w:p>
      <w:r>
        <w:br w:type="page"/>
      </w:r>
    </w:p>
    <w:p>
      <w:pPr>
        <w:spacing w:line="480" w:lineRule="auto"/>
      </w:pPr>
      <w:r>
        <w:rPr>
          <w:rFonts w:ascii="Times New Roman" w:hAnsi="Times New Roman"/>
          <w:b/>
          <w:sz w:val="24"/>
        </w:rPr>
        <w:t>1. Introduction</w:t>
      </w:r>
    </w:p>
    <w:p>
      <w:pPr>
        <w:spacing w:line="480" w:lineRule="auto"/>
      </w:pPr>
      <w:r>
        <w:rPr>
          <w:rFonts w:ascii="Times New Roman" w:hAnsi="Times New Roman"/>
          <w:sz w:val="24"/>
        </w:rPr>
        <w:t>TrustResume's central claim is that every factual statement in a generated resume is checked against the candidate's own evidence before it is shown to anyone. That claim is only as good as the Trust Harness agent making the check, and the runtime Trust score shown to a user is computed directly from whatever the harness says — a harness that rubber-stamps every claim SUPPORTED would produce a perfect score and an invisible failure. ADR-0011 added the missing check: a small, hand-labeled dataset of claim/evidence pairs with a known correct verdict, scored offline and independent of any live user.</w:t>
      </w:r>
    </w:p>
    <w:p>
      <w:pPr>
        <w:spacing w:line="480" w:lineRule="auto"/>
      </w:pPr>
      <w:r>
        <w:rPr>
          <w:rFonts w:ascii="Times New Roman" w:hAnsi="Times New Roman"/>
          <w:sz w:val="24"/>
        </w:rPr>
        <w:t>This report is the testing and debugging exercise that dataset made possible. Section 2 covers the testing methodology; Section 3 reports an A/B comparison of the harness's original prompt versus a redefined one; Section 4 analyzes the errors that remain, plus a related retrieval weak spot; Section 5 covers reliability work done alongside the fix — per-step cost telemetry and a pricing-configuration bug that was silently making every real generation's cost unreportable.</w:t>
      </w:r>
    </w:p>
    <w:p>
      <w:pPr>
        <w:spacing w:line="480" w:lineRule="auto"/>
      </w:pPr>
      <w:r>
        <w:rPr>
          <w:rFonts w:ascii="Times New Roman" w:hAnsi="Times New Roman"/>
          <w:b/>
          <w:sz w:val="24"/>
        </w:rPr>
        <w:t>2. Testing Methodology</w:t>
      </w:r>
    </w:p>
    <w:p>
      <w:pPr>
        <w:spacing w:line="480" w:lineRule="auto"/>
      </w:pPr>
      <w:r>
        <w:rPr>
          <w:rFonts w:ascii="Times New Roman" w:hAnsi="Times New Roman"/>
          <w:sz w:val="24"/>
        </w:rPr>
        <w:t>The harness under test is TrustHarnessAgent: given a resume draft and its retrieved evidence, it extracts every discrete factual claim and classifies each as SUPPORTED, PARTIALLY_SUPPORTED, or UNSUPPORTED. The evaluation dataset (evals/datasets/trust_claims.jsonl) pins 12 claims against known evidence and a known correct label, weighted toward the SUPPORTED/PARTIALLY_SUPPORTED boundary because that is where a resume actually lies — quiet inflation of scope, seniority, and numbers — with three flat fabrications included as an easy floor.</w:t>
      </w:r>
    </w:p>
    <w:p>
      <w:pPr>
        <w:spacing w:line="480" w:lineRule="auto"/>
      </w:pPr>
      <w:r>
        <w:rPr>
          <w:rFonts w:ascii="Times New Roman" w:hAnsi="Times New Roman"/>
          <w:sz w:val="24"/>
        </w:rPr>
        <w:t>python -m trustresume.evals --suite trust drives every case through the real agent and model (AWS Bedrock, global.anthropic.claude-opus-4-6-v1, temperature 0) and scores accuracy, macro-F1, per-label precision/recall/F1, and a full confusion matrix. Macro-F1 is reported alongside accuracy because a real resume's claims skew SUPPORTED, so a harness that never predicts UNSUPPORTED can look ~80% accurate while failing at its only job. A dangerous_errors count is tracked separately: cases where the harness was too lenient, calling an unsupported claim supported. That error ships a fabrication to an employer; the opposite error only costs one more rewrite iteration, so the two are not reported as one undifferentiated rate.</w:t>
      </w:r>
    </w:p>
    <w:p>
      <w:pPr>
        <w:spacing w:line="480" w:lineRule="auto"/>
      </w:pPr>
      <w:r>
        <w:rPr>
          <w:rFonts w:ascii="Times New Roman" w:hAnsi="Times New Roman"/>
          <w:sz w:val="24"/>
        </w:rPr>
        <w:t>Section 3's A/B test compares the harness's original prompt against a revised one on this same 12-case set, holding the model, temperature, and dataset fixed. Reproducibility was checked by running the current configuration twice independently; both returned identical accuracy, macro-F1, and per-case verdicts, as expected at temperature 0.</w:t>
      </w:r>
    </w:p>
    <w:p>
      <w:pPr>
        <w:spacing w:line="480" w:lineRule="auto"/>
      </w:pPr>
      <w:r>
        <w:rPr>
          <w:rFonts w:ascii="Times New Roman" w:hAnsi="Times New Roman"/>
          <w:b/>
          <w:sz w:val="24"/>
        </w:rPr>
        <w:t>3. A/B Test Results: Trust Harness Prompt</w:t>
      </w:r>
    </w:p>
    <w:p>
      <w:pPr>
        <w:spacing w:line="480" w:lineRule="auto"/>
      </w:pPr>
      <w:r>
        <w:rPr>
          <w:rFonts w:ascii="Times New Roman" w:hAnsi="Times New Roman"/>
          <w:sz w:val="24"/>
        </w:rPr>
        <w:t>The harness's original system prompt said only “Be strict... do not give the draft the benefit of the doubt,” without ever defining what SUPPORTED, PARTIALLY_SUPPORTED, and UNSUPPORTED mean. Run against the 12-case dataset, that prompt (“before”) versus the redefined-labels prompt (“after”) scored: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Metric</w:t>
            </w:r>
          </w:p>
        </w:tc>
        <w:tc>
          <w:tcPr>
            <w:tcW w:type="dxa" w:w="2880"/>
          </w:tcPr>
          <w:p>
            <w:r>
              <w:rPr>
                <w:rFonts w:ascii="Times New Roman" w:hAnsi="Times New Roman"/>
                <w:b/>
                <w:sz w:val="24"/>
              </w:rPr>
              <w:t>Before (original prompt)</w:t>
            </w:r>
          </w:p>
        </w:tc>
        <w:tc>
          <w:tcPr>
            <w:tcW w:type="dxa" w:w="2880"/>
          </w:tcPr>
          <w:p>
            <w:r>
              <w:rPr>
                <w:rFonts w:ascii="Times New Roman" w:hAnsi="Times New Roman"/>
                <w:b/>
                <w:sz w:val="24"/>
              </w:rPr>
              <w:t>After (redefined labels)</w:t>
            </w:r>
          </w:p>
        </w:tc>
      </w:tr>
      <w:tr>
        <w:tc>
          <w:tcPr>
            <w:tcW w:type="dxa" w:w="2880"/>
          </w:tcPr>
          <w:p>
            <w:r>
              <w:rPr>
                <w:rFonts w:ascii="Times New Roman" w:hAnsi="Times New Roman"/>
                <w:sz w:val="24"/>
              </w:rPr>
              <w:t>Accuracy</w:t>
            </w:r>
          </w:p>
        </w:tc>
        <w:tc>
          <w:tcPr>
            <w:tcW w:type="dxa" w:w="2880"/>
          </w:tcPr>
          <w:p>
            <w:r>
              <w:rPr>
                <w:rFonts w:ascii="Times New Roman" w:hAnsi="Times New Roman"/>
                <w:sz w:val="24"/>
              </w:rPr>
              <w:t>0.500</w:t>
            </w:r>
          </w:p>
        </w:tc>
        <w:tc>
          <w:tcPr>
            <w:tcW w:type="dxa" w:w="2880"/>
          </w:tcPr>
          <w:p>
            <w:r>
              <w:rPr>
                <w:rFonts w:ascii="Times New Roman" w:hAnsi="Times New Roman"/>
                <w:sz w:val="24"/>
              </w:rPr>
              <w:t>0.833</w:t>
            </w:r>
          </w:p>
        </w:tc>
      </w:tr>
      <w:tr>
        <w:tc>
          <w:tcPr>
            <w:tcW w:type="dxa" w:w="2880"/>
          </w:tcPr>
          <w:p>
            <w:r>
              <w:rPr>
                <w:rFonts w:ascii="Times New Roman" w:hAnsi="Times New Roman"/>
                <w:sz w:val="24"/>
              </w:rPr>
              <w:t>Macro-F1</w:t>
            </w:r>
          </w:p>
        </w:tc>
        <w:tc>
          <w:tcPr>
            <w:tcW w:type="dxa" w:w="2880"/>
          </w:tcPr>
          <w:p>
            <w:r>
              <w:rPr>
                <w:rFonts w:ascii="Times New Roman" w:hAnsi="Times New Roman"/>
                <w:sz w:val="24"/>
              </w:rPr>
              <w:t>0.489</w:t>
            </w:r>
          </w:p>
        </w:tc>
        <w:tc>
          <w:tcPr>
            <w:tcW w:type="dxa" w:w="2880"/>
          </w:tcPr>
          <w:p>
            <w:r>
              <w:rPr>
                <w:rFonts w:ascii="Times New Roman" w:hAnsi="Times New Roman"/>
                <w:sz w:val="24"/>
              </w:rPr>
              <w:t>0.833</w:t>
            </w:r>
          </w:p>
        </w:tc>
      </w:tr>
      <w:tr>
        <w:tc>
          <w:tcPr>
            <w:tcW w:type="dxa" w:w="2880"/>
          </w:tcPr>
          <w:p>
            <w:r>
              <w:rPr>
                <w:rFonts w:ascii="Times New Roman" w:hAnsi="Times New Roman"/>
                <w:sz w:val="24"/>
              </w:rPr>
              <w:t>SUPPORTED recall</w:t>
            </w:r>
          </w:p>
        </w:tc>
        <w:tc>
          <w:tcPr>
            <w:tcW w:type="dxa" w:w="2880"/>
          </w:tcPr>
          <w:p>
            <w:r>
              <w:rPr>
                <w:rFonts w:ascii="Times New Roman" w:hAnsi="Times New Roman"/>
                <w:sz w:val="24"/>
              </w:rPr>
              <w:t>0.25</w:t>
            </w:r>
          </w:p>
        </w:tc>
        <w:tc>
          <w:tcPr>
            <w:tcW w:type="dxa" w:w="2880"/>
          </w:tcPr>
          <w:p>
            <w:r>
              <w:rPr>
                <w:rFonts w:ascii="Times New Roman" w:hAnsi="Times New Roman"/>
                <w:sz w:val="24"/>
              </w:rPr>
              <w:t>1.00</w:t>
            </w:r>
          </w:p>
        </w:tc>
      </w:tr>
      <w:tr>
        <w:tc>
          <w:tcPr>
            <w:tcW w:type="dxa" w:w="2880"/>
          </w:tcPr>
          <w:p>
            <w:r>
              <w:rPr>
                <w:rFonts w:ascii="Times New Roman" w:hAnsi="Times New Roman"/>
                <w:sz w:val="24"/>
              </w:rPr>
              <w:t>Too-lenient (dangerous) errors</w:t>
            </w:r>
          </w:p>
        </w:tc>
        <w:tc>
          <w:tcPr>
            <w:tcW w:type="dxa" w:w="2880"/>
          </w:tcPr>
          <w:p>
            <w:r>
              <w:rPr>
                <w:rFonts w:ascii="Times New Roman" w:hAnsi="Times New Roman"/>
                <w:sz w:val="24"/>
              </w:rPr>
              <w:t>0</w:t>
            </w:r>
          </w:p>
        </w:tc>
        <w:tc>
          <w:tcPr>
            <w:tcW w:type="dxa" w:w="2880"/>
          </w:tcPr>
          <w:p>
            <w:r>
              <w:rPr>
                <w:rFonts w:ascii="Times New Roman" w:hAnsi="Times New Roman"/>
                <w:sz w:val="24"/>
              </w:rPr>
              <w:t>0</w:t>
            </w:r>
          </w:p>
        </w:tc>
      </w:tr>
    </w:tbl>
    <w:p/>
    <w:p>
      <w:pPr>
        <w:spacing w:line="480" w:lineRule="auto"/>
      </w:pPr>
      <w:r>
        <w:rPr>
          <w:rFonts w:ascii="Times New Roman" w:hAnsi="Times New Roman"/>
          <w:sz w:val="24"/>
        </w:rPr>
        <w:t>The per-case detail, not just the headline numbers, is what made this actionable: all six errors under the original prompt ran the same direction and by the same margin — off by exactly one severity step, always toward under-crediting. A claim reading “ran 23 postmortems over 18 months” against evidence stating the same thing verbatim was downgraded to PARTIALLY_SUPPORTED — not a model that cannot tell supported from unsupported, but one told to be cautious with no boundary on what that means, so it applied a uniform one-notch penalty to everything.</w:t>
      </w:r>
    </w:p>
    <w:p>
      <w:pPr>
        <w:spacing w:line="480" w:lineRule="auto"/>
      </w:pPr>
      <w:r>
        <w:rPr>
          <w:rFonts w:ascii="Times New Roman" w:hAnsi="Times New Roman"/>
          <w:sz w:val="24"/>
        </w:rPr>
        <w:t>The fix replaced the strictness instruction with explicit label definitions: SUPPORTED includes a restatement, an entailed generalization, or a correctly derived figure; PARTIALLY_SUPPORTED is reserved for real substance with overstated scope, seniority, or numbers; UNSUPPORTED is reserved for claims with no evidentiary basis at all. The prompt also names the asymmetry directly — an unsupported claim marked SUPPORTED ships a fabrication, while a supported claim marked otherwise only costs one rewrite — so the model can resist overstatement without discounting everything by default.</w:t>
      </w:r>
    </w:p>
    <w:p>
      <w:pPr>
        <w:spacing w:line="480" w:lineRule="auto"/>
      </w:pPr>
      <w:r>
        <w:rPr>
          <w:rFonts w:ascii="Times New Roman" w:hAnsi="Times New Roman"/>
          <w:sz w:val="24"/>
        </w:rPr>
        <w:t>Both conditions were reproduced independently in this pass rather than only quoted from an earlier commit: the after-prompt returned 0.833/0.833 on two separate runs, and temporarily restoring the original prompt returned 0.500/0.489, exactly matching. Too-lenient errors held at zero in both conditions — the harness got more accurate without becoming more permissive.</w:t>
      </w:r>
    </w:p>
    <w:p>
      <w:pPr>
        <w:spacing w:line="480" w:lineRule="auto"/>
      </w:pPr>
      <w:r>
        <w:rPr>
          <w:rFonts w:ascii="Times New Roman" w:hAnsi="Times New Roman"/>
          <w:b/>
          <w:sz w:val="24"/>
        </w:rPr>
        <w:t>4. Error Analysis</w:t>
      </w:r>
    </w:p>
    <w:p>
      <w:pPr>
        <w:spacing w:line="480" w:lineRule="auto"/>
      </w:pPr>
      <w:r>
        <w:rPr>
          <w:rFonts w:ascii="Times New Roman" w:hAnsi="Times New Roman"/>
          <w:sz w:val="24"/>
        </w:rPr>
        <w:t>Two of the twelve cases are still misclassified after the fix, both PARTIALLY_SUPPORTED claims judged UNSUPPORTED — the safe direction, since neither lets a fabrication through, but still worth naming precisely rather than folding into an aggregate accuracy number.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4"/>
              </w:rPr>
              <w:t>Case</w:t>
            </w:r>
          </w:p>
        </w:tc>
        <w:tc>
          <w:tcPr>
            <w:tcW w:type="dxa" w:w="1728"/>
          </w:tcPr>
          <w:p>
            <w:r>
              <w:rPr>
                <w:rFonts w:ascii="Times New Roman" w:hAnsi="Times New Roman"/>
                <w:b/>
                <w:sz w:val="24"/>
              </w:rPr>
              <w:t>Claim</w:t>
            </w:r>
          </w:p>
        </w:tc>
        <w:tc>
          <w:tcPr>
            <w:tcW w:type="dxa" w:w="1728"/>
          </w:tcPr>
          <w:p>
            <w:r>
              <w:rPr>
                <w:rFonts w:ascii="Times New Roman" w:hAnsi="Times New Roman"/>
                <w:b/>
                <w:sz w:val="24"/>
              </w:rPr>
              <w:t>Evidence</w:t>
            </w:r>
          </w:p>
        </w:tc>
        <w:tc>
          <w:tcPr>
            <w:tcW w:type="dxa" w:w="1728"/>
          </w:tcPr>
          <w:p>
            <w:r>
              <w:rPr>
                <w:rFonts w:ascii="Times New Roman" w:hAnsi="Times New Roman"/>
                <w:b/>
                <w:sz w:val="24"/>
              </w:rPr>
              <w:t>Expected</w:t>
            </w:r>
          </w:p>
        </w:tc>
        <w:tc>
          <w:tcPr>
            <w:tcW w:type="dxa" w:w="1728"/>
          </w:tcPr>
          <w:p>
            <w:r>
              <w:rPr>
                <w:rFonts w:ascii="Times New Roman" w:hAnsi="Times New Roman"/>
                <w:b/>
                <w:sz w:val="24"/>
              </w:rPr>
              <w:t>Predicted</w:t>
            </w:r>
          </w:p>
        </w:tc>
      </w:tr>
      <w:tr>
        <w:tc>
          <w:tcPr>
            <w:tcW w:type="dxa" w:w="1728"/>
          </w:tcPr>
          <w:p>
            <w:r>
              <w:rPr>
                <w:rFonts w:ascii="Times New Roman" w:hAnsi="Times New Roman"/>
                <w:sz w:val="24"/>
              </w:rPr>
              <w:t>t6</w:t>
            </w:r>
          </w:p>
        </w:tc>
        <w:tc>
          <w:tcPr>
            <w:tcW w:type="dxa" w:w="1728"/>
          </w:tcPr>
          <w:p>
            <w:r>
              <w:rPr>
                <w:rFonts w:ascii="Times New Roman" w:hAnsi="Times New Roman"/>
                <w:sz w:val="24"/>
              </w:rPr>
              <w:t>Owned the CI/CD platform and cut build times by 90%.</w:t>
            </w:r>
          </w:p>
        </w:tc>
        <w:tc>
          <w:tcPr>
            <w:tcW w:type="dxa" w:w="1728"/>
          </w:tcPr>
          <w:p>
            <w:r>
              <w:rPr>
                <w:rFonts w:ascii="Times New Roman" w:hAnsi="Times New Roman"/>
                <w:sz w:val="24"/>
              </w:rPr>
              <w:t>Owned the CI/CD platform for 40 engineers: a shared caching layer that cut mean build time from 11 to 4 minutes.</w:t>
            </w:r>
          </w:p>
        </w:tc>
        <w:tc>
          <w:tcPr>
            <w:tcW w:type="dxa" w:w="1728"/>
          </w:tcPr>
          <w:p>
            <w:r>
              <w:rPr>
                <w:rFonts w:ascii="Times New Roman" w:hAnsi="Times New Roman"/>
                <w:sz w:val="24"/>
              </w:rPr>
              <w:t>PARTIALLY_SUPPORTED</w:t>
            </w:r>
          </w:p>
        </w:tc>
        <w:tc>
          <w:tcPr>
            <w:tcW w:type="dxa" w:w="1728"/>
          </w:tcPr>
          <w:p>
            <w:r>
              <w:rPr>
                <w:rFonts w:ascii="Times New Roman" w:hAnsi="Times New Roman"/>
                <w:sz w:val="24"/>
              </w:rPr>
              <w:t>UNSUPPORTED</w:t>
            </w:r>
          </w:p>
        </w:tc>
      </w:tr>
      <w:tr>
        <w:tc>
          <w:tcPr>
            <w:tcW w:type="dxa" w:w="1728"/>
          </w:tcPr>
          <w:p>
            <w:r>
              <w:rPr>
                <w:rFonts w:ascii="Times New Roman" w:hAnsi="Times New Roman"/>
                <w:sz w:val="24"/>
              </w:rPr>
              <w:t>t7</w:t>
            </w:r>
          </w:p>
        </w:tc>
        <w:tc>
          <w:tcPr>
            <w:tcW w:type="dxa" w:w="1728"/>
          </w:tcPr>
          <w:p>
            <w:r>
              <w:rPr>
                <w:rFonts w:ascii="Times New Roman" w:hAnsi="Times New Roman"/>
                <w:sz w:val="24"/>
              </w:rPr>
              <w:t>Expert-level Kubernetes administrator.</w:t>
            </w:r>
          </w:p>
        </w:tc>
        <w:tc>
          <w:tcPr>
            <w:tcW w:type="dxa" w:w="1728"/>
          </w:tcPr>
          <w:p>
            <w:r>
              <w:rPr>
                <w:rFonts w:ascii="Times New Roman" w:hAnsi="Times New Roman"/>
                <w:sz w:val="24"/>
              </w:rPr>
              <w:t>Taught myself enough of the container orchestrator to debug a scheduling bug: pods stuck pending because a node taint had no matching toleration.</w:t>
            </w:r>
          </w:p>
        </w:tc>
        <w:tc>
          <w:tcPr>
            <w:tcW w:type="dxa" w:w="1728"/>
          </w:tcPr>
          <w:p>
            <w:r>
              <w:rPr>
                <w:rFonts w:ascii="Times New Roman" w:hAnsi="Times New Roman"/>
                <w:sz w:val="24"/>
              </w:rPr>
              <w:t>PARTIALLY_SUPPORTED</w:t>
            </w:r>
          </w:p>
        </w:tc>
        <w:tc>
          <w:tcPr>
            <w:tcW w:type="dxa" w:w="1728"/>
          </w:tcPr>
          <w:p>
            <w:r>
              <w:rPr>
                <w:rFonts w:ascii="Times New Roman" w:hAnsi="Times New Roman"/>
                <w:sz w:val="24"/>
              </w:rPr>
              <w:t>UNSUPPORTED</w:t>
            </w:r>
          </w:p>
        </w:tc>
      </w:tr>
    </w:tbl>
    <w:p/>
    <w:p>
      <w:pPr>
        <w:spacing w:line="480" w:lineRule="auto"/>
      </w:pPr>
      <w:r>
        <w:rPr>
          <w:rFonts w:ascii="Times New Roman" w:hAnsi="Times New Roman"/>
          <w:sz w:val="24"/>
        </w:rPr>
        <w:t>t6 is a compound claim with one true part (ownership) and one false part (11-to-4 minutes is ~64%, not 90%); the model let the false numeric component drag the whole claim to UNSUPPORTED rather than averaging the two, even though the prompt's definitions call for PARTIALLY_SUPPORTED when a compound claim's parts differ. t7 is seniority inflation: self-taught knowledge sufficient to debug one scheduling bug is escalated to “expert-level administrator.” The prompt's own definitions use almost this exact evidence shape as a PARTIALLY_SUPPORTED example, yet the model still called it baseless. Both point at the same gap: the definitions state the boundary abstractly, but a model can still resolve a genuinely borderline case toward the stricter neighbor. A concrete next step is adding more compound-claim and seniority-gap examples to the labeled dataset itself, not just the prompt, so a future revision is scored against this exact failure mode.</w:t>
      </w:r>
    </w:p>
    <w:p>
      <w:pPr>
        <w:spacing w:line="480" w:lineRule="auto"/>
      </w:pPr>
      <w:r>
        <w:rPr>
          <w:rFonts w:ascii="Times New Roman" w:hAnsi="Times New Roman"/>
          <w:sz w:val="24"/>
        </w:rPr>
        <w:t>A related weak spot surfaces on the retrieval side of the same suite, not the Trust Harness. One evaluation query is deliberately unanswerable (no truly relevant document exists), but hybrid retrieval has no notion of “no good answer” — it always fills its configured top-k, so the query still returns 8 irrelevant chunks. Retrieval recall is unaffected by design (a query with nothing relevant to find is correctly scored as “missed nothing”), but the writer agent still receives 8 chunks that should not ground anything. The Trust Harness is the actual safeguard here, and the zero dangerous-error result in Section 3 is direct evidence it is working — but a relevance threshold on the retrieval side would be a cheaper first line of defense than relying on the harness alone.</w:t>
      </w:r>
    </w:p>
    <w:p>
      <w:pPr>
        <w:spacing w:line="480" w:lineRule="auto"/>
      </w:pPr>
      <w:r>
        <w:rPr>
          <w:rFonts w:ascii="Times New Roman" w:hAnsi="Times New Roman"/>
          <w:b/>
          <w:sz w:val="24"/>
        </w:rPr>
        <w:t>5. Reliability Improvements &amp; Best Practices</w:t>
      </w:r>
    </w:p>
    <w:p>
      <w:pPr>
        <w:spacing w:line="480" w:lineRule="auto"/>
      </w:pPr>
      <w:r>
        <w:rPr>
          <w:rFonts w:ascii="Times New Roman" w:hAnsi="Times New Roman"/>
          <w:sz w:val="24"/>
        </w:rPr>
        <w:t>Two changes made alongside the fix address reliability rather than model quality, both found by measuring a real run rather than trusting it worked. First, per-step cost and token attribution: telemetry previously recorded total tokens per model and total duration per orchestrator node as two unlinked lists, so “which step of which rewrite iteration cost how much” was unanswerable. LangGraph already tags every LLM call's callback metadata with the node that made it; the tracker now captures that tag and attributes each call's tokens and cost to it, with no agent changes required. Every run's output directory now includes a metrics.json with a per-step, per-iteration breakdown.</w:t>
      </w:r>
    </w:p>
    <w:p>
      <w:pPr>
        <w:spacing w:line="480" w:lineRule="auto"/>
      </w:pPr>
      <w:r>
        <w:rPr>
          <w:rFonts w:ascii="Times New Roman" w:hAnsi="Times New Roman"/>
          <w:sz w:val="24"/>
        </w:rPr>
        <w:t>Second, a pricing-configuration gap: config/pricing.json listed OpenAI rates only, so every real generation against the project's default provider (AWS Bedrock / Claude) reported cost_usd = null — technically correct behavior for an unpriced model, but Bedrock was never actually unpriced, just missing from the file. The fix adds real Claude rates plus a version-extension guard so a future model release cannot silently inherit an earlier generation's price by accidental substring match.</w:t>
      </w:r>
    </w:p>
    <w:p>
      <w:pPr>
        <w:spacing w:line="480" w:lineRule="auto"/>
      </w:pPr>
      <w:r>
        <w:rPr>
          <w:rFonts w:ascii="Times New Roman" w:hAnsi="Times New Roman"/>
          <w:sz w:val="24"/>
        </w:rPr>
        <w:t>Best practices worth stating explicitly: never report a partial or default number when the true value is unknown; when a classifier's errors are correlated, look at their direction and shape before touching the model or data; treat too-lenient and too-strict classification errors as different severities, not one rate; and reproduce a before/after comparison at a pinned temperature, in both directions, before treating a fix as confirmed.</w:t>
      </w:r>
    </w:p>
    <w:p>
      <w:pPr>
        <w:spacing w:line="480" w:lineRule="auto"/>
      </w:pPr>
      <w:r>
        <w:rPr>
          <w:rFonts w:ascii="Times New Roman" w:hAnsi="Times New Roman"/>
          <w:b/>
          <w:sz w:val="24"/>
        </w:rPr>
        <w:t>6. Conclusion</w:t>
      </w:r>
    </w:p>
    <w:p>
      <w:pPr>
        <w:spacing w:line="480" w:lineRule="auto"/>
      </w:pPr>
      <w:r>
        <w:rPr>
          <w:rFonts w:ascii="Times New Roman" w:hAnsi="Times New Roman"/>
          <w:sz w:val="24"/>
        </w:rPr>
        <w:t>The Trust Harness's offline evaluation measured a real regression (accuracy 0.500) in the harness's original prompt, root-caused it to an undefined strictness instruction rather than a model or data problem, and confirmed a fix (accuracy 0.833) that closed the gap without opening the more dangerous failure mode of letting a fabrication through. Two PARTIALLY_SUPPORTED cases still misclassify as UNSUPPORTED, in the safe direction, and are documented as open findings with a concrete next step rather than treated as solved. A related retrieval weak spot is currently caught downstream by the Trust Harness rather than filtered upstream, which works today but is a thinner margin than a retrieval-side fix would be. Alongside the model-quality work, per-step cost telemetry and a pricing fix closed a gap where every real generation's cost was silently unreportable, extending the same “never report an unearned number” discipline to the system's cost-accounting path.</w:t>
      </w:r>
    </w:p>
    <w:p>
      <w:pPr>
        <w:spacing w:line="480" w:lineRule="auto"/>
      </w:pPr>
      <w:r>
        <w:rPr>
          <w:rFonts w:ascii="Times New Roman" w:hAnsi="Times New Roman"/>
          <w:b/>
          <w:sz w:val="24"/>
        </w:rPr>
        <w:t>AI Disclosure Statement</w:t>
      </w:r>
    </w:p>
    <w:p>
      <w:pPr>
        <w:spacing w:line="480" w:lineRule="auto"/>
      </w:pPr>
      <w:r>
        <w:rPr>
          <w:rFonts w:ascii="Times New Roman" w:hAnsi="Times New Roman"/>
          <w:sz w:val="24"/>
        </w:rPr>
        <w:t>In August 2026, during Week 6 of this project, an AI coding assistant (Claude) was used to run the offline evaluation harness, independently reproduce the before/after A/B comparison (including temporarily restoring the original prompt to re-derive the “before” numbers rather than only quoting an earlier commit), implement the Section 5 telemetry/pricing fix, and draft this report. The Trust Harness prompt fix itself (Section 3) was implemented in an earlier session and is reported here, not newly authored. All numeric results came from actually running the project's code against a real Bedrock-hosted model. All findings and conclusions were reviewed and confirmed by the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