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47B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Ниже — проект описания методики для кредитного комитета.</w:t>
      </w:r>
      <w:r/>
    </w:p>
    <w:p w14:paraId="179E3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Важно: в файле, который вы приложили, в калькуляторе сейчас используются периоды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 / 14 / 30 дней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в методологии написано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/ 7 / 30 дней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Для кредитного комитета лучше зафиксировать единый вариант. Я бы рекомендовал использовать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/ 7 / 30 дней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так как 3 дня лучше отражают резкую мошенническую активность.</w:t>
      </w:r>
      <w:r/>
    </w:p>
    <w:p w14:paraId="00B55D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Методика расчета антифрод-скоринг-балла клиента</w:t>
      </w:r>
      <w:r/>
    </w:p>
    <w:p w14:paraId="792461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для выявления признаков возможного мошенничества, кредитного abuse и агрессивного набора кредитов</w:t>
      </w:r>
      <w:r/>
    </w:p>
    <w:p w14:paraId="7F8783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Назначение методики</w:t>
      </w:r>
      <w:r/>
    </w:p>
    <w:p w14:paraId="07BC9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предназначена для оценки риска клиента на этапе рассмотрения кредитной заявки с учетом сведений о его недавней кредитной активности, получаемых через бюро кредитных историй.</w:t>
      </w:r>
      <w:r/>
    </w:p>
    <w:p w14:paraId="392A0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Цель методики — выявить клиентов, по которым наблюдаются признаки:</w:t>
      </w:r>
      <w:r/>
    </w:p>
    <w:p w14:paraId="7C9466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агрессивного набора кредитов;</w:t>
      </w:r>
      <w:r/>
    </w:p>
    <w:p w14:paraId="2BEDAD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одновременного прохождения нескольких кредитных воронок;</w:t>
      </w:r>
      <w:r/>
    </w:p>
    <w:p w14:paraId="2FDA7A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оформления кредита под влиянием третьих лиц;</w:t>
      </w:r>
      <w:r/>
    </w:p>
    <w:p w14:paraId="50A880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возможного мошеннического воздействия;</w:t>
      </w:r>
      <w:r/>
    </w:p>
    <w:p w14:paraId="13FEB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получения нескольких одобрений или выдач в короткий период;</w:t>
      </w:r>
      <w:r/>
    </w:p>
    <w:p w14:paraId="1CEC91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повышенной долговой нагрузки до момента отражения полной информации в стандартной кредитной истории;</w:t>
      </w:r>
      <w:r/>
    </w:p>
    <w:p w14:paraId="440E76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попытки получить несколько кредитов до обновления данных между кредиторами.</w:t>
      </w:r>
      <w:r/>
    </w:p>
    <w:p w14:paraId="3F0B0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не заменяет классическую кредитную оценку платежеспособности, PD-модель или проверку ПДН. Она является дополнительным антифрод-инструментом, направленным на выявление поведенческого риска.</w:t>
      </w:r>
      <w:r/>
    </w:p>
    <w:p w14:paraId="141D40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Нормативная основа и источник данных</w:t>
      </w:r>
      <w:r/>
    </w:p>
    <w:p w14:paraId="5681D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использует сведения, которые могут передаваться через квалифицированные бюро кредитных историй в целях предупреждения возможного мошенничества. Указание Банка России № 7189-У от 29.09.2025 регулирует взаимодействие квалифицированных бюро кредитных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историй, БКИ и пользователей кредитных историй для предоставления, в том числе, сведений для предупреждения возможного мошенничества и сведений о запрете на заключение договоров потребительского кредита. Документ зарегистрирован в Минюсте России 01.11.202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 № 84061 и, согласно опубликованному тексту, вступает в силу с 01.07.2026. </w:t>
      </w:r>
      <w:r/>
    </w:p>
    <w:p w14:paraId="59DB9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Приложении 2 к Указанию предусмотрена форма сведений для предупреждения возможного мошенничества. По изображению шаблона и опубликованной форме ключевыми для данной методики являются следующие поля: уникальный идентификатор договора или обращения, код ст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адии рассмотрения обращения, дата и время перехода в текущую стадию, сумма займа или кредита, валюта суммы, а также код причины отказа при наличии отказа. </w:t>
      </w:r>
      <w:r/>
    </w:p>
    <w:p w14:paraId="5BEE4E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Входные данные модели</w:t>
      </w:r>
      <w:r/>
    </w:p>
    <w:p w14:paraId="10D3D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каждого клиента в расчет попадают события, полученные из БКИ по кредитным обращениям за заданные временные окна.</w:t>
      </w:r>
      <w:r/>
    </w:p>
    <w:p w14:paraId="3F3AC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Минимальный набор входных полей: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84"/>
        <w:gridCol w:w="3196"/>
        <w:gridCol w:w="277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0EE91A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15C0C98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29E8648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Использование в модели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161EFF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Уникальный идентификатор договора / обращения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37BBA0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Уникальный ID кредита или обращения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7185C1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Дедубликация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53294C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Код стадии рассмотрения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4020F9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Заявка, одобрение, подписание, выдача, отказ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484363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Определение стадии риска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21D5FC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Дата и время перехода в стадию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2880CC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Момент наступления события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5B0F1D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Расчет окон 3 / 7 / 30 дней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326CF3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Сумма займа / кредита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1ABE5B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Сумма обязательства или запрашиваемая сумма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3F7677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Расчет суммы риска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13248B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Валюта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0C70F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Валюта кредита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7E3B94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Контроль сопоставимости сумм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4" w:type="dxa"/>
            <w:vAlign w:val="center"/>
          </w:tcPr>
          <w:p w14:paraId="43ECC9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Код причины отказа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96" w:type="dxa"/>
            <w:vAlign w:val="center"/>
          </w:tcPr>
          <w:p w14:paraId="591134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 наличии отказа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</w:tcPr>
          <w:p w14:paraId="239AB3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Дополнительный аналитический признак</w:t>
            </w:r>
            <w:r/>
          </w:p>
        </w:tc>
      </w:tr>
    </w:tbl>
    <w:p w14:paraId="3443DE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Логика уникальности кредита</w:t>
      </w:r>
      <w:r/>
    </w:p>
    <w:p w14:paraId="65118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Ключевой принцип модели: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один кредит или одно кредитное обращение должно учитываться в расчете один раз на каждой релевантной стадии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1B8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один и тот же договор или обращение поступает в систему несколько раз с одинаковым уникальным ID, он не должен многократно увеличивать score клиента.</w:t>
      </w:r>
      <w:r/>
    </w:p>
    <w:p w14:paraId="0EA7E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этого используется поле:</w:t>
      </w:r>
      <w:r/>
    </w:p>
    <w:p w14:paraId="2078C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Уникальный идентификатор договора / обращения</w:t>
      </w:r>
      <w:r/>
    </w:p>
    <w:p w14:paraId="1B0D1F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Правило дедубликации</w:t>
      </w:r>
      <w:r/>
    </w:p>
    <w:p w14:paraId="03EAC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один и тот же </w:t>
      </w:r>
      <w:r>
        <w:rPr>
          <w:rFonts w:ascii="Courier New" w:hAnsi="Courier New" w:eastAsia="Courier New" w:cs="Courier New"/>
          <w:color w:val="000000"/>
          <w:sz w:val="20"/>
        </w:rPr>
        <w:t xml:space="preserve">contract_id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встречается повторно, в расчет включается только первое или последнее релевантное событие — в зависимости от бизнес-логики.</w:t>
      </w:r>
      <w:r/>
    </w:p>
    <w:p w14:paraId="4006B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Рекомендуемый вариант для антифрод-модели:</w:t>
      </w:r>
      <w:r/>
    </w:p>
    <w:p w14:paraId="726A6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По каждому уникальному contract_id учитывать последнюю достигнутую стадию.</w:t>
      </w:r>
      <w:r/>
    </w:p>
    <w:p w14:paraId="24656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Например: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3"/>
        <w:gridCol w:w="1245"/>
        <w:gridCol w:w="34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5E39BD6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contract_id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29A9C0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Стадия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5" w:type="dxa"/>
            <w:vAlign w:val="center"/>
          </w:tcPr>
          <w:p w14:paraId="4A168D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Учитывать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736C12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7D1756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5" w:type="dxa"/>
            <w:vAlign w:val="center"/>
          </w:tcPr>
          <w:p w14:paraId="4E0DBD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Нет, если позже было одобрение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2A1AC8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7D9D5A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Одобрение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5" w:type="dxa"/>
            <w:vAlign w:val="center"/>
          </w:tcPr>
          <w:p w14:paraId="1524D3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Нет, если позже было подписание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7762C8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6A6960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Подписание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5" w:type="dxa"/>
            <w:vAlign w:val="center"/>
          </w:tcPr>
          <w:p w14:paraId="2E7BD4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Нет, если позже была выдача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5DA934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0EFA4A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Выдача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5" w:type="dxa"/>
            <w:vAlign w:val="center"/>
          </w:tcPr>
          <w:p w14:paraId="110BC2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</w:tbl>
    <w:p w14:paraId="5FFC1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 есть если кредит прошел путь:</w:t>
      </w:r>
      <w:r/>
    </w:p>
    <w:p w14:paraId="44239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Заявка → Одобрение → Подписание → Выдача</w:t>
      </w:r>
      <w:r/>
    </w:p>
    <w:p w14:paraId="6E4BE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 в итоговом расчете он должен учитываться как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одна выдача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не как четыре независимых события.</w:t>
      </w:r>
      <w:r/>
    </w:p>
    <w:p w14:paraId="4183E4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Стадии кредитного процесса</w:t>
      </w:r>
      <w:r/>
    </w:p>
    <w:p w14:paraId="17C6F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Модель учитывает 5 стадий: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5"/>
        <w:gridCol w:w="458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425A4D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Стадия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779EA0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Смысл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42595E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27D18A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инициировал обращение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658650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Одобрение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41E6A8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Кредитор предварительно согласовал кредит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6CE60F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Подписание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4C3714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перешел к заключению договора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69F9C8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Выдача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13BD2F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Деньги фактически выданы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</w:tcPr>
          <w:p w14:paraId="442B10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3" w:type="dxa"/>
            <w:vAlign w:val="center"/>
          </w:tcPr>
          <w:p w14:paraId="7F1C67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Кредитор отказал клиенту</w:t>
            </w:r>
            <w:r/>
          </w:p>
        </w:tc>
      </w:tr>
    </w:tbl>
    <w:p w14:paraId="27BD78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Вес стадий</w:t>
      </w:r>
      <w:r/>
    </w:p>
    <w:p w14:paraId="26F64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Стадии имеют разную значимость. Чем дальше клиент продвинулся по кредитной воронке, тем выше риск.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9"/>
        <w:gridCol w:w="329"/>
        <w:gridCol w:w="793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6A8650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Стадия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01DA69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3E1AEC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Обоснование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669F86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6F09AB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2D4765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Самый ранний сигнал активности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1B358B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Одобрение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207102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34270B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уже прошел предварительную оценку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024F7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3C9680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3D5217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Множественные отказы могут указывать на рискованный профиль или массовую подачу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1B526E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Подписание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55B562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5A256E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фактически готов принять обязательство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9" w:type="dxa"/>
            <w:vAlign w:val="center"/>
          </w:tcPr>
          <w:p w14:paraId="40A249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Выдача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" w:type="dxa"/>
            <w:vAlign w:val="center"/>
          </w:tcPr>
          <w:p w14:paraId="5AD1A2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6" w:type="dxa"/>
            <w:vAlign w:val="center"/>
          </w:tcPr>
          <w:p w14:paraId="5F04CF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Возникает реальная долговая нагрузка</w:t>
            </w:r>
            <w:r/>
          </w:p>
        </w:tc>
      </w:tr>
    </w:tbl>
    <w:p w14:paraId="67386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Главный риск для банка возникает не от самой заявки, а от сочетания:</w:t>
      </w:r>
      <w:r/>
    </w:p>
    <w:p w14:paraId="78C16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у клиента уже есть выдача</w:t>
        <w:br/>
        <w:t xml:space="preserve">+</w:t>
        <w:br/>
        <w:t xml:space="preserve">есть новые заявки / одобрения / подписания</w:t>
      </w:r>
      <w:r/>
    </w:p>
    <w:p w14:paraId="0AC7C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может указывать на агрессивный набор кредитов, кредитную карусель или ситуацию, когда клиент действует под влиянием мошенников.</w:t>
      </w:r>
      <w:r/>
    </w:p>
    <w:p w14:paraId="60E5D6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Временные окна</w:t>
      </w:r>
      <w:r/>
    </w:p>
    <w:p w14:paraId="0A50D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Модель оценивает события в нескольких горизонтах: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99"/>
        <w:gridCol w:w="47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596497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Период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6" w:type="dxa"/>
            <w:vAlign w:val="center"/>
          </w:tcPr>
          <w:p w14:paraId="2EF8F75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337491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дня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6" w:type="dxa"/>
            <w:vAlign w:val="center"/>
          </w:tcPr>
          <w:p w14:paraId="556B52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Выявление резкой, аномальной активности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00FDF7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6" w:type="dxa"/>
            <w:vAlign w:val="center"/>
          </w:tcPr>
          <w:p w14:paraId="2AAABF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Выявление краткосрочного кредитного набора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18ADB7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6" w:type="dxa"/>
            <w:vAlign w:val="center"/>
          </w:tcPr>
          <w:p w14:paraId="786215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Выявление накопления долговой нагрузки</w:t>
            </w:r>
            <w:r/>
          </w:p>
        </w:tc>
      </w:tr>
    </w:tbl>
    <w:p w14:paraId="71AF2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Рекомендуемые веса периодов: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99"/>
        <w:gridCol w:w="37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26E500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Период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" w:type="dxa"/>
            <w:vAlign w:val="center"/>
          </w:tcPr>
          <w:p w14:paraId="789F2F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Вес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4247A9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дня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" w:type="dxa"/>
            <w:vAlign w:val="center"/>
          </w:tcPr>
          <w:p w14:paraId="36C996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62A1A3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" w:type="dxa"/>
            <w:vAlign w:val="center"/>
          </w:tcPr>
          <w:p w14:paraId="64EC84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0698F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" w:type="dxa"/>
            <w:vAlign w:val="center"/>
          </w:tcPr>
          <w:p w14:paraId="4EBDCE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</w:t>
            </w:r>
            <w:r/>
          </w:p>
        </w:tc>
      </w:tr>
    </w:tbl>
    <w:p w14:paraId="0BE60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Чем короче период, тем выше вес, поскольку массовые обращения за короткое время являются более сильным индикатором риска.</w:t>
      </w:r>
      <w:r/>
    </w:p>
    <w:p w14:paraId="759D1E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Расчет score по количеству событий</w:t>
      </w:r>
      <w:r/>
    </w:p>
    <w:p w14:paraId="32B1A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каждой стадии и каждого периода считается количество уникальных кредитов.</w:t>
      </w:r>
      <w:r/>
    </w:p>
    <w:p w14:paraId="2DED4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Пример:</w:t>
      </w:r>
      <w:r/>
    </w:p>
    <w:p w14:paraId="3D096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Количество уникальных заявок за 7 дней</w:t>
        <w:br/>
        <w:t xml:space="preserve">Количество уникальных одобрений за 7 дней</w:t>
        <w:br/>
        <w:t xml:space="preserve">Количество уникальных подписаний за 7 дней</w:t>
        <w:br/>
        <w:t xml:space="preserve">Количество уникальных выдач за 7 дней</w:t>
      </w:r>
      <w:r/>
    </w:p>
    <w:p w14:paraId="2056E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Универсальная шкала количества: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78"/>
        <w:gridCol w:w="5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3517DBF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Количество уникальных событий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8BC578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Балл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274AAF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7CA43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63A267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1–3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0E2DCD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6E4324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4–7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3DC97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78044F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8–10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CC605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8" w:type="dxa"/>
            <w:vAlign w:val="center"/>
          </w:tcPr>
          <w:p w14:paraId="0B72BE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11+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80F5C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90</w:t>
            </w:r>
            <w:r/>
          </w:p>
        </w:tc>
      </w:tr>
    </w:tbl>
    <w:p w14:paraId="00AEA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Смысл шкалы:</w:t>
      </w:r>
      <w:r/>
    </w:p>
    <w:p w14:paraId="2ADFA3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 событий — риска нет;</w:t>
      </w:r>
      <w:r/>
    </w:p>
    <w:p w14:paraId="4D59A5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1–3 события — допустимая активность;</w:t>
      </w:r>
      <w:r/>
    </w:p>
    <w:p w14:paraId="10B23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4–7 событий — повышенная активность;</w:t>
      </w:r>
      <w:r/>
    </w:p>
    <w:p w14:paraId="639637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8–10 событий — высокий риск;</w:t>
      </w:r>
      <w:r/>
    </w:p>
    <w:p w14:paraId="094030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11+ событий — критическая аномалия.</w:t>
      </w:r>
      <w:r/>
    </w:p>
    <w:p w14:paraId="1AA18E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Расчет score по сумме кредита</w:t>
      </w:r>
      <w:r/>
    </w:p>
    <w:p w14:paraId="30C1C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каждой стадии и периода считается сумма уникальных кредитов.</w:t>
      </w:r>
      <w:r/>
    </w:p>
    <w:p w14:paraId="437AC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Например:</w:t>
      </w:r>
      <w:r/>
    </w:p>
    <w:p w14:paraId="6662D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Сумма заявок за 7 дней</w:t>
        <w:br/>
        <w:t xml:space="preserve">Сумма одобрений за 7 дней</w:t>
        <w:br/>
        <w:t xml:space="preserve">Сумма подписаний за 7 дней</w:t>
        <w:br/>
        <w:t xml:space="preserve">Сумма выдач за 7 дней</w:t>
      </w:r>
      <w:r/>
    </w:p>
    <w:p w14:paraId="0B23F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Шкала суммы из модели: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60"/>
        <w:gridCol w:w="5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0271C6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Сумма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0EFC01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Балл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ED091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&lt; 1 000 000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5DDFF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3C66A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1 000 000 – 1 249 999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C0A99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50C6A4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1 250 000 – 3 999 999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9BBC0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1088FB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4 000 000 – 7 999 999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01DD33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93F5A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≥ 8 000 000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0E638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</w:tr>
    </w:tbl>
    <w:p w14:paraId="330AF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Логика: высокая сумма сама по себе усиливает риск, даже если количество событий небольшое.</w:t>
      </w:r>
      <w:r/>
    </w:p>
    <w:p w14:paraId="569E42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Базовый score строки</w:t>
      </w:r>
      <w:r/>
    </w:p>
    <w:p w14:paraId="347A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каждой комбинации:</w:t>
      </w:r>
      <w:r/>
    </w:p>
    <w:p w14:paraId="470A7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Стадия × Период</w:t>
      </w:r>
      <w:r/>
    </w:p>
    <w:p w14:paraId="64D9D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рассчитываются два балла:</w:t>
      </w:r>
      <w:r/>
    </w:p>
    <w:p w14:paraId="1A4E3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Score по количеству</w:t>
        <w:br/>
        <w:t xml:space="preserve">Score по сумме</w:t>
      </w:r>
      <w:r/>
    </w:p>
    <w:p w14:paraId="134F8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Затем выбирается максимальный:</w:t>
      </w:r>
      <w:r/>
    </w:p>
    <w:p w14:paraId="346D1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Базовый score = MAX(score по количеству; score по сумме)</w:t>
      </w:r>
      <w:r/>
    </w:p>
    <w:p w14:paraId="12FE5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нужно для того, чтобы модель реагировала как на массовость событий, так и на крупные суммы.</w:t>
      </w:r>
      <w:r/>
    </w:p>
    <w:p w14:paraId="6093F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Пример: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51"/>
        <w:gridCol w:w="10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49CC973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Показатель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39F200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4391E7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Количество выдач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2E43B0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7BE0F1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Score по количеству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464FE2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309461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Сумма выдач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F8FCA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8 500 000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55F958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Score по сумме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70CC1A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59C460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Базовый 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27E19F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</w:tr>
    </w:tbl>
    <w:p w14:paraId="0E1B3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Даже при одной выдаче сумма является критичной, поэтому используется score 120.</w:t>
      </w:r>
      <w:r/>
    </w:p>
    <w:p w14:paraId="1BB7E6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Взвешенный score строки</w:t>
      </w:r>
      <w:r/>
    </w:p>
    <w:p w14:paraId="621E9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определения базового score он умножается на вес стадии и вес периода:</w:t>
      </w:r>
      <w:r/>
    </w:p>
    <w:p w14:paraId="5CE71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Итоговый score строки =</w:t>
        <w:br/>
        <w:t xml:space="preserve">Базовый score × Вес стадии × Вес периода</w:t>
      </w:r>
      <w:r/>
    </w:p>
    <w:p w14:paraId="73199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Пример:</w:t>
      </w:r>
      <w:r/>
    </w:p>
    <w:p w14:paraId="6D65F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Стадия: Выдача</w:t>
        <w:br/>
        <w:t xml:space="preserve">Период: 7 дней</w:t>
        <w:br/>
        <w:t xml:space="preserve">Базовый score: 120</w:t>
        <w:br/>
        <w:t xml:space="preserve">Вес стадии: 5</w:t>
        <w:br/>
        <w:t xml:space="preserve">Вес периода: 1.5</w:t>
      </w:r>
      <w:r/>
    </w:p>
    <w:p w14:paraId="4D91F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Расчет:</w:t>
      </w:r>
      <w:r/>
    </w:p>
    <w:p w14:paraId="2E2C0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120 × 5 × 1.5 = 900</w:t>
      </w:r>
      <w:r/>
    </w:p>
    <w:p w14:paraId="548AD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Такой результат означает высокий риск, поскольку клиент недавно получил крупную выдачу.</w:t>
      </w:r>
      <w:r/>
    </w:p>
    <w:p w14:paraId="584D3E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Общий base score клиента</w:t>
      </w:r>
      <w:r/>
    </w:p>
    <w:p w14:paraId="3452D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Общий base score клиента рассчитывается как сумма score по всем стадиям и периодам:</w:t>
      </w:r>
      <w:r/>
    </w:p>
    <w:p w14:paraId="5B642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Base Score =</w:t>
        <w:br/>
        <w:t xml:space="preserve">Score заявок</w:t>
        <w:br/>
        <w:t xml:space="preserve">+ Score одобрений</w:t>
        <w:br/>
        <w:t xml:space="preserve">+ Score отказов</w:t>
        <w:br/>
        <w:t xml:space="preserve">+ Score подписаний</w:t>
        <w:br/>
        <w:t xml:space="preserve">+ Score выдач</w:t>
      </w:r>
      <w:r/>
    </w:p>
    <w:p w14:paraId="17512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этом расчет должен выполняться только по уникальным договорам / обращениям.</w:t>
      </w:r>
      <w:r/>
    </w:p>
    <w:p w14:paraId="311DF1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Правила комбинаций</w:t>
      </w:r>
      <w:r/>
    </w:p>
    <w:p w14:paraId="1A652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Отдельно от базового score применяются комбинационные правила.</w:t>
      </w:r>
      <w:r/>
    </w:p>
    <w:p w14:paraId="421FA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Они нужны, потому что наибольший риск часто возникает не из одного события, а из цепочки поведения клиента.</w:t>
      </w:r>
      <w:r/>
    </w:p>
    <w:p w14:paraId="19E77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Например:</w:t>
      </w:r>
      <w:r/>
    </w:p>
    <w:p w14:paraId="386B0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Клиент уже получил кредит</w:t>
        <w:br/>
        <w:t xml:space="preserve">+</w:t>
        <w:br/>
        <w:t xml:space="preserve">подает новую заявку</w:t>
        <w:br/>
        <w:t xml:space="preserve">+</w:t>
        <w:br/>
        <w:t xml:space="preserve">имеет еще одно одобрение</w:t>
      </w:r>
      <w:r/>
    </w:p>
    <w:p w14:paraId="55200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Такое поведение может быть более рискованным, чем просто несколько заявок.</w:t>
      </w:r>
      <w:r/>
    </w:p>
    <w:p w14:paraId="7F418B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Рекомендуемые правила комбинаций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07"/>
        <w:gridCol w:w="249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5C0544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Условие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0EC268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Дополнительный score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078853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выдача за 30 дней и новая заявка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68A2AD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+50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1DD013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выдача за 30 дней и новое одобрение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0504A8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+70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702C7E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выдача за 30 дней и подписание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369A74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+80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0302FC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2+ выдачи за 30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48D421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+100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6786C9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стадии пройдены за 30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3C7943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+120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600F7C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Более 7 событий за 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7E903C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+70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7" w:type="dxa"/>
            <w:vAlign w:val="center"/>
          </w:tcPr>
          <w:p w14:paraId="19B17B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2+ отказа и новая 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0" w:type="dxa"/>
            <w:vAlign w:val="center"/>
          </w:tcPr>
          <w:p w14:paraId="09A507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+40</w:t>
            </w:r>
            <w:r/>
          </w:p>
        </w:tc>
      </w:tr>
    </w:tbl>
    <w:p w14:paraId="20CEBE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Итоговый score клиента</w:t>
      </w:r>
      <w:r/>
    </w:p>
    <w:p w14:paraId="0604C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Итоговый score рассчитывается так:</w:t>
      </w:r>
      <w:r/>
    </w:p>
    <w:p w14:paraId="3D615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 Score =</w:t>
        <w:br/>
        <w:t xml:space="preserve">Base Score</w:t>
        <w:br/>
        <w:t xml:space="preserve">+ Score комбинационных правил</w:t>
      </w:r>
      <w:r/>
    </w:p>
    <w:p w14:paraId="0EF20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по клиенту сработали hard-rules, итоговое решение может быть принято без учета score.</w:t>
      </w:r>
      <w:r/>
    </w:p>
    <w:p w14:paraId="5B42D1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Hard-rules</w:t>
      </w:r>
      <w:r/>
    </w:p>
    <w:p w14:paraId="1E132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Hard-rules — это стоп-факторы, при которых заявка должна быть передана на отказ или обязательную проверку СЭБ независимо от числового score.</w:t>
      </w:r>
      <w:r/>
    </w:p>
    <w:p w14:paraId="7B344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Примеры: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1"/>
        <w:gridCol w:w="25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1DD634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Фактор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43ED107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0550F0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в fraud blacklist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68CC93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 / СЭБ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34ECC9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Подтвержденный поддельный документ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689D00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170012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связан с подтвержденным fraud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2CB59D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7ABCBC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находится под воздействием третьих лиц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1C3682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Блокировка выдачи / СЭБ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5EA167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не понимает цель кредита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27578E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Доп. проверка / СЭБ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1" w:type="dxa"/>
            <w:vAlign w:val="center"/>
          </w:tcPr>
          <w:p w14:paraId="77F36B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 сообщает о звонках от “службы безопасности”, ЦБ, полиции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4" w:type="dxa"/>
            <w:vAlign w:val="center"/>
          </w:tcPr>
          <w:p w14:paraId="5ED32E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СЭБ</w:t>
            </w:r>
            <w:r/>
          </w:p>
        </w:tc>
      </w:tr>
    </w:tbl>
    <w:p w14:paraId="3AB51C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Интерпретация итогового score</w:t>
      </w:r>
      <w:r/>
    </w:p>
    <w:p w14:paraId="209CA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Рекомендуемая шкала: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53"/>
        <w:gridCol w:w="2678"/>
        <w:gridCol w:w="52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3C485E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 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16BF72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6" w:type="dxa"/>
            <w:vAlign w:val="center"/>
          </w:tcPr>
          <w:p w14:paraId="08B8909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Интерпретация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150AC4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0–79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77C5F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Стандартная 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6" w:type="dxa"/>
            <w:vAlign w:val="center"/>
          </w:tcPr>
          <w:p w14:paraId="785907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Существенных признаков риска не выявлено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7CD5DB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80–149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725F82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Дополнительная проверка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6" w:type="dxa"/>
            <w:vAlign w:val="center"/>
          </w:tcPr>
          <w:p w14:paraId="46B384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умеренные признаки риска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6706E8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150–249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3A3A2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Anti-Fraud Review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6" w:type="dxa"/>
            <w:vAlign w:val="center"/>
          </w:tcPr>
          <w:p w14:paraId="5C5B76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 поведенческий риск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53835E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250+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A84F9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 / эскалация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6" w:type="dxa"/>
            <w:vAlign w:val="center"/>
          </w:tcPr>
          <w:p w14:paraId="549193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Критический риск мошенничества или credit abuse</w:t>
            </w:r>
            <w:r/>
          </w:p>
        </w:tc>
      </w:tr>
    </w:tbl>
    <w:p w14:paraId="30716C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Пример расчета</w:t>
      </w:r>
      <w:r/>
    </w:p>
    <w:p w14:paraId="3E059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имеет следующие события: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24"/>
        <w:gridCol w:w="799"/>
        <w:gridCol w:w="1269"/>
        <w:gridCol w:w="9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</w:tcPr>
          <w:p w14:paraId="008A9B1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Событие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6E2E72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Период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9" w:type="dxa"/>
            <w:vAlign w:val="center"/>
          </w:tcPr>
          <w:p w14:paraId="5FC125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Количество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0E4256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Сумма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</w:tcPr>
          <w:p w14:paraId="4FBA5B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78BD9A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9" w:type="dxa"/>
            <w:vAlign w:val="center"/>
          </w:tcPr>
          <w:p w14:paraId="56005C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3D4A57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1 500 000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</w:tcPr>
          <w:p w14:paraId="10887E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Одобрение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3997A9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9" w:type="dxa"/>
            <w:vAlign w:val="center"/>
          </w:tcPr>
          <w:p w14:paraId="196967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6BA272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1 500 000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</w:tcPr>
          <w:p w14:paraId="5B6732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Выдача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9" w:type="dxa"/>
            <w:vAlign w:val="center"/>
          </w:tcPr>
          <w:p w14:paraId="155C47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дней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9" w:type="dxa"/>
            <w:vAlign w:val="center"/>
          </w:tcPr>
          <w:p w14:paraId="58D3A8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0C2F90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2 000 000</w:t>
            </w:r>
            <w:r/>
          </w:p>
        </w:tc>
      </w:tr>
    </w:tbl>
    <w:p w14:paraId="54BB70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Заявка</w:t>
      </w:r>
      <w:r/>
    </w:p>
    <w:p w14:paraId="6D54C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Score по количеству: 10</w:t>
        <w:br/>
        <w:t xml:space="preserve"> Score по сумме: 30</w:t>
        <w:br/>
        <w:t xml:space="preserve"> Базовый score: 30</w:t>
        <w:br/>
        <w:t xml:space="preserve"> Вес стадии: 1</w:t>
        <w:br/>
        <w:t xml:space="preserve"> Вес периода: 1.5</w:t>
      </w:r>
      <w:r/>
    </w:p>
    <w:p w14:paraId="3491A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× 1 × 1.5 = 45</w:t>
      </w:r>
      <w:r/>
    </w:p>
    <w:p w14:paraId="70B35F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Одобрение</w:t>
      </w:r>
      <w:r/>
    </w:p>
    <w:p w14:paraId="058BB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Score по количеству: 10</w:t>
        <w:br/>
        <w:t xml:space="preserve"> Score по сумме: 30</w:t>
        <w:br/>
        <w:t xml:space="preserve"> Базовый score: 30</w:t>
        <w:br/>
        <w:t xml:space="preserve"> Вес стадии: 2</w:t>
        <w:br/>
        <w:t xml:space="preserve"> Вес периода: 1.5</w:t>
      </w:r>
      <w:r/>
    </w:p>
    <w:p w14:paraId="2CEB0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× 2 × 1.5 = 90</w:t>
      </w:r>
      <w:r/>
    </w:p>
    <w:p w14:paraId="6CB256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Выдача</w:t>
      </w:r>
      <w:r/>
    </w:p>
    <w:p w14:paraId="26649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Score по количеству: 10</w:t>
        <w:br/>
        <w:t xml:space="preserve"> Score по сумме: 30</w:t>
        <w:br/>
        <w:t xml:space="preserve"> Базовый score: 30</w:t>
        <w:br/>
        <w:t xml:space="preserve"> Вес стадии: 5</w:t>
        <w:br/>
        <w:t xml:space="preserve"> Вес периода: 1.0</w:t>
      </w:r>
      <w:r/>
    </w:p>
    <w:p w14:paraId="77D2E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× 5 × 1.0 = 150</w:t>
      </w:r>
      <w:r/>
    </w:p>
    <w:p w14:paraId="15823C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Base Score</w:t>
      </w:r>
      <w:r/>
    </w:p>
    <w:p w14:paraId="78F67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45 + 90 + 150 = 285</w:t>
      </w:r>
      <w:r/>
    </w:p>
    <w:p w14:paraId="4B6044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Комбинации</w:t>
      </w:r>
      <w:r/>
    </w:p>
    <w:p w14:paraId="6DF8A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Есть выдача за 30 дней + новая заявка за 7 дней:</w:t>
      </w:r>
      <w:r/>
    </w:p>
    <w:p w14:paraId="60D37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+50</w:t>
      </w:r>
      <w:r/>
    </w:p>
    <w:p w14:paraId="76401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Есть выдача за 30 дней + новое одобрение за 7 дней:</w:t>
      </w:r>
      <w:r/>
    </w:p>
    <w:p w14:paraId="767C6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+70</w:t>
      </w:r>
      <w:r/>
    </w:p>
    <w:p w14:paraId="75FB30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Total Score</w:t>
      </w:r>
      <w:r/>
    </w:p>
    <w:p w14:paraId="7F47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285 + 50 + 70 = 405</w:t>
      </w:r>
      <w:r/>
    </w:p>
    <w:p w14:paraId="19CCD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Итоговое решение:</w:t>
      </w:r>
      <w:r/>
    </w:p>
    <w:p w14:paraId="0AD76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Отказ / эскалация в СЭБ</w:t>
      </w:r>
      <w:r/>
    </w:p>
    <w:p w14:paraId="3CB06E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Почему модель полезна для банка</w:t>
      </w:r>
      <w:r/>
    </w:p>
    <w:p w14:paraId="5287A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позволяет выявлять не только классическое мошенничество, но и более широкий поведенческий риск:</w:t>
      </w:r>
      <w:r/>
    </w:p>
    <w:p w14:paraId="19F7C8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подал несколько заявок одновременно;</w:t>
      </w:r>
      <w:r/>
    </w:p>
    <w:p w14:paraId="0C0297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получил одобрение в нескольких организациях;</w:t>
      </w:r>
      <w:r/>
    </w:p>
    <w:p w14:paraId="18D14A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уже получил кредит и продолжает подавать заявки;</w:t>
      </w:r>
      <w:r/>
    </w:p>
    <w:p w14:paraId="6CB68E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быстро проходит путь от заявки до выдачи;</w:t>
      </w:r>
      <w:r/>
    </w:p>
    <w:p w14:paraId="74D519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пытается получить несколько кредитов до обновления кредитной истории;</w:t>
      </w:r>
      <w:r/>
    </w:p>
    <w:p w14:paraId="3C7039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может действовать под воздействием мошенников;</w:t>
      </w:r>
      <w:r/>
    </w:p>
    <w:p w14:paraId="72EA0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 может быть вовлечен в схему вывода денежных средств.</w:t>
      </w:r>
      <w:r/>
    </w:p>
    <w:p w14:paraId="0463A3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Использование результата в кредитном процессе</w:t>
      </w:r>
      <w:r/>
    </w:p>
    <w:p w14:paraId="52CFF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Рекомендуемый процесс:</w:t>
      </w:r>
      <w:r/>
    </w:p>
    <w:p w14:paraId="0DDAF4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Получить сведения из БКИ.</w:t>
      </w:r>
      <w:r/>
    </w:p>
    <w:p w14:paraId="130D25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Провести дедубликацию по уникальному ID договора / обращения.</w:t>
      </w:r>
      <w:r/>
    </w:p>
    <w:p w14:paraId="333899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Определить последнюю стадию по каждому кредиту.</w:t>
      </w:r>
      <w:r/>
    </w:p>
    <w:p w14:paraId="1F85CF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Рассчитать количество и суммы по стадиям за 3 / 7 / 30 дней.</w:t>
      </w:r>
      <w:r/>
    </w:p>
    <w:p w14:paraId="1BB53E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Рассчитать base score.</w:t>
      </w:r>
      <w:r/>
    </w:p>
    <w:p w14:paraId="2ACB8A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Применить комбинационные правила.</w:t>
      </w:r>
      <w:r/>
    </w:p>
    <w:p w14:paraId="07D633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Проверить hard-rules.</w:t>
      </w:r>
      <w:r/>
    </w:p>
    <w:p w14:paraId="7C0960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Сформировать итоговое решение.</w:t>
      </w:r>
      <w:r/>
    </w:p>
    <w:p w14:paraId="68CA152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необходимости направить клиента на дополнительную беседу или проверку СЭБ.</w:t>
      </w:r>
      <w:r/>
    </w:p>
    <w:p w14:paraId="5E9176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Решения по итогам модели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8"/>
        <w:gridCol w:w="47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327B70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5" w:type="dxa"/>
            <w:vAlign w:val="center"/>
          </w:tcPr>
          <w:p w14:paraId="73C95B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Действие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E1FA6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Стандартная заявка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5" w:type="dxa"/>
            <w:vAlign w:val="center"/>
          </w:tcPr>
          <w:p w14:paraId="4DB728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Продолжить стандартный кредитный процесс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357CCD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Дополнительная проверка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5" w:type="dxa"/>
            <w:vAlign w:val="center"/>
          </w:tcPr>
          <w:p w14:paraId="4613FC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Провести уточняющие вопросы менеджером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D2DD8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Anti-Fraud Review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5" w:type="dxa"/>
            <w:vAlign w:val="center"/>
          </w:tcPr>
          <w:p w14:paraId="0AFC4F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Передать в СЭБ / антифрод-подразделение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70096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Отказ / эскалация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65" w:type="dxa"/>
            <w:vAlign w:val="center"/>
          </w:tcPr>
          <w:p w14:paraId="0D0873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проводить выдачу до завершения проверки</w:t>
            </w:r>
            <w:r/>
          </w:p>
        </w:tc>
      </w:tr>
    </w:tbl>
    <w:p w14:paraId="431424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Важные ограничения методики</w:t>
      </w:r>
      <w:r/>
    </w:p>
    <w:p w14:paraId="5004D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Методика не должна использоваться как единственный источник решения по клиенту.</w:t>
      </w:r>
      <w:r/>
    </w:p>
    <w:p w14:paraId="19377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Она должна применяться совместно с:</w:t>
      </w:r>
      <w:r/>
    </w:p>
    <w:p w14:paraId="2210A2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кредитным скорингом;</w:t>
      </w:r>
      <w:r/>
    </w:p>
    <w:p w14:paraId="2D3FF3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ПДН;</w:t>
      </w:r>
      <w:r/>
    </w:p>
    <w:p w14:paraId="05CC52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проверкой дохода;</w:t>
      </w:r>
      <w:r/>
    </w:p>
    <w:p w14:paraId="77738D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проверкой документов;</w:t>
      </w:r>
      <w:r/>
    </w:p>
    <w:p w14:paraId="649098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внутренними fraud-списками;</w:t>
      </w:r>
      <w:r/>
    </w:p>
    <w:p w14:paraId="5CA797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проверкой устройств и каналов подачи заявки;</w:t>
      </w:r>
      <w:r/>
    </w:p>
    <w:p w14:paraId="7C517B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результатами беседы с клиентом;</w:t>
      </w:r>
      <w:r/>
    </w:p>
    <w:p w14:paraId="1968A4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политикой кредитного риска.</w:t>
      </w:r>
      <w:r/>
    </w:p>
    <w:p w14:paraId="22ED59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Рекомендации кредитному комитету</w:t>
      </w:r>
      <w:r/>
    </w:p>
    <w:p w14:paraId="0433E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запуска методики рекомендуется утвердить:</w:t>
      </w:r>
      <w:r/>
    </w:p>
    <w:p w14:paraId="4A6E05D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Перечень стадий, участвующих в расчете.</w:t>
      </w:r>
      <w:r/>
    </w:p>
    <w:p w14:paraId="609788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Использование уникального ID договора / обращения для дедубликации.</w:t>
      </w:r>
      <w:r/>
    </w:p>
    <w:p w14:paraId="36EF66A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Правило учета последней стадии по каждому уникальному кредиту.</w:t>
      </w:r>
      <w:r/>
    </w:p>
    <w:p w14:paraId="48096D3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Временные окна 3 / 7 / 30 дней.</w:t>
      </w:r>
      <w:r/>
    </w:p>
    <w:p w14:paraId="05C85AF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Веса стадий.</w:t>
      </w:r>
      <w:r/>
    </w:p>
    <w:p w14:paraId="6115565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Веса периодов.</w:t>
      </w:r>
      <w:r/>
    </w:p>
    <w:p w14:paraId="75C58B2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Пороги количества.</w:t>
      </w:r>
      <w:r/>
    </w:p>
    <w:p w14:paraId="21391F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Пороги суммы.</w:t>
      </w:r>
      <w:r/>
    </w:p>
    <w:p w14:paraId="18FBAF9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Комбинационные правила.</w:t>
      </w:r>
      <w:r/>
    </w:p>
    <w:p w14:paraId="2DE445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Итоговую шкалу решений.</w:t>
      </w:r>
      <w:r/>
    </w:p>
    <w:p w14:paraId="3C3585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Перечень hard-rules.</w:t>
      </w:r>
      <w:r/>
    </w:p>
    <w:p w14:paraId="092D133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 ручной проверки клиента.</w:t>
      </w:r>
      <w:r/>
    </w:p>
    <w:p w14:paraId="11912B4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Периодичность калибровки модели.</w:t>
      </w:r>
      <w:r/>
    </w:p>
    <w:p w14:paraId="7FBC6D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Рекомендуемая формулировка для решения кредитного комитета</w:t>
      </w:r>
      <w:r/>
    </w:p>
    <w:p w14:paraId="2D68E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Утвердить методику расчета антифрод-скоринг-балла клиента на основании сведений, получаемых через бюро кредитных историй, включая уникальный идентификатор договора / обращения, код стадии рассмотрения, дату и время перехода в стадию и сумму займа / кредита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  <w:br/>
        <w:br/>
        <w:t xml:space="preserve">Методику применять в целях выявления признаков возможного мошенничества, агрессивного набора кредитов, кредитного abuse и оформления кредита под воздействием третьих лиц.</w:t>
        <w:br/>
        <w:br/>
        <w:t xml:space="preserve">Расчет производить по уникальным договорам / обращениям с учетом последней достиг</w:t>
      </w:r>
      <w:r>
        <w:rPr>
          <w:rFonts w:ascii="Courier New" w:hAnsi="Courier New" w:eastAsia="Courier New" w:cs="Courier New"/>
          <w:color w:val="000000"/>
          <w:sz w:val="20"/>
        </w:rPr>
        <w:t xml:space="preserve">нутой стадии, временных окон 3 / 7 / 30 дней, суммы кредитов, количества событий, весов стадий и комбинационных правил.</w:t>
        <w:br/>
        <w:br/>
        <w:t xml:space="preserve">Итоговый score использовать как основание для маршрутизации заявки:</w:t>
        <w:br/>
        <w:t xml:space="preserve">0–79 — стандартное рассмотрение;</w:t>
        <w:br/>
        <w:t xml:space="preserve">80–149 — дополнительная проверка;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150–249 — anti-fraud review;</w:t>
        <w:br/>
        <w:t xml:space="preserve">250 и более — отказ или обязательная эскалация в СЭБ.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7C7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1500C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EBAA3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0589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2026-05-12T04:39:32Z</dcterms:modified>
</cp:coreProperties>
</file>