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Heading 1 — docwow Generic HTML Showcase</w:t>
      </w:r>
    </w:p>
    <w:p>
      <w:pPr>
        <w:pStyle w:val="Heading2"/>
      </w:pPr>
      <w:r>
        <w:t xml:space="preserve">Heading 2 — 16pt bold</w:t>
      </w:r>
    </w:p>
    <w:p>
      <w:pPr>
        <w:pStyle w:val="Heading3"/>
      </w:pPr>
      <w:r>
        <w:t xml:space="preserve">Heading 3 — 14pt bold</w:t>
      </w:r>
    </w:p>
    <w:p>
      <w:pPr>
        <w:pStyle w:val="Heading4"/>
      </w:pPr>
      <w:r>
        <w:t xml:space="preserve">Heading 4 — 13pt bold</w:t>
      </w:r>
    </w:p>
    <w:p>
      <w:pPr>
        <w:pStyle w:val="Heading5"/>
      </w:pPr>
      <w:r>
        <w:t xml:space="preserve">Heading 5 — 12pt bold</w:t>
      </w:r>
    </w:p>
    <w:p>
      <w:pPr>
        <w:pStyle w:val="Heading6"/>
      </w:pPr>
      <w:r>
        <w:t xml:space="preserve">Heading 6 — 11pt bold italic</w:t>
      </w:r>
    </w:p>
    <w:p>
      <w:pPr>
        <w:pStyle w:val="Heading2"/>
      </w:pPr>
      <w:r>
        <w:t xml:space="preserve">Paragraphs</w:t>
      </w:r>
    </w:p>
    <w:p>
      <w:pPr/>
      <w:r>
        <w:t xml:space="preserve">Plain paragraph — no special formatting.</w:t>
      </w:r>
    </w:p>
    <w:p>
      <w:pPr>
        <w:jc w:val="center"/>
      </w:pPr>
      <w:r>
        <w:t xml:space="preserve">Centre-aligned via inline style.</w:t>
      </w:r>
    </w:p>
    <w:p>
      <w:pPr>
        <w:jc w:val="right"/>
      </w:pPr>
      <w:r>
        <w:t xml:space="preserve">Right-aligned via inline style.</w:t>
      </w:r>
    </w:p>
    <w:p>
      <w:pPr>
        <w:jc w:val="both"/>
      </w:pPr>
      <w:r>
        <w:t xml:space="preserve">Justified paragraph. Lorem ipsum dolor sit amet, consectetur adipiscing elit. Sed do eiusmod tempor incididunt ut labore et dolore magna aliqua. Ut enim ad minim veniam.</w:t>
      </w:r>
    </w:p>
    <w:p>
      <w:pPr>
        <w:shd w:val="clear" w:color="auto" w:fill="FFF2CC"/>
      </w:pPr>
      <w:r>
        <w:t xml:space="preserve">Yellow background from CSS class rule (.highlight → background-color: #FFF2CC).</w:t>
      </w:r>
    </w:p>
    <w:p>
      <w:pPr>
        <w:ind w:left="720"/>
      </w:pPr>
      <w:r>
        <w:t xml:space="preserve">Indented 36pt via .indented class rule.</w:t>
      </w:r>
    </w:p>
    <w:p>
      <w:pPr>
        <w:spacing w:before="240" w:after="240"/>
      </w:pPr>
      <w:r>
        <w:t xml:space="preserve">Extra spacing — 12pt above and below via .spaced class.</w:t>
      </w:r>
    </w:p>
    <w:p>
      <w:pPr>
        <w:ind w:left="1080"/>
        <w:shd w:val="clear" w:color="auto" w:fill="E2EFDA"/>
      </w:pPr>
      <w:r>
        <w:t xml:space="preserve">Inline style: 54pt left indent + green background.</w:t>
      </w:r>
    </w:p>
    <w:p>
      <w:pPr>
        <w:pStyle w:val="Heading2"/>
      </w:pPr>
      <w:r>
        <w:t xml:space="preserve">Divs</w:t>
      </w:r>
    </w:p>
    <w:p>
      <w:pPr/>
      <w:r>
        <w:t xml:space="preserve">A div containing only text — treated as a normal paragraph.</w:t>
      </w:r>
    </w:p>
    <w:p>
      <w:pPr>
        <w:jc w:val="right"/>
      </w:pPr>
      <w:r>
        <w:t xml:space="preserve">A div right-aligned via inline style.</w:t>
      </w:r>
    </w:p>
    <w:p>
      <w:pPr/>
      <w:r>
        <w:t xml:space="preserve">Div as transparent container. First paragraph inside.</w:t>
      </w:r>
    </w:p>
    <w:p>
      <w:pPr/>
      <w:r>
        <w:t xml:space="preserve">Second paragraph inside the same div.</w:t>
      </w:r>
    </w:p>
    <w:p>
      <w:pPr>
        <w:pStyle w:val="Heading2"/>
      </w:pPr>
      <w:r>
        <w:t xml:space="preserve">Blockquotes</w:t>
      </w:r>
    </w:p>
    <w:p>
      <w:pPr>
        <w:ind w:left="720"/>
      </w:pPr>
      <w:r>
        <w:t xml:space="preserve">First-level blockquote — 36pt left indent.</w:t>
      </w:r>
    </w:p>
    <w:p>
      <w:pPr>
        <w:ind w:left="720"/>
      </w:pPr>
      <w:r>
        <w:t xml:space="preserve">Outer blockquote — 36pt indent.</w:t>
      </w:r>
    </w:p>
    <w:p>
      <w:pPr>
        <w:ind w:left="1440"/>
      </w:pPr>
      <w:r>
        <w:t xml:space="preserve">Nested blockquote — 72pt indent (36pt × 2).</w:t>
      </w:r>
    </w:p>
    <w:p>
      <w:pPr>
        <w:pStyle w:val="Heading2"/>
      </w:pPr>
      <w:r>
        <w:t xml:space="preserve">Semantic Containers</w:t>
      </w:r>
    </w:p>
    <w:p>
      <w:pPr/>
      <w:r>
        <w:t xml:space="preserve">Inside a &lt;section&gt; — transparent, paragraph preserved.</w:t>
      </w:r>
    </w:p>
    <w:p>
      <w:pPr/>
      <w:r>
        <w:t xml:space="preserve">Inside an &lt;article&gt; — transparent, paragraph preserved.</w:t>
      </w:r>
    </w:p>
    <w:p>
      <w:pPr>
        <w:pStyle w:val="Heading2"/>
      </w:pPr>
      <w:r>
        <w:t xml:space="preserve">Preformatted Text</w:t>
      </w:r>
    </w:p>
    <w:p>
      <w:pPr/>
      <w:r>
        <w:rPr>
          <w:rFonts w:ascii="Courier New" w:hAnsi="Courier New"/>
        </w:rPr>
        <w:t xml:space="preserve">def hello(name):</w:t>
        <w:br/>
        <w:t xml:space="preserve">    print(f"Hello, {name}!")</w:t>
        <w:br/>
        <w:t xml:space="preserve"/>
        <w:br/>
        <w:t xml:space="preserve">hello("docwow")</w:t>
        <w:br/>
        <w:t xml:space="preserve"/>
        <w:br/>
        <w:t xml:space="preserve">  </w:t>
      </w:r>
    </w:p>
    <w:p>
      <w:pPr>
        <w:pStyle w:val="Heading2"/>
      </w:pPr>
      <w:r>
        <w:t xml:space="preserve">Horizontal Rule</w:t>
      </w:r>
    </w:p>
    <w:p>
      <w:pPr/>
      <w:r>
        <w:t xml:space="preserve">Paragraph before the rule.</w:t>
      </w:r>
    </w:p>
    <w:p>
      <w:pPr/>
      <w:r>
        <w:t xml:space="preserve"/>
      </w:r>
    </w:p>
    <w:p>
      <w:pPr/>
      <w:r>
        <w:t xml:space="preserve">Paragraph after the rule.</w:t>
      </w:r>
    </w:p>
    <w:p>
      <w:pPr>
        <w:pStyle w:val="Heading2"/>
      </w:pPr>
      <w:r>
        <w:t xml:space="preserve">Lists</w:t>
      </w:r>
    </w:p>
    <w:p>
      <w:pPr/>
      <w:r>
        <w:t xml:space="preserve">Bullet list:</w:t>
      </w:r>
    </w:p>
    <w:p>
      <w:pPr>
        <w:numPr>
          <w:ilvl w:val="0"/>
          <w:numId w:val="1"/>
        </w:numPr>
      </w:pPr>
      <w:r>
        <w:t xml:space="preserve">Bullet item one</w:t>
      </w:r>
    </w:p>
    <w:p>
      <w:pPr>
        <w:numPr>
          <w:ilvl w:val="0"/>
          <w:numId w:val="1"/>
        </w:numPr>
      </w:pPr>
      <w:r>
        <w:t xml:space="preserve">Bullet item two with </w:t>
      </w:r>
      <w:r>
        <w:rPr>
          <w:b/>
        </w:rPr>
        <w:t xml:space="preserve">bold</w:t>
      </w:r>
      <w:r>
        <w:t xml:space="preserve"> text</w:t>
      </w:r>
    </w:p>
    <w:p>
      <w:pPr>
        <w:numPr>
          <w:ilvl w:val="0"/>
          <w:numId w:val="1"/>
        </w:numPr>
      </w:pPr>
      <w:r>
        <w:t xml:space="preserve">Bullet item three </w:t>
      </w:r>
      <w:r>
        <w:t xml:space="preserve"> </w:t>
      </w:r>
    </w:p>
    <w:p>
      <w:pPr>
        <w:numPr>
          <w:ilvl w:val="1"/>
          <w:numId w:val="2"/>
        </w:numPr>
      </w:pPr>
      <w:r>
        <w:t xml:space="preserve">Nested bullet — level 2</w:t>
      </w:r>
    </w:p>
    <w:p>
      <w:pPr>
        <w:numPr>
          <w:ilvl w:val="1"/>
          <w:numId w:val="2"/>
        </w:numPr>
      </w:pPr>
      <w:r>
        <w:t xml:space="preserve">Another nested item </w:t>
      </w:r>
      <w:r>
        <w:t xml:space="preserve"> </w:t>
      </w:r>
    </w:p>
    <w:p>
      <w:pPr>
        <w:numPr>
          <w:ilvl w:val="2"/>
          <w:numId w:val="3"/>
        </w:numPr>
      </w:pPr>
      <w:r>
        <w:t xml:space="preserve">Level 3 bullet</w:t>
      </w:r>
    </w:p>
    <w:p>
      <w:pPr>
        <w:numPr>
          <w:ilvl w:val="0"/>
          <w:numId w:val="1"/>
        </w:numPr>
      </w:pPr>
      <w:r>
        <w:t xml:space="preserve">Back to level 1</w:t>
      </w:r>
    </w:p>
    <w:p>
      <w:pPr/>
      <w:r>
        <w:t xml:space="preserve">Numbered list:</w:t>
      </w:r>
    </w:p>
    <w:p>
      <w:pPr>
        <w:numPr>
          <w:ilvl w:val="0"/>
          <w:numId w:val="4"/>
        </w:numPr>
      </w:pPr>
      <w:r>
        <w:t xml:space="preserve">Step one</w:t>
      </w:r>
    </w:p>
    <w:p>
      <w:pPr>
        <w:numPr>
          <w:ilvl w:val="0"/>
          <w:numId w:val="4"/>
        </w:numPr>
      </w:pPr>
      <w:r>
        <w:t xml:space="preserve">Step two with </w:t>
      </w:r>
      <w:hyperlink r:id="rId4">
        <w:r>
          <w:t xml:space="preserve">a link</w:t>
        </w:r>
      </w:hyperlink>
    </w:p>
    <w:p>
      <w:pPr>
        <w:numPr>
          <w:ilvl w:val="0"/>
          <w:numId w:val="4"/>
        </w:numPr>
      </w:pPr>
      <w:r>
        <w:t xml:space="preserve">Step three </w:t>
      </w:r>
      <w:r>
        <w:t xml:space="preserve"> </w:t>
      </w:r>
    </w:p>
    <w:p>
      <w:pPr>
        <w:numPr>
          <w:ilvl w:val="1"/>
          <w:numId w:val="5"/>
        </w:numPr>
      </w:pPr>
      <w:r>
        <w:t xml:space="preserve">Sub-step 3a</w:t>
      </w:r>
    </w:p>
    <w:p>
      <w:pPr>
        <w:numPr>
          <w:ilvl w:val="1"/>
          <w:numId w:val="5"/>
        </w:numPr>
      </w:pPr>
      <w:r>
        <w:t xml:space="preserve">Sub-step 3b</w:t>
      </w:r>
    </w:p>
    <w:p>
      <w:pPr/>
      <w:r>
        <w:t xml:space="preserve">Mixed nesting (ul inside ol):</w:t>
      </w:r>
    </w:p>
    <w:p>
      <w:pPr>
        <w:numPr>
          <w:ilvl w:val="0"/>
          <w:numId w:val="6"/>
        </w:numPr>
      </w:pPr>
      <w:r>
        <w:t xml:space="preserve">Ordered parent </w:t>
      </w:r>
      <w:r>
        <w:t xml:space="preserve"> </w:t>
      </w:r>
    </w:p>
    <w:p>
      <w:pPr>
        <w:numPr>
          <w:ilvl w:val="1"/>
          <w:numId w:val="7"/>
        </w:numPr>
      </w:pPr>
      <w:r>
        <w:t xml:space="preserve">Unordered child</w:t>
      </w:r>
    </w:p>
    <w:p>
      <w:pPr>
        <w:pStyle w:val="Heading2"/>
      </w:pPr>
      <w:r>
        <w:t xml:space="preserve">Tables</w:t>
      </w:r>
    </w:p>
    <w:p>
      <w:pPr/>
      <w:r>
        <w:t xml:space="preserve">Basic table with thead and tbody:</w:t>
      </w:r>
    </w:p>
    <w:tbl>
      <w:tblPr>
        <w:tblStyle w:val="TableGrid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6"/>
        <w:gridCol w:w="2256"/>
        <w:gridCol w:w="2256"/>
        <w:gridCol w:w="2256"/>
      </w:tblGrid>
      <w:tr>
        <w:tc>
          <w:tcPr/>
          <w:p>
            <w:pPr/>
            <w:r>
              <w:rPr>
                <w:b/>
              </w:rPr>
              <w:t xml:space="preserve">Product</w:t>
            </w:r>
          </w:p>
        </w:tc>
        <w:tc>
          <w:tcPr/>
          <w:p>
            <w:pPr/>
            <w:r>
              <w:rPr>
                <w:b/>
              </w:rPr>
              <w:t xml:space="preserve">Q1</w:t>
            </w:r>
          </w:p>
        </w:tc>
        <w:tc>
          <w:tcPr/>
          <w:p>
            <w:pPr/>
            <w:r>
              <w:rPr>
                <w:b/>
              </w:rPr>
              <w:t xml:space="preserve">Q2</w:t>
            </w:r>
          </w:p>
        </w:tc>
        <w:tc>
          <w:tcPr/>
          <w:p>
            <w:pPr/>
            <w:r>
              <w:rPr>
                <w:b/>
              </w:rPr>
              <w:t xml:space="preserve">Q3</w:t>
            </w:r>
          </w:p>
        </w:tc>
      </w:tr>
      <w:tr>
        <w:tc>
          <w:tcPr/>
          <w:p>
            <w:pPr/>
            <w:r>
              <w:t xml:space="preserve">Widgets</w:t>
            </w:r>
          </w:p>
        </w:tc>
        <w:tc>
          <w:tcPr/>
          <w:p>
            <w:pPr/>
            <w:r>
              <w:t xml:space="preserve">120</w:t>
            </w:r>
          </w:p>
        </w:tc>
        <w:tc>
          <w:tcPr/>
          <w:p>
            <w:pPr/>
            <w:r>
              <w:t xml:space="preserve">145</w:t>
            </w:r>
          </w:p>
        </w:tc>
        <w:tc>
          <w:tcPr/>
          <w:p>
            <w:pPr/>
            <w:r>
              <w:t xml:space="preserve">160</w:t>
            </w:r>
          </w:p>
        </w:tc>
      </w:tr>
      <w:tr>
        <w:tc>
          <w:tcPr/>
          <w:p>
            <w:pPr/>
            <w:r>
              <w:t xml:space="preserve">Gadgets</w:t>
            </w:r>
          </w:p>
        </w:tc>
        <w:tc>
          <w:tcPr/>
          <w:p>
            <w:pPr/>
            <w:r>
              <w:t xml:space="preserve">80</w:t>
            </w:r>
          </w:p>
        </w:tc>
        <w:tc>
          <w:tcPr/>
          <w:p>
            <w:pPr/>
            <w:r>
              <w:t xml:space="preserve">95</w:t>
            </w:r>
          </w:p>
        </w:tc>
        <w:tc>
          <w:tcPr/>
          <w:p>
            <w:pPr/>
            <w:r>
              <w:t xml:space="preserve">110</w:t>
            </w:r>
          </w:p>
        </w:tc>
      </w:tr>
    </w:tbl>
    <w:p>
      <w:pPr/>
      <w:r>
        <w:t xml:space="preserve">colspan — wide header cell spanning two columns:</w:t>
      </w:r>
    </w:p>
    <w:tbl>
      <w:tblPr>
        <w:tblStyle w:val="TableGrid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9"/>
        <w:gridCol w:w="3009"/>
        <w:gridCol w:w="3009"/>
      </w:tblGrid>
      <w:tr>
        <w:tc>
          <w:tcPr>
            <w:gridSpan w:val="2"/>
            <w:shd w:val="clear" w:color="auto" w:fill="D9E1F2"/>
          </w:tcPr>
          <w:p>
            <w:pPr>
              <w:shd w:val="clear" w:color="auto" w:fill="D9E1F2"/>
            </w:pPr>
            <w:r>
              <w:t xml:space="preserve">Merged header (colspan=2)</w:t>
            </w:r>
          </w:p>
        </w:tc>
        <w:tc>
          <w:tcPr/>
          <w:p>
            <w:pPr/>
            <w:r>
              <w:t xml:space="preserve">Col 3</w:t>
            </w:r>
          </w:p>
        </w:tc>
      </w:tr>
      <w:tr>
        <w:tc>
          <w:tcPr/>
          <w:p>
            <w:pPr/>
            <w:r>
              <w:t xml:space="preserve">A</w:t>
            </w:r>
          </w:p>
        </w:tc>
        <w:tc>
          <w:tcPr/>
          <w:p>
            <w:pPr/>
            <w:r>
              <w:t xml:space="preserve">B</w:t>
            </w:r>
          </w:p>
        </w:tc>
        <w:tc>
          <w:tcPr/>
          <w:p>
            <w:pPr/>
            <w:r>
              <w:t xml:space="preserve">C</w:t>
            </w:r>
          </w:p>
        </w:tc>
      </w:tr>
    </w:tbl>
    <w:p>
      <w:pPr/>
      <w:r>
        <w:t xml:space="preserve">rowspan — tall cell spanning two rows:</w:t>
      </w:r>
    </w:p>
    <w:tbl>
      <w:tblPr>
        <w:tblStyle w:val="TableGrid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tr>
        <w:tc>
          <w:tcPr>
            <w:vMerge w:val="restart"/>
            <w:shd w:val="clear" w:color="auto" w:fill="E2EFDA"/>
          </w:tcPr>
          <w:p>
            <w:pPr>
              <w:shd w:val="clear" w:color="auto" w:fill="E2EFDA"/>
            </w:pPr>
            <w:r>
              <w:t xml:space="preserve">Tall (rowspan=2)</w:t>
            </w:r>
          </w:p>
        </w:tc>
        <w:tc>
          <w:tcPr/>
          <w:p>
            <w:pPr/>
            <w:r>
              <w:t xml:space="preserve">Row 0, Col 1</w:t>
            </w:r>
          </w:p>
        </w:tc>
      </w:tr>
      <w:tr>
        <w:tc>
          <w:tcPr>
            <w:vMerge/>
          </w:tcPr>
          <w:p>
            <w:pPr/>
            <w:r>
              <w:t xml:space="preserve"/>
            </w:r>
          </w:p>
        </w:tc>
        <w:tc>
          <w:tcPr/>
          <w:p>
            <w:pPr/>
            <w:r>
              <w:t xml:space="preserve">Row 1, Col 1</w:t>
            </w:r>
          </w:p>
        </w:tc>
      </w:tr>
    </w:tbl>
    <w:p>
      <w:pPr/>
      <w:r>
        <w:t xml:space="preserve">colgroup with explicit column widths:</w:t>
      </w:r>
    </w:p>
    <w:tbl>
      <w:tblPr>
        <w:tblStyle w:val="TableGrid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2000"/>
        <w:gridCol w:w="2000"/>
      </w:tblGrid>
      <w:tr>
        <w:tc>
          <w:tcPr/>
          <w:p>
            <w:pPr/>
            <w:r>
              <w:rPr>
                <w:b/>
              </w:rPr>
              <w:t xml:space="preserve">Name</w:t>
            </w:r>
          </w:p>
        </w:tc>
        <w:tc>
          <w:tcPr/>
          <w:p>
            <w:pPr/>
            <w:r>
              <w:rPr>
                <w:b/>
              </w:rPr>
              <w:t xml:space="preserve">Role</w:t>
            </w:r>
          </w:p>
        </w:tc>
        <w:tc>
          <w:tcPr/>
          <w:p>
            <w:pPr/>
            <w:r>
              <w:rPr>
                <w:b/>
              </w:rPr>
              <w:t xml:space="preserve">Score</w:t>
            </w:r>
          </w:p>
        </w:tc>
      </w:tr>
      <w:tr>
        <w:tc>
          <w:tcPr/>
          <w:p>
            <w:pPr/>
            <w:r>
              <w:t xml:space="preserve">Alice</w:t>
            </w:r>
          </w:p>
        </w:tc>
        <w:tc>
          <w:tcPr/>
          <w:p>
            <w:pPr/>
            <w:r>
              <w:t xml:space="preserve">Engineer</w:t>
            </w:r>
          </w:p>
        </w:tc>
        <w:tc>
          <w:tcPr/>
          <w:p>
            <w:pPr/>
            <w:r>
              <w:t xml:space="preserve">95</w:t>
            </w:r>
          </w:p>
        </w:tc>
      </w:tr>
      <w:tr>
        <w:tc>
          <w:tcPr/>
          <w:p>
            <w:pPr/>
            <w:r>
              <w:t xml:space="preserve">Bob</w:t>
            </w:r>
          </w:p>
        </w:tc>
        <w:tc>
          <w:tcPr/>
          <w:p>
            <w:pPr/>
            <w:r>
              <w:t xml:space="preserve">Designer</w:t>
            </w:r>
          </w:p>
        </w:tc>
        <w:tc>
          <w:tcPr/>
          <w:p>
            <w:pPr/>
            <w:r>
              <w:t xml:space="preserve">88</w:t>
            </w:r>
          </w:p>
        </w:tc>
      </w:tr>
    </w:tbl>
    <w:p>
      <w:pPr>
        <w:pStyle w:val="Heading2"/>
      </w:pPr>
      <w:r>
        <w:t xml:space="preserve">CSS Resolution</w:t>
      </w:r>
    </w:p>
    <w:p>
      <w:pPr>
        <w:jc w:val="right"/>
      </w:pPr>
      <w:r>
        <w:t xml:space="preserve">Right-aligned via .right class defined in &lt;style&gt; block.</w:t>
      </w:r>
    </w:p>
    <w:p>
      <w:pPr>
        <w:spacing w:before="240" w:after="240"/>
        <w:shd w:val="clear" w:color="auto" w:fill="FFF2CC"/>
      </w:pPr>
      <w:r>
        <w:t xml:space="preserve">Multiple classes: yellow background + extra spacing.</w:t>
      </w:r>
    </w:p>
    <w:p>
      <w:pPr>
        <w:ind w:left="720"/>
        <w:jc w:val="center"/>
      </w:pPr>
      <w:r>
        <w:t xml:space="preserve">Inline style: centred + 36pt indent.</w:t>
      </w:r>
    </w:p>
    <w:p>
      <w:pPr>
        <w:pStyle w:val="Heading2"/>
      </w:pPr>
      <w:r>
        <w:t xml:space="preserve">Inline Elements — Semantic Tags</w:t>
      </w:r>
    </w:p>
    <w:p>
      <w:pPr/>
      <w:r>
        <w:rPr>
          <w:b/>
        </w:rPr>
        <w:t xml:space="preserve">Bold via &lt;b&gt;</w:t>
      </w:r>
      <w:r>
        <w:t xml:space="preserve"> and </w:t>
      </w:r>
      <w:r>
        <w:rPr>
          <w:b/>
        </w:rPr>
        <w:t xml:space="preserve">bold via &lt;strong&gt;</w:t>
      </w:r>
      <w:r>
        <w:t xml:space="preserve">.</w:t>
      </w:r>
    </w:p>
    <w:p>
      <w:pPr/>
      <w:r>
        <w:rPr>
          <w:i/>
        </w:rPr>
        <w:t xml:space="preserve">Italic via &lt;i&gt;</w:t>
      </w:r>
      <w:r>
        <w:t xml:space="preserve"> and </w:t>
      </w:r>
      <w:r>
        <w:rPr>
          <w:i/>
        </w:rPr>
        <w:t xml:space="preserve">italic via &lt;em&gt;</w:t>
      </w:r>
      <w:r>
        <w:t xml:space="preserve">.</w:t>
      </w:r>
    </w:p>
    <w:p>
      <w:pPr/>
      <w:r>
        <w:rPr>
          <w:u w:val="single"/>
        </w:rPr>
        <w:t xml:space="preserve">Underline via &lt;u&gt;</w:t>
      </w:r>
      <w:r>
        <w:t xml:space="preserve"> and </w:t>
      </w:r>
      <w:r>
        <w:rPr>
          <w:u w:val="single"/>
        </w:rPr>
        <w:t xml:space="preserve">underline via &lt;ins&gt;</w:t>
      </w:r>
      <w:r>
        <w:t xml:space="preserve">.</w:t>
      </w:r>
    </w:p>
    <w:p>
      <w:pPr/>
      <w:r>
        <w:rPr>
          <w:strike/>
        </w:rPr>
        <w:t xml:space="preserve">Strikethrough via &lt;s&gt;</w:t>
      </w:r>
      <w:r>
        <w:t xml:space="preserve"> and </w:t>
      </w:r>
      <w:r>
        <w:rPr>
          <w:strike/>
        </w:rPr>
        <w:t xml:space="preserve">strike via &lt;del&gt;</w:t>
      </w:r>
      <w:r>
        <w:t xml:space="preserve">.</w:t>
      </w:r>
    </w:p>
    <w:p>
      <w:pPr/>
      <w:r>
        <w:t xml:space="preserve">Code: </w:t>
      </w:r>
      <w:r>
        <w:rPr>
          <w:rFonts w:ascii="Courier New" w:hAnsi="Courier New"/>
        </w:rPr>
        <w:t xml:space="preserve">print("hello")</w:t>
      </w:r>
      <w:r>
        <w:t xml:space="preserve"> and keyboard: </w:t>
      </w:r>
      <w:r>
        <w:rPr>
          <w:rFonts w:ascii="Courier New" w:hAnsi="Courier New"/>
        </w:rPr>
        <w:t xml:space="preserve">Ctrl+C</w:t>
      </w:r>
      <w:r>
        <w:t xml:space="preserve">.</w:t>
      </w:r>
    </w:p>
    <w:p>
      <w:pPr/>
      <w:r>
        <w:t xml:space="preserve">Highlighted: </w:t>
      </w:r>
      <w:r>
        <w:rPr>
          <w:highlight w:val="yellow"/>
        </w:rPr>
        <w:t xml:space="preserve">important text</w:t>
      </w:r>
      <w:r>
        <w:t xml:space="preserve"> in yellow.</w:t>
      </w:r>
    </w:p>
    <w:p>
      <w:pPr/>
      <w:r>
        <w:t xml:space="preserve">Chemical formula: H</w:t>
      </w:r>
      <w:r>
        <w:rPr>
          <w:vertAlign w:val="subscript"/>
        </w:rPr>
        <w:t xml:space="preserve">2</w:t>
      </w:r>
      <w:r>
        <w:t xml:space="preserve">O. Einstein: E=mc</w:t>
      </w:r>
      <w:r>
        <w:rPr>
          <w:vertAlign w:val="superscript"/>
        </w:rPr>
        <w:t xml:space="preserve">2</w:t>
      </w:r>
      <w:r>
        <w:t xml:space="preserve">.</w:t>
      </w:r>
    </w:p>
    <w:p>
      <w:pPr/>
      <w:r>
        <w:t xml:space="preserve">Mixed: </w:t>
      </w:r>
      <w:r>
        <w:rPr>
          <w:b/>
        </w:rPr>
        <w:t xml:space="preserve">bold</w:t>
      </w:r>
      <w:r>
        <w:t xml:space="preserve">, </w:t>
      </w:r>
      <w:r>
        <w:rPr>
          <w:i/>
        </w:rPr>
        <w:t xml:space="preserve">italic</w:t>
      </w:r>
      <w:r>
        <w:t xml:space="preserve">, </w:t>
      </w:r>
      <w:r>
        <w:rPr>
          <w:b/>
          <w:i/>
        </w:rPr>
        <w:t xml:space="preserve">bold-italic</w:t>
      </w:r>
      <w:r>
        <w:t xml:space="preserve">, and plain text.</w:t>
      </w:r>
    </w:p>
    <w:p>
      <w:pPr>
        <w:pStyle w:val="Heading2"/>
      </w:pPr>
      <w:r>
        <w:t xml:space="preserve">Inline Elements — CSS on &lt;span&gt;</w:t>
      </w:r>
    </w:p>
    <w:p>
      <w:pPr/>
      <w:r>
        <w:t xml:space="preserve"> </w:t>
      </w:r>
      <w:r>
        <w:rPr>
          <w:b/>
        </w:rPr>
        <w:t xml:space="preserve">CSS bold</w:t>
      </w:r>
      <w:r>
        <w:t xml:space="preserve">, </w:t>
      </w:r>
      <w:r>
        <w:rPr>
          <w:i/>
        </w:rPr>
        <w:t xml:space="preserve">CSS italic</w:t>
      </w:r>
      <w:r>
        <w:t xml:space="preserve">, </w:t>
      </w:r>
      <w:r>
        <w:rPr>
          <w:u w:val="single"/>
        </w:rPr>
        <w:t xml:space="preserve">CSS underline</w:t>
      </w:r>
      <w:r>
        <w:t xml:space="preserve">, </w:t>
      </w:r>
      <w:r>
        <w:rPr>
          <w:strike/>
        </w:rPr>
        <w:t xml:space="preserve">CSS strikethrough</w:t>
      </w:r>
      <w:r>
        <w:t xml:space="preserve">. </w:t>
      </w:r>
    </w:p>
    <w:p>
      <w:pPr/>
      <w:r>
        <w:t xml:space="preserve"> </w:t>
      </w:r>
      <w:r>
        <w:rPr>
          <w:color w:val="C00000"/>
        </w:rPr>
        <w:t xml:space="preserve">Red text (#C00000)</w:t>
      </w:r>
      <w:r>
        <w:t xml:space="preserve">, </w:t>
      </w:r>
      <w:r>
        <w:rPr>
          <w:color w:val="0070C0"/>
        </w:rPr>
        <w:t xml:space="preserve">Blue text (rgb)</w:t>
      </w:r>
      <w:r>
        <w:t xml:space="preserve">, </w:t>
      </w:r>
      <w:r>
        <w:rPr>
          <w:color w:val="008000"/>
        </w:rPr>
        <w:t xml:space="preserve">Named green</w:t>
      </w:r>
      <w:r>
        <w:t xml:space="preserve">. </w:t>
      </w:r>
    </w:p>
    <w:p>
      <w:pPr/>
      <w:r>
        <w:t xml:space="preserve"> </w:t>
      </w:r>
      <w:r>
        <w:rPr>
          <w:sz w:val="36"/>
        </w:rPr>
        <w:t xml:space="preserve">18pt text</w:t>
      </w:r>
      <w:r>
        <w:t xml:space="preserve">, </w:t>
      </w:r>
      <w:r>
        <w:rPr>
          <w:sz w:val="20"/>
        </w:rPr>
        <w:t xml:space="preserve">10pt text</w:t>
      </w:r>
      <w:r>
        <w:t xml:space="preserve">, </w:t>
      </w:r>
      <w:r>
        <w:rPr>
          <w:rFonts w:ascii="Georgia" w:hAnsi="Georgia"/>
        </w:rPr>
        <w:t xml:space="preserve">Georgia font</w:t>
      </w:r>
      <w:r>
        <w:t xml:space="preserve">. </w:t>
      </w:r>
    </w:p>
    <w:p>
      <w:pPr/>
      <w:r>
        <w:t xml:space="preserve"> </w:t>
      </w:r>
      <w:r>
        <w:rPr>
          <w:highlight w:val="yellow"/>
        </w:rPr>
        <w:t xml:space="preserve">Yellow highlight via CSS</w:t>
      </w:r>
      <w:r>
        <w:t xml:space="preserve">, </w:t>
      </w:r>
      <w:r>
        <w:rPr>
          <w:highlight w:val="cyan"/>
        </w:rPr>
        <w:t xml:space="preserve">Cyan highlight via hex</w:t>
      </w:r>
      <w:r>
        <w:t xml:space="preserve">. </w:t>
      </w:r>
    </w:p>
    <w:p>
      <w:pPr/>
      <w:r>
        <w:t xml:space="preserve"> </w:t>
      </w:r>
      <w:r>
        <w:rPr>
          <w:smallCaps/>
        </w:rPr>
        <w:t xml:space="preserve">Small caps via CSS</w:t>
      </w:r>
      <w:r>
        <w:t xml:space="preserve">, </w:t>
      </w:r>
      <w:r>
        <w:rPr>
          <w:caps/>
        </w:rPr>
        <w:t xml:space="preserve">all caps via CSS</w:t>
      </w:r>
      <w:r>
        <w:t xml:space="preserve">, </w:t>
      </w:r>
      <w:r>
        <w:rPr>
          <w:vertAlign w:val="superscript"/>
        </w:rPr>
        <w:t xml:space="preserve">superscript</w:t>
      </w:r>
      <w:r>
        <w:t xml:space="preserve"> and </w:t>
      </w:r>
      <w:r>
        <w:rPr>
          <w:vertAlign w:val="subscript"/>
        </w:rPr>
        <w:t xml:space="preserve">subscript</w:t>
      </w:r>
      <w:r>
        <w:t xml:space="preserve">. </w:t>
      </w:r>
    </w:p>
    <w:p>
      <w:pPr>
        <w:pStyle w:val="Heading2"/>
      </w:pPr>
      <w:r>
        <w:t xml:space="preserve">Hyperlinks</w:t>
      </w:r>
    </w:p>
    <w:p>
      <w:pPr/>
      <w:r>
        <w:t xml:space="preserve">Visit </w:t>
      </w:r>
      <w:hyperlink r:id="rId4">
        <w:r>
          <w:t xml:space="preserve">docwow documentation</w:t>
        </w:r>
      </w:hyperlink>
      <w:r>
        <w:t xml:space="preserve"> for more.</w:t>
      </w:r>
    </w:p>
    <w:p>
      <w:pPr/>
      <w:r>
        <w:t xml:space="preserve">Bold link: </w:t>
      </w:r>
      <w:hyperlink r:id="rId5">
        <w:r>
          <w:rPr>
            <w:b/>
          </w:rPr>
          <w:t xml:space="preserve">docwow on GitHub</w:t>
        </w:r>
      </w:hyperlink>
      <w:r>
        <w:t xml:space="preserve">.</w:t>
      </w:r>
    </w:p>
    <w:p>
      <w:pPr/>
      <w:r>
        <w:t xml:space="preserve">Email: </w:t>
      </w:r>
      <w:hyperlink r:id="rId6">
        <w:r>
          <w:t xml:space="preserve">hello@example.com</w:t>
        </w:r>
      </w:hyperlink>
      <w:r>
        <w:t xml:space="preserve">.</w:t>
      </w:r>
    </w:p>
    <w:p>
      <w:pPr>
        <w:pStyle w:val="Heading2"/>
      </w:pPr>
      <w:r>
        <w:t xml:space="preserve">Nested Inline Formatting</w:t>
      </w:r>
    </w:p>
    <w:p>
      <w:pPr/>
      <w:r>
        <w:rPr>
          <w:b/>
        </w:rPr>
        <w:t xml:space="preserve">Outer bold — </w:t>
      </w:r>
      <w:r>
        <w:rPr>
          <w:b/>
          <w:i/>
        </w:rPr>
        <w:t xml:space="preserve">inner bold-italic — </w:t>
      </w:r>
      <w:r>
        <w:rPr>
          <w:b/>
          <w:i/>
          <w:u w:val="single"/>
        </w:rPr>
        <w:t xml:space="preserve">innermost bold-italic-underline</w:t>
      </w:r>
      <w:r>
        <w:t xml:space="preserve"> then plain.</w:t>
      </w:r>
    </w:p>
    <w:p>
      <w:pPr/>
      <w:r>
        <w:t xml:space="preserve">Tail text: </w:t>
      </w:r>
      <w:r>
        <w:rPr>
          <w:b/>
        </w:rPr>
        <w:t xml:space="preserve">bold </w:t>
      </w:r>
      <w:r>
        <w:rPr>
          <w:b/>
          <w:i/>
        </w:rPr>
        <w:t xml:space="preserve">italic</w:t>
      </w:r>
      <w:r>
        <w:rPr>
          <w:b/>
        </w:rPr>
        <w:t xml:space="preserve"> still bold</w:t>
      </w:r>
      <w:r>
        <w:t xml:space="preserve"> plain.</w:t>
      </w:r>
    </w:p>
    <w:sectPr>
      <w:pgSz w:w="11906" w:h="16838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defaultTabStop w:val="720"/>
  <w:compat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Arial"/>
        <w:sz w:val="22"/>
        <w:szCs w:val="22"/>
      </w:rPr>
    </w:rPrDefault>
  </w:docDefaults>
  <w:style w:type="paragraph" w:styleId="Normal" w:default="1">
    <w:name w:val="Normal"/>
    <w:rPr>
      <w:rFonts w:ascii="Calibri" w:hAnsi="Calibri" w:cs="Arial"/>
      <w:sz w:val="22"/>
      <w:szCs w:val="22"/>
    </w:rPr>
  </w:style>
  <w:style w:type="paragraph" w:styleId="Heading1">
    <w:name w:val="heading 1"/>
    <w:pPr>
      <w:spacing w:before="240" w:after="80"/>
    </w:pPr>
    <w:rPr>
      <w:b/>
      <w:sz w:val="40"/>
    </w:rPr>
  </w:style>
  <w:style w:type="paragraph" w:styleId="Heading2">
    <w:name w:val="heading 2"/>
    <w:pPr>
      <w:spacing w:before="200" w:after="40"/>
    </w:pPr>
    <w:rPr>
      <w:b/>
      <w:sz w:val="32"/>
    </w:rPr>
  </w:style>
  <w:style w:type="paragraph" w:styleId="Heading3">
    <w:name w:val="heading 3"/>
    <w:pPr>
      <w:spacing w:before="160" w:after="40"/>
    </w:pPr>
    <w:rPr>
      <w:b/>
      <w:sz w:val="28"/>
    </w:rPr>
  </w:style>
  <w:style w:type="paragraph" w:styleId="Heading4">
    <w:name w:val="heading 4"/>
    <w:pPr>
      <w:spacing w:before="120" w:after="40"/>
    </w:pPr>
    <w:rPr>
      <w:b/>
      <w:sz w:val="26"/>
    </w:rPr>
  </w:style>
  <w:style w:type="paragraph" w:styleId="Heading5">
    <w:name w:val="heading 5"/>
    <w:pPr>
      <w:spacing w:before="80"/>
    </w:pPr>
    <w:rPr>
      <w:b/>
      <w:sz w:val="24"/>
    </w:rPr>
  </w:style>
  <w:style w:type="paragraph" w:styleId="Heading6">
    <w:name w:val="heading 6"/>
    <w:pPr>
      <w:spacing w:before="40"/>
    </w:pPr>
    <w:rPr>
      <w:b/>
      <w:i/>
      <w:sz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hyperlink" Target="https://docwow.readthedocs.io" TargetMode="External"/><Relationship Id="rId5" Type="http://schemas.openxmlformats.org/officeDocument/2006/relationships/hyperlink" Target="https://github.com/py-prit/docwow" TargetMode="External"/><Relationship Id="rId6" Type="http://schemas.openxmlformats.org/officeDocument/2006/relationships/hyperlink" Target="mailto:hello@example.com" TargetMode="External"/></Relationships>
</file>