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rFonts w:ascii="Century Gothic" w:hAnsi="Century Gothic"/>
          <w:b/>
          <w:sz w:val="20"/>
          <w:szCs w:val="20"/>
          <w:lang w:val="en-US"/>
        </w:rPr>
        <w:t>SSN COLLEGE OF ENGINEERING, KALAVAKKAM – 603 110</w:t>
      </w:r>
    </w:p>
    <w:p>
      <w:pPr>
        <w:pStyle w:val="style22"/>
        <w:jc w:val="center"/>
      </w:pPr>
      <w:r>
        <w:rPr>
          <w:rFonts w:ascii="Century Gothic" w:hAnsi="Century Gothic"/>
          <w:b/>
          <w:sz w:val="20"/>
          <w:szCs w:val="20"/>
          <w:lang w:val="en-US"/>
        </w:rPr>
        <w:t>DEPARTMENT OF COMPUTER SCIENCE &amp; ENGINEERING</w:t>
      </w:r>
    </w:p>
    <w:p>
      <w:pPr>
        <w:pStyle w:val="style22"/>
        <w:jc w:val="center"/>
      </w:pPr>
      <w:r>
        <w:rPr>
          <w:rFonts w:ascii="Century Gothic" w:hAnsi="Century Gothic"/>
          <w:b/>
          <w:sz w:val="20"/>
          <w:szCs w:val="20"/>
          <w:lang w:val="en-US"/>
        </w:rPr>
        <w:t>B.E(CSE) – C</w:t>
      </w:r>
      <w:r>
        <w:rPr>
          <w:rFonts w:ascii="Century Gothic" w:hAnsi="Century Gothic"/>
          <w:b/>
          <w:sz w:val="20"/>
          <w:szCs w:val="20"/>
        </w:rPr>
        <w:t>S6307 GRID AND CLOUD COMPUTING</w:t>
      </w:r>
    </w:p>
    <w:p>
      <w:pPr>
        <w:pStyle w:val="style22"/>
        <w:jc w:val="center"/>
      </w:pPr>
      <w:r>
        <w:rPr>
          <w:rFonts w:ascii="Century Gothic" w:hAnsi="Century Gothic"/>
          <w:b/>
          <w:sz w:val="20"/>
          <w:szCs w:val="20"/>
        </w:rPr>
      </w:r>
    </w:p>
    <w:tbl>
      <w:tblPr>
        <w:jc w:val="left"/>
        <w:tblInd w:type="dxa" w:w="109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16"/>
        <w:gridCol w:w="4617"/>
      </w:tblGrid>
      <w:tr>
        <w:trPr>
          <w:cantSplit w:val="false"/>
        </w:trPr>
        <w:tc>
          <w:tcPr>
            <w:tcW w:type="dxa" w:w="45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  <w:lang w:val="en-IN"/>
              </w:rPr>
              <w:t>ACADEMIC YEAR: 2017-2018 (ODD)</w:t>
            </w:r>
          </w:p>
        </w:tc>
        <w:tc>
          <w:tcPr>
            <w:tcW w:type="dxa" w:w="46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  <w:lang w:val="en-IN"/>
              </w:rPr>
              <w:t>BATCH: 2014-2018</w:t>
            </w:r>
          </w:p>
        </w:tc>
      </w:tr>
    </w:tbl>
    <w:p>
      <w:pPr>
        <w:pStyle w:val="style22"/>
      </w:pPr>
      <w:r>
        <w:rPr>
          <w:rFonts w:ascii="Century Gothic" w:hAnsi="Century Gothic"/>
          <w:sz w:val="20"/>
          <w:szCs w:val="20"/>
        </w:rPr>
      </w:r>
    </w:p>
    <w:p>
      <w:pPr>
        <w:pStyle w:val="style22"/>
      </w:pPr>
      <w:r>
        <w:rPr>
          <w:rFonts w:ascii="Century Gothic" w:hAnsi="Century Gothic"/>
          <w:b/>
        </w:rPr>
        <w:t xml:space="preserve">COURSE DESCRIPTION  </w:t>
      </w:r>
    </w:p>
    <w:p>
      <w:pPr>
        <w:pStyle w:val="style22"/>
        <w:numPr>
          <w:ilvl w:val="0"/>
          <w:numId w:val="1"/>
        </w:numPr>
        <w:jc w:val="both"/>
      </w:pPr>
      <w:r>
        <w:rPr>
          <w:rFonts w:ascii="Century Gothic" w:hAnsi="Century Gothic"/>
        </w:rPr>
        <w:t xml:space="preserve">Understand how Grid computing helps in solving large scale scientific problems. </w:t>
      </w:r>
    </w:p>
    <w:p>
      <w:pPr>
        <w:pStyle w:val="style22"/>
        <w:numPr>
          <w:ilvl w:val="0"/>
          <w:numId w:val="1"/>
        </w:numPr>
        <w:jc w:val="both"/>
      </w:pPr>
      <w:r>
        <w:rPr>
          <w:rFonts w:ascii="Century Gothic" w:hAnsi="Century Gothic"/>
        </w:rPr>
        <w:t xml:space="preserve">Gain knowledge on the concept of virtualization that is fundamental to cloud computing. </w:t>
      </w:r>
    </w:p>
    <w:p>
      <w:pPr>
        <w:pStyle w:val="style22"/>
        <w:numPr>
          <w:ilvl w:val="0"/>
          <w:numId w:val="1"/>
        </w:numPr>
        <w:jc w:val="both"/>
      </w:pPr>
      <w:r>
        <w:rPr>
          <w:rFonts w:ascii="Century Gothic" w:hAnsi="Century Gothic"/>
        </w:rPr>
        <w:t xml:space="preserve">Learn how to program the grid and the cloud. </w:t>
      </w:r>
    </w:p>
    <w:p>
      <w:pPr>
        <w:pStyle w:val="style22"/>
        <w:numPr>
          <w:ilvl w:val="0"/>
          <w:numId w:val="1"/>
        </w:numPr>
        <w:jc w:val="both"/>
      </w:pPr>
      <w:r>
        <w:rPr>
          <w:rFonts w:ascii="Century Gothic" w:hAnsi="Century Gothic"/>
        </w:rPr>
        <w:t xml:space="preserve">Understand the security issues in the grid and the cloud environment.  </w:t>
      </w:r>
    </w:p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  <w:b/>
        </w:rPr>
        <w:t>BLOOMS TAXONOMY</w:t>
      </w:r>
    </w:p>
    <w:tbl>
      <w:tblPr>
        <w:jc w:val="center"/>
        <w:tblInd w:type="dxa" w:w="108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07"/>
        <w:gridCol w:w="1451"/>
        <w:gridCol w:w="840"/>
        <w:gridCol w:w="1054"/>
        <w:gridCol w:w="1152"/>
        <w:gridCol w:w="699"/>
      </w:tblGrid>
      <w:tr>
        <w:trPr>
          <w:cantSplit w:val="true"/>
        </w:trPr>
        <w:tc>
          <w:tcPr>
            <w:tcW w:type="dxa" w:w="14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Remember</w:t>
            </w:r>
          </w:p>
        </w:tc>
        <w:tc>
          <w:tcPr>
            <w:tcW w:type="dxa" w:w="145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Understand</w:t>
            </w:r>
          </w:p>
        </w:tc>
        <w:tc>
          <w:tcPr>
            <w:tcW w:type="dxa" w:w="84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Apply</w:t>
            </w:r>
          </w:p>
        </w:tc>
        <w:tc>
          <w:tcPr>
            <w:tcW w:type="dxa" w:w="105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Analyse</w:t>
            </w:r>
          </w:p>
        </w:tc>
        <w:tc>
          <w:tcPr>
            <w:tcW w:type="dxa" w:w="115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Evaluate</w:t>
            </w:r>
          </w:p>
        </w:tc>
        <w:tc>
          <w:tcPr>
            <w:tcW w:type="dxa" w:w="6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Create</w:t>
            </w:r>
          </w:p>
        </w:tc>
      </w:tr>
      <w:tr>
        <w:trPr>
          <w:cantSplit w:val="true"/>
        </w:trPr>
        <w:tc>
          <w:tcPr>
            <w:tcW w:type="dxa" w:w="14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K1</w:t>
            </w:r>
          </w:p>
        </w:tc>
        <w:tc>
          <w:tcPr>
            <w:tcW w:type="dxa" w:w="145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K2</w:t>
            </w:r>
          </w:p>
        </w:tc>
        <w:tc>
          <w:tcPr>
            <w:tcW w:type="dxa" w:w="84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K3</w:t>
            </w:r>
          </w:p>
        </w:tc>
        <w:tc>
          <w:tcPr>
            <w:tcW w:type="dxa" w:w="105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K4</w:t>
            </w:r>
          </w:p>
        </w:tc>
        <w:tc>
          <w:tcPr>
            <w:tcW w:type="dxa" w:w="115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K5</w:t>
            </w:r>
          </w:p>
        </w:tc>
        <w:tc>
          <w:tcPr>
            <w:tcW w:type="dxa" w:w="6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2"/>
            </w:pPr>
            <w:r>
              <w:rPr>
                <w:rFonts w:ascii="Century Gothic" w:hAnsi="Century Gothic"/>
              </w:rPr>
              <w:t>K6</w:t>
            </w:r>
          </w:p>
        </w:tc>
      </w:tr>
    </w:tbl>
    <w:p>
      <w:pPr>
        <w:pStyle w:val="style22"/>
      </w:pPr>
      <w:r>
        <w:rPr>
          <w:rFonts w:ascii="Century Gothic" w:hAnsi="Century Gothic"/>
          <w:b/>
        </w:rPr>
      </w:r>
    </w:p>
    <w:p>
      <w:pPr>
        <w:pStyle w:val="style22"/>
      </w:pPr>
      <w:r>
        <w:rPr>
          <w:rFonts w:ascii="Century Gothic" w:hAnsi="Century Gothic"/>
          <w:b/>
        </w:rPr>
        <w:t xml:space="preserve">COURSE OUTCOMES 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CO1: Understand &amp; Apply grid computing techniques to solve problems. [K3]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CO2: Understand &amp; Apply the concept of virtualization.  [K3]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CO3: Understand &amp; Use the grid and cloud tool kits. [K3]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CO4: Understand the security models in the grid and the cloud environment. [K2]</w:t>
      </w:r>
    </w:p>
    <w:p>
      <w:pPr>
        <w:pStyle w:val="style22"/>
        <w:jc w:val="both"/>
      </w:pPr>
      <w:r>
        <w:rPr>
          <w:rFonts w:ascii="Century Gothic" w:hAnsi="Century Gothic"/>
        </w:rPr>
      </w:r>
    </w:p>
    <w:p>
      <w:pPr>
        <w:pStyle w:val="style22"/>
        <w:jc w:val="both"/>
      </w:pPr>
      <w:r>
        <w:rPr>
          <w:rFonts w:ascii="Century Gothic" w:hAnsi="Century Gothic"/>
          <w:b/>
        </w:rPr>
        <w:t>PROGRAMME OUTCOMES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 xml:space="preserve">1 Engineering knowledge: Our graduates will have the knowledge of mathematics, logic, probability and statistics, computer science and engineering, and the skill to apply them in the fields of computer software and hardware. </w:t>
      </w:r>
      <w:r>
        <w:rPr>
          <w:rFonts w:ascii="Century Gothic" w:hAnsi="Century Gothic"/>
          <w:b/>
        </w:rPr>
        <w:t>[K3]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 xml:space="preserve">2 Problem analysis: Our graduates will have the knowledge and skill to identify, formulate, and solve hardware and software problems using sound computer science principles. </w:t>
      </w:r>
      <w:r>
        <w:rPr>
          <w:rFonts w:ascii="Century Gothic" w:hAnsi="Century Gothic"/>
          <w:b/>
        </w:rPr>
        <w:t>[K3, K4]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 xml:space="preserve">3 Experimentation: Our graduates will have the skill to design and conduct experiments, organize, analyze, and interpret data. </w:t>
      </w:r>
      <w:r>
        <w:rPr>
          <w:rFonts w:ascii="Century Gothic" w:hAnsi="Century Gothic"/>
          <w:b/>
        </w:rPr>
        <w:t>[K3, K4, K5]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 xml:space="preserve">4 Design and development: Our graduates will have the skill to design and construct hardware and software systems, components, or processes as per needs and specifications. </w:t>
      </w:r>
      <w:r>
        <w:rPr>
          <w:rFonts w:ascii="Century Gothic" w:hAnsi="Century Gothic"/>
          <w:b/>
        </w:rPr>
        <w:t>[K4]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5 Team work: Our graduates will have the interpersonal and communication skills to function as team players on multidisciplinary teams.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 xml:space="preserve">6 Modern tools usage: Our graduates will be able to use the techniques, skills, and modern hardware and software tools necessary for computer engineering practice. </w:t>
      </w:r>
      <w:r>
        <w:rPr>
          <w:rFonts w:ascii="Century Gothic" w:hAnsi="Century Gothic"/>
          <w:b/>
        </w:rPr>
        <w:t>[K2, K4]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7 Social and environmental responsibilities: Our graduates will demonstrate knowledge related to social, ethical, legal, economical, health and safety, sustainability and environmental dimensions.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8 Communication skills: Our graduates will be able to effectively communicate technical information in speech, presentation, and in writing.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9 Contemporariness: Our graduates will have knowledge of contemporary issues in the practice of their profession.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10 Self-learning: Our graduates will develop confidence for self-learning and ability for life-long learning.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11 Competitive exam preparedness: Our graduates will participate and succeed in competitive examinations such as GATE, IES, GRE.</w:t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</w:r>
    </w:p>
    <w:p>
      <w:pPr>
        <w:pStyle w:val="style22"/>
        <w:ind w:hanging="0" w:left="284" w:right="0"/>
        <w:jc w:val="both"/>
      </w:pPr>
      <w:r>
        <w:rPr>
          <w:rFonts w:ascii="Century Gothic" w:hAnsi="Century Gothic"/>
        </w:rPr>
        <w:t>12 Leadership: Our graduates are trained to enhance their managerial skills, leadership quality and entrepreneurial spirit.</w:t>
      </w:r>
    </w:p>
    <w:p>
      <w:pPr>
        <w:pStyle w:val="style22"/>
        <w:jc w:val="both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  <w:b/>
        </w:rPr>
        <w:t>COURSE OUTCOMES MAPPED TO PROGRAMME OUTCOMES</w:t>
      </w:r>
    </w:p>
    <w:tbl>
      <w:tblPr>
        <w:jc w:val="center"/>
        <w:tblInd w:type="dxa" w:w="113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27"/>
        <w:gridCol w:w="628"/>
        <w:gridCol w:w="629"/>
        <w:gridCol w:w="620"/>
        <w:gridCol w:w="690"/>
        <w:gridCol w:w="742"/>
        <w:gridCol w:w="621"/>
        <w:gridCol w:w="620"/>
        <w:gridCol w:w="621"/>
        <w:gridCol w:w="620"/>
        <w:gridCol w:w="730"/>
        <w:gridCol w:w="731"/>
        <w:gridCol w:w="738"/>
      </w:tblGrid>
      <w:tr>
        <w:trPr>
          <w:cantSplit w:val="false"/>
        </w:trPr>
        <w:tc>
          <w:tcPr>
            <w:tcW w:type="dxa" w:w="1027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PO1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PO2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PO3</w:t>
            </w:r>
          </w:p>
        </w:tc>
        <w:tc>
          <w:tcPr>
            <w:tcW w:type="dxa" w:w="6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PO4</w:t>
            </w:r>
          </w:p>
        </w:tc>
        <w:tc>
          <w:tcPr>
            <w:tcW w:type="dxa" w:w="7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PO5</w:t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PO6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PO7</w:t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PO8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PO9</w:t>
            </w:r>
          </w:p>
        </w:tc>
        <w:tc>
          <w:tcPr>
            <w:tcW w:type="dxa" w:w="7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PO10</w:t>
            </w:r>
          </w:p>
        </w:tc>
        <w:tc>
          <w:tcPr>
            <w:tcW w:type="dxa" w:w="73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PO11</w:t>
            </w:r>
          </w:p>
        </w:tc>
        <w:tc>
          <w:tcPr>
            <w:tcW w:type="dxa" w:w="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PO12</w:t>
            </w:r>
          </w:p>
        </w:tc>
      </w:tr>
      <w:tr>
        <w:trPr>
          <w:cantSplit w:val="false"/>
        </w:trPr>
        <w:tc>
          <w:tcPr>
            <w:tcW w:type="dxa" w:w="1027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K3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K4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K5</w:t>
            </w:r>
          </w:p>
        </w:tc>
        <w:tc>
          <w:tcPr>
            <w:tcW w:type="dxa" w:w="6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K4</w:t>
            </w:r>
          </w:p>
        </w:tc>
        <w:tc>
          <w:tcPr>
            <w:tcW w:type="dxa" w:w="7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K3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</w:tr>
      <w:tr>
        <w:trPr>
          <w:cantSplit w:val="false"/>
        </w:trPr>
        <w:tc>
          <w:tcPr>
            <w:tcW w:type="dxa" w:w="10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CO1: K3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7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type="dxa" w:w="73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</w:tr>
      <w:tr>
        <w:trPr>
          <w:cantSplit w:val="false"/>
        </w:trPr>
        <w:tc>
          <w:tcPr>
            <w:tcW w:type="dxa" w:w="10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CO2: K3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7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type="dxa" w:w="73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</w:tr>
      <w:tr>
        <w:trPr>
          <w:cantSplit w:val="false"/>
        </w:trPr>
        <w:tc>
          <w:tcPr>
            <w:tcW w:type="dxa" w:w="10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CO3: K3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7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type="dxa" w:w="73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</w:tr>
      <w:tr>
        <w:trPr>
          <w:cantSplit w:val="false"/>
        </w:trPr>
        <w:tc>
          <w:tcPr>
            <w:tcW w:type="dxa" w:w="10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IN"/>
              </w:rPr>
              <w:t>CO4: K2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type="dxa" w:w="6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7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type="dxa" w:w="73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  <w:tc>
          <w:tcPr>
            <w:tcW w:type="dxa" w:w="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IN"/>
              </w:rPr>
            </w:r>
          </w:p>
        </w:tc>
      </w:tr>
    </w:tbl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</w:rPr>
      </w:r>
    </w:p>
    <w:tbl>
      <w:tblPr>
        <w:jc w:val="left"/>
        <w:tblInd w:type="dxa" w:w="113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5"/>
        <w:gridCol w:w="893"/>
        <w:gridCol w:w="436"/>
        <w:gridCol w:w="1311"/>
        <w:gridCol w:w="436"/>
        <w:gridCol w:w="1493"/>
      </w:tblGrid>
      <w:tr>
        <w:trPr>
          <w:cantSplit w:val="false"/>
        </w:trPr>
        <w:tc>
          <w:tcPr>
            <w:tcW w:type="dxa" w:w="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9900" w:val="clear"/>
            <w:tcMar>
              <w:left w:type="dxa" w:w="108"/>
            </w:tcMar>
          </w:tcPr>
          <w:p>
            <w:pPr>
              <w:pStyle w:val="style22"/>
              <w:framePr w:h="23" w:hAnchor="margin" w:hRule="exact" w:hSpace="0" w:vAnchor="column" w:vSpace="0" w:w="5005" w:wrap="around" w:x="-113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319_259318557"/>
            <w:bookmarkEnd w:id="0"/>
            <w:r>
              <w:rPr>
                <w:rFonts w:ascii="Century Gothic" w:hAnsi="Century Gothic"/>
                <w:color w:val="FFFFFF"/>
                <w:lang w:val="en-IN"/>
              </w:rPr>
              <w:t>3</w:t>
            </w:r>
          </w:p>
        </w:tc>
        <w:tc>
          <w:tcPr>
            <w:tcW w:type="dxa" w:w="89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framePr w:h="23" w:hAnchor="margin" w:hRule="exact" w:hSpace="0" w:vAnchor="column" w:vSpace="0" w:w="5005" w:wrap="around" w:x="-113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" w:name="__UnoMark__320_259318557"/>
            <w:bookmarkStart w:id="2" w:name="__UnoMark__321_259318557"/>
            <w:bookmarkEnd w:id="1"/>
            <w:bookmarkEnd w:id="2"/>
            <w:r>
              <w:rPr>
                <w:rFonts w:ascii="Century Gothic" w:hAnsi="Century Gothic"/>
                <w:color w:val="000000"/>
                <w:lang w:val="en-IN"/>
              </w:rPr>
              <w:t>Strong</w:t>
            </w:r>
          </w:p>
        </w:tc>
        <w:tc>
          <w:tcPr>
            <w:tcW w:type="dxa" w:w="43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00FF" w:val="clear"/>
            <w:tcMar>
              <w:left w:type="dxa" w:w="108"/>
            </w:tcMar>
          </w:tcPr>
          <w:p>
            <w:pPr>
              <w:pStyle w:val="style22"/>
              <w:framePr w:h="23" w:hAnchor="margin" w:hRule="exact" w:hSpace="0" w:vAnchor="column" w:vSpace="0" w:w="5005" w:wrap="around" w:x="-113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" w:name="__UnoMark__322_259318557"/>
            <w:bookmarkStart w:id="4" w:name="__UnoMark__323_259318557"/>
            <w:bookmarkEnd w:id="3"/>
            <w:bookmarkEnd w:id="4"/>
            <w:r>
              <w:rPr>
                <w:rFonts w:ascii="Century Gothic" w:hAnsi="Century Gothic"/>
                <w:color w:val="000000"/>
                <w:lang w:val="en-IN"/>
              </w:rPr>
              <w:t>2</w:t>
            </w:r>
          </w:p>
        </w:tc>
        <w:tc>
          <w:tcPr>
            <w:tcW w:type="dxa" w:w="13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framePr w:h="23" w:hAnchor="margin" w:hRule="exact" w:hSpace="0" w:vAnchor="column" w:vSpace="0" w:w="5005" w:wrap="around" w:x="-113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" w:name="__UnoMark__324_259318557"/>
            <w:bookmarkStart w:id="6" w:name="__UnoMark__325_259318557"/>
            <w:bookmarkEnd w:id="5"/>
            <w:bookmarkEnd w:id="6"/>
            <w:r>
              <w:rPr>
                <w:rFonts w:ascii="Century Gothic" w:hAnsi="Century Gothic"/>
                <w:color w:val="000000"/>
                <w:lang w:val="en-IN"/>
              </w:rPr>
              <w:t>Significant</w:t>
            </w:r>
          </w:p>
        </w:tc>
        <w:tc>
          <w:tcPr>
            <w:tcW w:type="dxa" w:w="43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22"/>
              <w:framePr w:h="23" w:hAnchor="margin" w:hRule="exact" w:hSpace="0" w:vAnchor="column" w:vSpace="0" w:w="5005" w:wrap="around" w:x="-113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" w:name="__UnoMark__326_259318557"/>
            <w:bookmarkStart w:id="8" w:name="__UnoMark__327_259318557"/>
            <w:bookmarkEnd w:id="7"/>
            <w:bookmarkEnd w:id="8"/>
            <w:r>
              <w:rPr>
                <w:rFonts w:ascii="Century Gothic" w:hAnsi="Century Gothic"/>
                <w:color w:val="000000"/>
                <w:lang w:val="en-IN"/>
              </w:rPr>
              <w:t>1</w:t>
            </w:r>
          </w:p>
        </w:tc>
        <w:tc>
          <w:tcPr>
            <w:tcW w:type="dxa" w:w="149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framePr w:h="23" w:hAnchor="margin" w:hRule="exact" w:hSpace="0" w:vAnchor="column" w:vSpace="0" w:w="5005" w:wrap="around" w:x="-113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9" w:name="__UnoMark__328_259318557"/>
            <w:bookmarkEnd w:id="9"/>
            <w:r>
              <w:rPr>
                <w:rFonts w:ascii="Century Gothic" w:hAnsi="Century Gothic"/>
                <w:color w:val="000000"/>
                <w:lang w:val="en-IN"/>
              </w:rPr>
              <w:t>Reasonable</w:t>
            </w:r>
          </w:p>
        </w:tc>
      </w:tr>
    </w:tbl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  <w:b/>
        </w:rPr>
        <w:t xml:space="preserve">DESCRIPTION OF ASSESSMENT TOOLS </w:t>
      </w:r>
    </w:p>
    <w:p>
      <w:pPr>
        <w:pStyle w:val="style22"/>
      </w:pPr>
      <w:r>
        <w:rPr>
          <w:rFonts w:ascii="Century Gothic" w:hAnsi="Century Gothic"/>
        </w:rPr>
        <w:tab/>
      </w:r>
      <w:r>
        <w:rPr>
          <w:rFonts w:ascii="Century Gothic" w:hAnsi="Century Gothic"/>
          <w:i/>
        </w:rPr>
        <w:t>Assignments:</w:t>
      </w:r>
      <w:r>
        <w:rPr>
          <w:rFonts w:ascii="Century Gothic" w:hAnsi="Century Gothic"/>
        </w:rPr>
        <w:t xml:space="preserve"> Assignments covering most of the topics </w:t>
      </w:r>
    </w:p>
    <w:p>
      <w:pPr>
        <w:pStyle w:val="style22"/>
      </w:pPr>
      <w:r>
        <w:rPr>
          <w:rFonts w:ascii="Century Gothic" w:hAnsi="Century Gothic"/>
        </w:rPr>
        <w:tab/>
      </w:r>
      <w:r>
        <w:rPr>
          <w:rFonts w:ascii="Century Gothic" w:hAnsi="Century Gothic"/>
          <w:i/>
        </w:rPr>
        <w:t>Exams:</w:t>
      </w:r>
      <w:r>
        <w:rPr>
          <w:rFonts w:ascii="Century Gothic" w:hAnsi="Century Gothic"/>
        </w:rPr>
        <w:t xml:space="preserve"> 3 continuous assessments during the semester and final exam.</w:t>
      </w:r>
    </w:p>
    <w:p>
      <w:pPr>
        <w:pStyle w:val="style22"/>
      </w:pPr>
      <w:r>
        <w:rPr>
          <w:rFonts w:ascii="Century Gothic" w:hAnsi="Century Gothic"/>
          <w:b/>
        </w:rPr>
      </w:r>
    </w:p>
    <w:p>
      <w:pPr>
        <w:pStyle w:val="style22"/>
      </w:pPr>
      <w:r>
        <w:rPr>
          <w:rFonts w:ascii="Century Gothic" w:hAnsi="Century Gothic"/>
          <w:b/>
        </w:rPr>
        <w:t>OURSE ASSESSMENT MATRIX</w:t>
      </w:r>
    </w:p>
    <w:tbl>
      <w:tblPr>
        <w:jc w:val="center"/>
        <w:tblInd w:type="dxa" w:w="113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08"/>
        <w:gridCol w:w="692"/>
        <w:gridCol w:w="692"/>
        <w:gridCol w:w="702"/>
        <w:gridCol w:w="710"/>
      </w:tblGrid>
      <w:tr>
        <w:trPr>
          <w:cantSplit w:val="false"/>
        </w:trPr>
        <w:tc>
          <w:tcPr>
            <w:tcW w:type="dxa" w:w="17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CO1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CO2</w:t>
            </w:r>
          </w:p>
        </w:tc>
        <w:tc>
          <w:tcPr>
            <w:tcW w:type="dxa" w:w="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CO3</w:t>
            </w:r>
          </w:p>
        </w:tc>
        <w:tc>
          <w:tcPr>
            <w:tcW w:type="dxa" w:w="7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CO4</w:t>
            </w:r>
          </w:p>
        </w:tc>
      </w:tr>
      <w:tr>
        <w:trPr>
          <w:cantSplit w:val="false"/>
        </w:trPr>
        <w:tc>
          <w:tcPr>
            <w:tcW w:type="dxa" w:w="17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i/>
                <w:lang w:val="en-IN"/>
              </w:rPr>
              <w:t>Assignments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7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</w:tr>
      <w:tr>
        <w:trPr>
          <w:cantSplit w:val="false"/>
        </w:trPr>
        <w:tc>
          <w:tcPr>
            <w:tcW w:type="dxa" w:w="17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i/>
                <w:lang w:val="en-IN"/>
              </w:rPr>
              <w:t>Assessment I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  <w:tc>
          <w:tcPr>
            <w:tcW w:type="dxa" w:w="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  <w:tc>
          <w:tcPr>
            <w:tcW w:type="dxa" w:w="7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</w:tr>
      <w:tr>
        <w:trPr>
          <w:cantSplit w:val="false"/>
        </w:trPr>
        <w:tc>
          <w:tcPr>
            <w:tcW w:type="dxa" w:w="17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i/>
                <w:lang w:val="en-IN"/>
              </w:rPr>
              <w:t>Assessment II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  <w:tc>
          <w:tcPr>
            <w:tcW w:type="dxa" w:w="7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</w:tr>
      <w:tr>
        <w:trPr>
          <w:cantSplit w:val="false"/>
        </w:trPr>
        <w:tc>
          <w:tcPr>
            <w:tcW w:type="dxa" w:w="17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i/>
                <w:lang w:val="en-IN"/>
              </w:rPr>
              <w:t>Assessment III</w:t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</w:r>
          </w:p>
        </w:tc>
        <w:tc>
          <w:tcPr>
            <w:tcW w:type="dxa" w:w="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  <w:tc>
          <w:tcPr>
            <w:tcW w:type="dxa" w:w="7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X</w:t>
            </w:r>
          </w:p>
        </w:tc>
      </w:tr>
    </w:tbl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  <w:t>Prepared By</w:t>
        <w:tab/>
        <w:tab/>
        <w:tab/>
        <w:tab/>
        <w:tab/>
        <w:t>Verified By</w:t>
        <w:tab/>
        <w:tab/>
        <w:tab/>
        <w:t>Approved By</w:t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  <w:t>K. Vallidevi     Y. V. Lokeswari</w:t>
        <w:tab/>
        <w:tab/>
        <w:t>PAC Member</w:t>
        <w:tab/>
        <w:tab/>
        <w:tab/>
        <w:t>HOD / CSE</w:t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2"/>
      </w:pPr>
      <w:r>
        <w:rPr>
          <w:rFonts w:ascii="Century Gothic" w:hAnsi="Century Gothic"/>
        </w:rPr>
      </w:r>
    </w:p>
    <w:p>
      <w:pPr>
        <w:pStyle w:val="style0"/>
      </w:pPr>
      <w:r>
        <w:rPr>
          <w:b/>
        </w:rPr>
      </w:r>
    </w:p>
    <w:p>
      <w:pPr>
        <w:pStyle w:val="style22"/>
        <w:pageBreakBefore/>
        <w:jc w:val="center"/>
      </w:pPr>
      <w:r>
        <w:rPr>
          <w:rFonts w:ascii="Century Gothic" w:hAnsi="Century Gothic"/>
          <w:b/>
        </w:rPr>
        <w:t>Justification of CO-PO Mapping</w:t>
      </w:r>
    </w:p>
    <w:p>
      <w:pPr>
        <w:pStyle w:val="style22"/>
      </w:pPr>
      <w:r>
        <w:rPr>
          <w:rFonts w:ascii="Century Gothic" w:hAnsi="Century Gothic"/>
        </w:rPr>
      </w:r>
    </w:p>
    <w:tbl>
      <w:tblPr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707"/>
        <w:gridCol w:w="3965"/>
        <w:gridCol w:w="1427"/>
        <w:gridCol w:w="3067"/>
      </w:tblGrid>
      <w:tr>
        <w:trPr>
          <w:cantSplit w:val="false"/>
        </w:trPr>
        <w:tc>
          <w:tcPr>
            <w:tcW w:type="dxa" w:w="7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b/>
                <w:lang w:val="en-IN"/>
              </w:rPr>
              <w:t>CO</w:t>
            </w:r>
          </w:p>
        </w:tc>
        <w:tc>
          <w:tcPr>
            <w:tcW w:type="dxa" w:w="39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b/>
                <w:lang w:val="en-IN"/>
              </w:rPr>
              <w:t>Description</w:t>
            </w:r>
          </w:p>
        </w:tc>
        <w:tc>
          <w:tcPr>
            <w:tcW w:type="dxa" w:w="14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b/>
                <w:lang w:val="en-IN"/>
              </w:rPr>
              <w:t>Knowledge Level</w:t>
            </w:r>
          </w:p>
        </w:tc>
        <w:tc>
          <w:tcPr>
            <w:tcW w:type="dxa" w:w="30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b/>
                <w:lang w:val="en-IN"/>
              </w:rPr>
              <w:t>Remarks</w:t>
            </w:r>
          </w:p>
        </w:tc>
      </w:tr>
      <w:tr>
        <w:trPr>
          <w:cantSplit w:val="false"/>
        </w:trPr>
        <w:tc>
          <w:tcPr>
            <w:tcW w:type="dxa" w:w="7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CO1</w:t>
            </w:r>
          </w:p>
        </w:tc>
        <w:tc>
          <w:tcPr>
            <w:tcW w:type="dxa" w:w="39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 xml:space="preserve">Understand &amp; Apply grid computing techniques to solve problems. </w:t>
            </w:r>
          </w:p>
        </w:tc>
        <w:tc>
          <w:tcPr>
            <w:tcW w:type="dxa" w:w="14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K2,K3</w:t>
            </w:r>
          </w:p>
        </w:tc>
        <w:tc>
          <w:tcPr>
            <w:tcW w:type="dxa" w:w="30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K2: Understand the basic concepts of Grid Computing Techniques</w:t>
            </w:r>
          </w:p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K3: Apply the Grid Computing Techniques for deploying applications</w:t>
            </w:r>
          </w:p>
        </w:tc>
      </w:tr>
      <w:tr>
        <w:trPr>
          <w:cantSplit w:val="false"/>
        </w:trPr>
        <w:tc>
          <w:tcPr>
            <w:tcW w:type="dxa" w:w="7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CO2</w:t>
            </w:r>
          </w:p>
        </w:tc>
        <w:tc>
          <w:tcPr>
            <w:tcW w:type="dxa" w:w="39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 xml:space="preserve">Understand &amp; Apply the concept of virtualization.  </w:t>
            </w:r>
          </w:p>
        </w:tc>
        <w:tc>
          <w:tcPr>
            <w:tcW w:type="dxa" w:w="14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K2,K3</w:t>
            </w:r>
          </w:p>
        </w:tc>
        <w:tc>
          <w:tcPr>
            <w:tcW w:type="dxa" w:w="30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K2: Understand the concepts of Virtualization.</w:t>
            </w:r>
          </w:p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K3: Apply the learned concept by deploying VMs</w:t>
            </w:r>
          </w:p>
        </w:tc>
      </w:tr>
      <w:tr>
        <w:trPr>
          <w:cantSplit w:val="false"/>
        </w:trPr>
        <w:tc>
          <w:tcPr>
            <w:tcW w:type="dxa" w:w="7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CO3</w:t>
            </w:r>
          </w:p>
        </w:tc>
        <w:tc>
          <w:tcPr>
            <w:tcW w:type="dxa" w:w="39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 xml:space="preserve">Understand &amp; Use the grid and cloud tool kits. </w:t>
            </w:r>
          </w:p>
        </w:tc>
        <w:tc>
          <w:tcPr>
            <w:tcW w:type="dxa" w:w="14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K2,K3</w:t>
            </w:r>
          </w:p>
        </w:tc>
        <w:tc>
          <w:tcPr>
            <w:tcW w:type="dxa" w:w="30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K2: Understand the Toolkits for Grid and Cloud Computing.</w:t>
            </w:r>
          </w:p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K3: Apply the learned toolkits – Globus for Grid Computing and Eucalyptus for Cloud Computing</w:t>
            </w:r>
          </w:p>
        </w:tc>
      </w:tr>
      <w:tr>
        <w:trPr>
          <w:cantSplit w:val="false"/>
        </w:trPr>
        <w:tc>
          <w:tcPr>
            <w:tcW w:type="dxa" w:w="7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CO4</w:t>
            </w:r>
          </w:p>
        </w:tc>
        <w:tc>
          <w:tcPr>
            <w:tcW w:type="dxa" w:w="39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 xml:space="preserve">Understand the security models in the grid and the cloud environment. </w:t>
            </w:r>
          </w:p>
        </w:tc>
        <w:tc>
          <w:tcPr>
            <w:tcW w:type="dxa" w:w="14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</w:t>
            </w:r>
          </w:p>
        </w:tc>
        <w:tc>
          <w:tcPr>
            <w:tcW w:type="dxa" w:w="30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"/>
              <w:spacing w:after="0" w:before="0" w:line="100" w:lineRule="atLeast"/>
              <w:contextualSpacing w:val="false"/>
            </w:pPr>
            <w:r>
              <w:rPr>
                <w:rFonts w:ascii="Century Gothic" w:hAnsi="Century Gothic"/>
                <w:lang w:val="en-IN"/>
              </w:rPr>
              <w:t>K2: Understand the security models available in Grid and Cloud computing environment.</w:t>
            </w:r>
          </w:p>
        </w:tc>
      </w:tr>
    </w:tbl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</w:rPr>
      </w:r>
    </w:p>
    <w:p>
      <w:pPr>
        <w:pStyle w:val="style22"/>
        <w:jc w:val="both"/>
      </w:pPr>
      <w:r>
        <w:rPr>
          <w:rFonts w:ascii="Century Gothic" w:hAnsi="Century Gothic"/>
        </w:rPr>
      </w:r>
    </w:p>
    <w:p>
      <w:pPr>
        <w:pStyle w:val="style22"/>
        <w:jc w:val="both"/>
      </w:pPr>
      <w:r>
        <w:rPr>
          <w:rFonts w:ascii="Century Gothic" w:hAnsi="Century Gothic"/>
        </w:rPr>
      </w:r>
    </w:p>
    <w:p>
      <w:pPr>
        <w:pStyle w:val="style22"/>
        <w:jc w:val="both"/>
      </w:pPr>
      <w:r>
        <w:rPr>
          <w:rFonts w:ascii="Century Gothic" w:hAnsi="Century Gothic"/>
        </w:rPr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  <w:t>Prepared By</w:t>
        <w:tab/>
        <w:tab/>
        <w:tab/>
        <w:tab/>
        <w:tab/>
        <w:t>Verified By</w:t>
        <w:tab/>
        <w:tab/>
        <w:tab/>
        <w:t>Approved By</w:t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2"/>
      </w:pPr>
      <w:r>
        <w:rPr>
          <w:rFonts w:ascii="Century Gothic" w:hAnsi="Century Gothic"/>
          <w:b/>
          <w:sz w:val="20"/>
          <w:szCs w:val="20"/>
        </w:rPr>
        <w:t>K. Vallidevi     Y. V. Lokeswari</w:t>
        <w:tab/>
        <w:tab/>
        <w:t>PAC Member</w:t>
        <w:tab/>
        <w:tab/>
        <w:tab/>
        <w:t>HOD / CSE</w:t>
      </w:r>
    </w:p>
    <w:p>
      <w:pPr>
        <w:pStyle w:val="style22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No Spacing"/>
    <w:next w:val="style22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IN"/>
    </w:rPr>
  </w:style>
  <w:style w:styleId="style23" w:type="paragraph">
    <w:name w:val="Frame Contents"/>
    <w:basedOn w:val="style18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2016-07-04T16:16:00.00Z</dcterms:created>
  <dc:creator>Lokeswari</dc:creator>
  <cp:lastModifiedBy>ssn</cp:lastModifiedBy>
  <dcterms:modified xsi:type="dcterms:W3CDTF">2017-06-15T08:06:00.00Z</dcterms:modified>
  <cp:revision>6</cp:revision>
</cp:coreProperties>
</file>