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Regulatory Policy Change Scenarios &amp; Required Architectural Changes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New Regulatory Policy Statement</w:t>
            </w:r>
          </w:p>
        </w:tc>
        <w:tc>
          <w:tcPr>
            <w:tcW w:type="dxa" w:w="4320"/>
          </w:tcPr>
          <w:p>
            <w:r>
              <w:t>Required Change in Data &amp; Derivation Architecture</w:t>
            </w:r>
          </w:p>
        </w:tc>
      </w:tr>
      <w:tr>
        <w:tc>
          <w:tcPr>
            <w:tcW w:type="dxa" w:w="4320"/>
          </w:tcPr>
          <w:p>
            <w:r>
              <w:t>Retail exposures secured by residential property with coverage ratio ≥ 1.2 shall receive enhanced mitigation treatment.</w:t>
            </w:r>
          </w:p>
        </w:tc>
        <w:tc>
          <w:tcPr>
            <w:tcW w:type="dxa" w:w="4320"/>
          </w:tcPr>
          <w:p>
            <w:r>
              <w:t>Update CPA_COLLATERAL_TREATMENT_REF_TBL by adding a new row with coverage_ratio_min = 1.2 and exposure_factor = 0.40. No derivation logic change required; DER_SECURED_EXPOSURE will automatically apply the new rule.</w:t>
            </w:r>
          </w:p>
        </w:tc>
      </w:tr>
      <w:tr>
        <w:tc>
          <w:tcPr>
            <w:tcW w:type="dxa" w:w="4320"/>
          </w:tcPr>
          <w:p>
            <w:r>
              <w:t>SME exposures shall carry a revised risk weight of 85% instead of 100%.</w:t>
            </w:r>
          </w:p>
        </w:tc>
        <w:tc>
          <w:tcPr>
            <w:tcW w:type="dxa" w:w="4320"/>
          </w:tcPr>
          <w:p>
            <w:r>
              <w:t>Update the risk_weight value in CPA_RISK_WEIGHT_REF_TBL where exposure_class = 'SME'. No logic change required.</w:t>
            </w:r>
          </w:p>
        </w:tc>
      </w:tr>
      <w:tr>
        <w:tc>
          <w:tcPr>
            <w:tcW w:type="dxa" w:w="4320"/>
          </w:tcPr>
          <w:p>
            <w:r>
              <w:t>Exposures with days past due greater than 90 days shall be classified as Defaulted and assigned a 150% risk weight.</w:t>
            </w:r>
          </w:p>
        </w:tc>
        <w:tc>
          <w:tcPr>
            <w:tcW w:type="dxa" w:w="4320"/>
          </w:tcPr>
          <w:p>
            <w:r>
              <w:t>Add new reference table CPA_DELINQUENCY_POLICY_REF_TBL. Add column days_past_due in SRC_LOAN_EXPOSURE. Create DER_DEFAULT_CLASS table to derive default status. Update DER_RWA_CALCULATION logic to apply 150% risk weight for Defaulted exposures.</w:t>
            </w:r>
          </w:p>
        </w:tc>
      </w:tr>
      <w:tr>
        <w:tc>
          <w:tcPr>
            <w:tcW w:type="dxa" w:w="4320"/>
          </w:tcPr>
          <w:p>
            <w:r>
              <w:t>Unsecured retail exposures exceeding 50,000 shall be treated as high-risk retail.</w:t>
            </w:r>
          </w:p>
        </w:tc>
        <w:tc>
          <w:tcPr>
            <w:tcW w:type="dxa" w:w="4320"/>
          </w:tcPr>
          <w:p>
            <w:r>
              <w:t>Add new exposure class mapping row in CPA_EXPOSURE_CLASS_REF_TBL for high-value retail criteria. Add derived column high_risk_flag in DER_EXPOSURE_CLASS with logic evaluating SRC_LOAN_EXPOSURE.exposure_amount.</w:t>
            </w:r>
          </w:p>
        </w:tc>
      </w:tr>
      <w:tr>
        <w:tc>
          <w:tcPr>
            <w:tcW w:type="dxa" w:w="4320"/>
          </w:tcPr>
          <w:p>
            <w:r>
              <w:t>Collateral recognized for capital relief must be adjusted by regulatory haircut of 20%.</w:t>
            </w:r>
          </w:p>
        </w:tc>
        <w:tc>
          <w:tcPr>
            <w:tcW w:type="dxa" w:w="4320"/>
          </w:tcPr>
          <w:p>
            <w:r>
              <w:t>Add column haircut_factor to CPA_COLLATERAL_TREATMENT_REF_TBL. Update DER_COLLATERAL_RATIO logic to use adjusted collateral value = SRC_COLLATERAL.collateral_value × (1 - haircut_factor).</w:t>
            </w:r>
          </w:p>
        </w:tc>
      </w:tr>
      <w:tr>
        <w:tc>
          <w:tcPr>
            <w:tcW w:type="dxa" w:w="4320"/>
          </w:tcPr>
          <w:p>
            <w:r>
              <w:t>Green energy loans shall receive preferential risk weight treatment of 50%.</w:t>
            </w:r>
          </w:p>
        </w:tc>
        <w:tc>
          <w:tcPr>
            <w:tcW w:type="dxa" w:w="4320"/>
          </w:tcPr>
          <w:p>
            <w:r>
              <w:t>Add new reference table CPA_GREEN_LOAN_POLICY_REF_TBL mapping product_type to preferential risk weight. Update DER_RWA_CALCULATION logic to override risk weight when SRC_LOAN_EXPOSURE.product_type = 'Green Energy'.</w:t>
            </w:r>
          </w:p>
        </w:tc>
      </w:tr>
      <w:tr>
        <w:tc>
          <w:tcPr>
            <w:tcW w:type="dxa" w:w="4320"/>
          </w:tcPr>
          <w:p>
            <w:r>
              <w:t>Loans guaranteed by government entities shall be treated as sovereign exposures.</w:t>
            </w:r>
          </w:p>
        </w:tc>
        <w:tc>
          <w:tcPr>
            <w:tcW w:type="dxa" w:w="4320"/>
          </w:tcPr>
          <w:p>
            <w:r>
              <w:t>Add column guarantee_type in SRC_LOAN_EXPOSURE. Create new reference table CPA_GUARANTEE_TREATMENT_REF_TBL. Update DER_EXPOSURE_CLASS to derive exposure_class = 'Sovereign' when guarantee_type = 'Government'.</w:t>
            </w:r>
          </w:p>
        </w:tc>
      </w:tr>
      <w:tr>
        <w:tc>
          <w:tcPr>
            <w:tcW w:type="dxa" w:w="4320"/>
          </w:tcPr>
          <w:p>
            <w:r>
              <w:t>Collateral information is no longer required for unsecured personal loans.</w:t>
            </w:r>
          </w:p>
        </w:tc>
        <w:tc>
          <w:tcPr>
            <w:tcW w:type="dxa" w:w="4320"/>
          </w:tcPr>
          <w:p>
            <w:r>
              <w:t>Remove collateral dependency for personal loans in DER_COLLATERAL_RATIO logic. Add conditional logic to bypass collateral calculation when SRC_LOAN_EXPOSURE.product_type = 'Personal Loan'.</w:t>
            </w:r>
          </w:p>
        </w:tc>
      </w:tr>
      <w:tr>
        <w:tc>
          <w:tcPr>
            <w:tcW w:type="dxa" w:w="4320"/>
          </w:tcPr>
          <w:p>
            <w:r>
              <w:t>Exposure at default (EAD) shall include accrued interest.</w:t>
            </w:r>
          </w:p>
        </w:tc>
        <w:tc>
          <w:tcPr>
            <w:tcW w:type="dxa" w:w="4320"/>
          </w:tcPr>
          <w:p>
            <w:r>
              <w:t>Add new column accrued_interest in SRC_LOAN_EXPOSURE. Add derived column ead_amount = exposure_amount + accrued_interest. Update DER_SECURED_EXPOSURE to use ead_amount instead of exposure_amount.</w:t>
            </w:r>
          </w:p>
        </w:tc>
      </w:tr>
      <w:tr>
        <w:tc>
          <w:tcPr>
            <w:tcW w:type="dxa" w:w="4320"/>
          </w:tcPr>
          <w:p>
            <w:r>
              <w:t>Institutions must report risk-weighted assets by geographic region.</w:t>
            </w:r>
          </w:p>
        </w:tc>
        <w:tc>
          <w:tcPr>
            <w:tcW w:type="dxa" w:w="4320"/>
          </w:tcPr>
          <w:p>
            <w:r>
              <w:t>Add region_code column in SRC_CUSTOMER_MASTER. Create CPA_REGION_MAPPING_REF_TBL. Add derived region_name in RPT_CREDIT_RWA_REPORT using mapping reference table.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