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Central Prudential Authority (CPA)</w:t>
      </w:r>
    </w:p>
    <w:p>
      <w:pPr>
        <w:pStyle w:val="Heading2"/>
      </w:pPr>
      <w:r>
        <w:t>Standard CPA-CR-01</w:t>
      </w:r>
    </w:p>
    <w:p>
      <w:r>
        <w:t>Standardised Credit Risk Treatment for Risk-Weighted Assets (RWA)</w:t>
      </w:r>
    </w:p>
    <w:p>
      <w:pPr>
        <w:pStyle w:val="Heading3"/>
      </w:pPr>
      <w:r>
        <w:t>1. Objective</w:t>
      </w:r>
    </w:p>
    <w:p>
      <w:r>
        <w:t>This standard establishes the method for determining risk-weighted assets (RWA) for on-balance sheet credit exposures using a standardized approach to exposure classification, collateral recognition, and risk weighting.</w:t>
      </w:r>
    </w:p>
    <w:p>
      <w:pPr>
        <w:pStyle w:val="Heading3"/>
      </w:pPr>
      <w:r>
        <w:t>2. Scope</w:t>
      </w:r>
    </w:p>
    <w:p>
      <w:r>
        <w:t>This policy applies to all lending exposures recognized on the institution’s balance sheet, including retail and small business lending.</w:t>
      </w:r>
    </w:p>
    <w:p>
      <w:pPr>
        <w:pStyle w:val="Heading3"/>
      </w:pPr>
      <w:r>
        <w:t>3. Exposure Classification</w:t>
      </w:r>
    </w:p>
    <w:p/>
    <w:p>
      <w:pPr>
        <w:pStyle w:val="Heading3"/>
      </w:pPr>
      <w:r>
        <w:t>3.1 Retail Exposures</w:t>
      </w:r>
    </w:p>
    <w:p>
      <w:r>
        <w:t>An exposure shall be classified as Retail where the obligor is a natural person and the exposure is managed on a pooled basis.</w:t>
      </w:r>
    </w:p>
    <w:p>
      <w:pPr>
        <w:pStyle w:val="Heading3"/>
      </w:pPr>
      <w:r>
        <w:t>3.2 Small and Medium Enterprise (SME) Exposures</w:t>
      </w:r>
    </w:p>
    <w:p>
      <w:r>
        <w:t>An exposure shall be classified as SME where the obligor is a business entity that does not meet corporate portfolio criteria and is managed under small business banking.</w:t>
      </w:r>
    </w:p>
    <w:p>
      <w:pPr>
        <w:pStyle w:val="Heading3"/>
      </w:pPr>
      <w:r>
        <w:t>4. Recognition of Eligible Collateral</w:t>
      </w:r>
    </w:p>
    <w:p/>
    <w:p>
      <w:pPr>
        <w:pStyle w:val="Heading3"/>
      </w:pPr>
      <w:r>
        <w:t>4.1 Collateral Coverage Ratio</w:t>
      </w:r>
    </w:p>
    <w:p>
      <w:r>
        <w:t>Institutions shall compute a collateral coverage ratio as:</w:t>
        <w:br/>
        <w:br/>
        <w:t>Coverage Ratio = Eligible Collateral Value ÷ Outstanding Exposure</w:t>
      </w:r>
    </w:p>
    <w:p>
      <w:pPr>
        <w:pStyle w:val="Heading3"/>
      </w:pPr>
      <w:r>
        <w:t>4.2 Fully Secured Exposures</w:t>
      </w:r>
    </w:p>
    <w:p>
      <w:r>
        <w:t>Where the coverage ratio is greater than or equal to 1.0, the exposure may be treated as fully secured for capital calculation purposes.</w:t>
      </w:r>
    </w:p>
    <w:p>
      <w:pPr>
        <w:pStyle w:val="Heading3"/>
      </w:pPr>
      <w:r>
        <w:t>4.3 Partially Secured Exposures</w:t>
      </w:r>
    </w:p>
    <w:p>
      <w:r>
        <w:t>Where the coverage ratio is less than 1.0, the exposure shall be treated as unsecured for standardized capital treatment.</w:t>
      </w:r>
    </w:p>
    <w:p>
      <w:pPr>
        <w:pStyle w:val="Heading3"/>
      </w:pPr>
      <w:r>
        <w:t>5. Exposure Adjustment for Credit Risk Mitigation</w:t>
      </w:r>
    </w:p>
    <w:p>
      <w:r>
        <w:t>Where an exposure is recognized as fully secured, institutions may apply a 50 percent exposure recognition factor to reflect risk mitigation effects.</w:t>
      </w:r>
    </w:p>
    <w:p>
      <w:pPr>
        <w:pStyle w:val="Heading3"/>
      </w:pPr>
      <w:r>
        <w:t>6. Risk Weights</w:t>
      </w:r>
    </w:p>
    <w:p>
      <w:r>
        <w:t>Risk weights shall be applied to exposures after credit risk mitigation adjustments as follows:</w:t>
        <w:br/>
        <w:br/>
        <w:t>• Retail exposures: 75%</w:t>
        <w:br/>
        <w:t>• SME exposures: 100%</w:t>
      </w:r>
    </w:p>
    <w:p>
      <w:pPr>
        <w:pStyle w:val="Heading3"/>
      </w:pPr>
      <w:r>
        <w:t>7. Calculation of Risk-Weighted Assets</w:t>
      </w:r>
    </w:p>
    <w:p>
      <w:r>
        <w:t>Risk-Weighted Assets (RWA) shall be calculated as:</w:t>
        <w:br/>
        <w:br/>
        <w:t>RWA = Adjusted Exposure × Applicable Risk Weight</w:t>
      </w:r>
    </w:p>
    <w:p>
      <w:pPr>
        <w:pStyle w:val="Heading3"/>
      </w:pPr>
      <w:r>
        <w:t>8. Reporting Requirements</w:t>
      </w:r>
    </w:p>
    <w:p>
      <w:r>
        <w:t>Institutions shall produce a report containing, at minimum:</w:t>
        <w:br/>
        <w:br/>
        <w:t>• Exposure identifier</w:t>
        <w:br/>
        <w:t>• Exposure class</w:t>
        <w:br/>
        <w:t>• Original exposure amount</w:t>
        <w:br/>
        <w:t>• Adjusted exposure amount</w:t>
        <w:br/>
        <w:t>• Applied risk weight</w:t>
        <w:br/>
        <w:t>• Risk-weighted asset amount</w:t>
      </w:r>
    </w:p>
    <w:p>
      <w:pPr>
        <w:pStyle w:val="Heading3"/>
      </w:pPr>
      <w:r>
        <w:t>9. Effective Date and Governance</w:t>
      </w:r>
    </w:p>
    <w:p>
      <w:r>
        <w:t>This standard becomes effective on the approved implementation date and shall remain in force until amended or superseded. Institutions must maintain audit traceability between regulatory policy clauses and internal calculation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