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0244C" w14:textId="12408EA3" w:rsidR="000B58A5" w:rsidRDefault="000B58A5" w:rsidP="000B58A5">
      <w:pPr>
        <w:pStyle w:val="Title"/>
      </w:pPr>
      <w:bookmarkStart w:id="0" w:name="Introduction"/>
      <w:bookmarkStart w:id="1" w:name="_Toc205137752"/>
      <w:r w:rsidRPr="000B58A5">
        <w:t xml:space="preserve">Transforming Credit Risk Assessment and Basel Compliance </w:t>
      </w:r>
      <w:r w:rsidR="006F689E">
        <w:t>using</w:t>
      </w:r>
      <w:r>
        <w:t xml:space="preserve"> AI-Driven Techniques</w:t>
      </w:r>
    </w:p>
    <w:p w14:paraId="53E439DF" w14:textId="0F79D72A" w:rsidR="00700F0C" w:rsidRPr="00285FE6" w:rsidRDefault="00052ECB" w:rsidP="00285FE6">
      <w:pPr>
        <w:pStyle w:val="Heading1"/>
      </w:pPr>
      <w:r w:rsidRPr="00285FE6">
        <w:t>Introduction and Background</w:t>
      </w:r>
      <w:bookmarkEnd w:id="0"/>
      <w:bookmarkEnd w:id="1"/>
    </w:p>
    <w:p w14:paraId="376E41F3" w14:textId="0D939466" w:rsidR="0051203A" w:rsidRPr="0051203A" w:rsidRDefault="0051203A" w:rsidP="0051203A">
      <w:pPr>
        <w:spacing w:line="480" w:lineRule="auto"/>
        <w:ind w:firstLine="720"/>
        <w:jc w:val="both"/>
        <w:rPr>
          <w:rFonts w:ascii="Times New Roman" w:hAnsi="Times New Roman"/>
          <w:lang w:val="en-IN"/>
        </w:rPr>
      </w:pPr>
      <w:r w:rsidRPr="0051203A">
        <w:rPr>
          <w:rFonts w:ascii="Times New Roman" w:hAnsi="Times New Roman"/>
          <w:lang w:val="en-IN"/>
        </w:rPr>
        <w:t xml:space="preserve">Banking forms the cornerstone of the modern economy, enabling financial intermediation and promoting sustainable economic development </w:t>
      </w:r>
      <w:r w:rsidR="0073324F">
        <w:rPr>
          <w:rFonts w:ascii="Times New Roman" w:hAnsi="Times New Roman"/>
          <w:lang w:val="en-IN"/>
        </w:rPr>
        <w:fldChar w:fldCharType="begin"/>
      </w:r>
      <w:r w:rsidR="0073324F">
        <w:rPr>
          <w:rFonts w:ascii="Times New Roman" w:hAnsi="Times New Roman"/>
          <w:lang w:val="en-IN"/>
        </w:rPr>
        <w:instrText xml:space="preserve"> ADDIN ZOTERO_ITEM CSL_CITATION {"citationID":"atekmMHQ","properties":{"formattedCitation":"(Aracil et al., 2021)","plainCitation":"(Aracil et al., 2021)","noteIndex":0},"citationItems":[{"id":6625,"uris":["http://zotero.org/users/8997618/items/ZH699VG5"],"itemData":{"id":6625,"type":"article-journal","abstract":"The literature on sustainable banking has been prolific since the beginning of the century. This context prompts the need to understand and categorize an increasingly heterogeneous body of sustainable banking literature. We perform a literature review using bibliometric techniques of 676 articles published between 1995 and 2019 in the Web of Science (WoS) database. Our results provide a perspective on the evolution of the sustainable banking literature over time and across academic categories and journals. An integrative framework emerges from the review, providing a comprehensive perspective of the nine clusters or thematic areas in sustainable banking literature embedded in three domains: Ethical Foundations, Sustainable Products, and Business-Case. The framework integrates the rich literature on sustainable banking, maps the predominant research areas, and highlights the primary research gaps. Finally, the literature review demonstrates a progressive convergence of the instrumental and ethical approaches to sustainable banking. This convergence highlights the importance of both the vivid societal debate around the role of banks in the advancement toward sustainability and the business rationale for banks to engage in sustainable strategies.","container-title":"Finance Research Letters","DOI":"10.1016/j.frl.2021.101932","ISSN":"1544-6123","journalAbbreviation":"Finance Research Letters","page":"101932","source":"ScienceDirect","title":"Sustainable banking: A literature review and integrative framework","title-short":"Sustainable banking","volume":"42","author":[{"family":"Aracil","given":"Elisa"},{"family":"Nájera-Sánchez","given":"Juan-José"},{"family":"Forcadell","given":"Francisco Javier"}],"issued":{"date-parts":[["2021",10,1]]}}}],"schema":"https://github.com/citation-style-language/schema/raw/master/csl-citation.json"} </w:instrText>
      </w:r>
      <w:r w:rsidR="0073324F">
        <w:rPr>
          <w:rFonts w:ascii="Times New Roman" w:hAnsi="Times New Roman"/>
          <w:lang w:val="en-IN"/>
        </w:rPr>
        <w:fldChar w:fldCharType="separate"/>
      </w:r>
      <w:r w:rsidR="0073324F" w:rsidRPr="0073324F">
        <w:rPr>
          <w:rFonts w:ascii="Times New Roman" w:hAnsi="Times New Roman"/>
        </w:rPr>
        <w:t>(Aracil et al., 2021)</w:t>
      </w:r>
      <w:r w:rsidR="0073324F">
        <w:rPr>
          <w:rFonts w:ascii="Times New Roman" w:hAnsi="Times New Roman"/>
          <w:lang w:val="en-IN"/>
        </w:rPr>
        <w:fldChar w:fldCharType="end"/>
      </w:r>
      <w:r w:rsidRPr="0051203A">
        <w:rPr>
          <w:rFonts w:ascii="Times New Roman" w:hAnsi="Times New Roman"/>
          <w:lang w:val="en-IN"/>
        </w:rPr>
        <w:t>. Its central role in maintaining monetary stability underscores its indispensable contribution to national progress. However, banks remain inherently susceptible to systemic risks, including financial crises, which threaten their operational resilience and erode public trust. The 2008 global financial crisis vividly demonstrated how interconnected banking networks can transmit and amplify economic shocks.</w:t>
      </w:r>
    </w:p>
    <w:p w14:paraId="1BE4C612" w14:textId="60335C6E" w:rsidR="0051203A" w:rsidRPr="0051203A" w:rsidRDefault="0051203A" w:rsidP="0051203A">
      <w:pPr>
        <w:spacing w:line="480" w:lineRule="auto"/>
        <w:ind w:firstLine="720"/>
        <w:jc w:val="both"/>
        <w:rPr>
          <w:rFonts w:ascii="Times New Roman" w:hAnsi="Times New Roman"/>
          <w:lang w:val="en-IN"/>
        </w:rPr>
      </w:pPr>
      <w:r w:rsidRPr="0051203A">
        <w:rPr>
          <w:rFonts w:ascii="Times New Roman" w:hAnsi="Times New Roman"/>
          <w:lang w:val="en-IN"/>
        </w:rPr>
        <w:t xml:space="preserve">Banks must manage a broad spectrum of risk categories that challenge institutional stability. These include credit risk from borrower defaults, market risk due to asset value fluctuations, and operational risk arising from internal process failures or external disruptions. Non-performing assets (NPAs), a direct manifestation of credit risk, represent loans that borrowers fail to repay and pose a serious threat to profitability and financial soundness. Addressing such multifaceted risks necessitates robust risk management frameworks to safeguard both institutional viability and economic continuity </w:t>
      </w:r>
      <w:r w:rsidR="0073324F">
        <w:rPr>
          <w:rFonts w:ascii="Times New Roman" w:hAnsi="Times New Roman"/>
          <w:lang w:val="en-IN"/>
        </w:rPr>
        <w:fldChar w:fldCharType="begin"/>
      </w:r>
      <w:r w:rsidR="0073324F">
        <w:rPr>
          <w:rFonts w:ascii="Times New Roman" w:hAnsi="Times New Roman"/>
          <w:lang w:val="en-IN"/>
        </w:rPr>
        <w:instrText xml:space="preserve"> ADDIN ZOTERO_ITEM CSL_CITATION {"citationID":"89DYQ38J","properties":{"formattedCitation":"(Bashir et al., 2025)","plainCitation":"(Bashir et al., 2025)","noteIndex":0},"citationItems":[{"id":6628,"uris":["http://zotero.org/users/8997618/items/ND8JVWHL"],"itemData":{"id":6628,"type":"article-journal","abstract":"This research investigates the relationship between Basel capital regulations, bank risk, and bank efficiency in the context of Pakistani and Indian commercial banks. This study examines the period from 2009 to 2022 and specifically analyses the impact of Basel III capital requirements on risk and efficiency. Quantitative methods are employed, utilising data from central bank websites and the BankScope database to construct a comprehensive sample of commercial banks in Pakistan and India. The system-generalised method of moments (GMM) estimation technique addresses potential endogeneity issues in the regression models. The findings shed light on the effectiveness of these regulations and provide insights for policymakers and regulators in both countries. The results indicate that Basel capital regulations have generally increased banks’ risk-taking behaviour in Pakistan and India. However, they have not improved the overall efficiency of the banking sector in either country. Bank efficiency declined during the study period, highlighting the limited effectiveness of Basel capital regulations in enhancing efficiency. Furthermore, the impact of these regulations on risk and efficiency varies between the two countries. In Pakistan, the regulations do not significantly affect bank efficiency, while in India, they decrease efficiency. Additionally, Basel III capital regulations do not significantly impact the risk taken by banks in either country. This study concludes by emphasising the need for alternative mechanisms or policies to improve the banking industry’s efficiency, as Basel capital regulations alone have proven ineffective. The findings offer valuable insights for central banks and regulators in assessing the relationship between capital regulations, risk, and efficiency and implementing appropriate measures to enhance the performance of the banking sector. This study recommends the following key points: the adoption of tailored regulatory approaches to address specific challenges, achieving an optimal balance between risk management and operational efficiency, enhancing the effectiveness of management roles, considering the influence of macroeconomic factors, and evaluating the implications of long-term policy development for sustainable progress. The present study adds to the prevalent literature on the impact of capital regulations on bank risk and efficiency nexus. This study focuses on Pakistan and India, which are two important developing nations. Moreover, another important contribution of this study lies in the effect of Basel III capital regulation on bank risk, as these capital regulations are different from other Basel capital requirements.","container-title":"Journal of Risk and Financial Management","DOI":"10.3390/jrfm18010036","ISSN":"1911-8074","issue":"1","language":"en","license":"http://creativecommons.org/licenses/by/3.0/","note":"number: 1\npublisher: Multidisciplinary Digital Publishing Institute","page":"36","source":"www.mdpi.com","title":"Assessing Basel Capital Regulations: Exploring the Risk and Efficiency Relationship in Emerging Economies","title-short":"Assessing Basel Capital Regulations","volume":"18","author":[{"family":"Bashir","given":"Adnan"},{"family":"Salman","given":"Asma"},{"family":"Itani","given":"Rania"},{"family":"Faccia","given":"Alessio"}],"issued":{"date-parts":[["2025",1]]}}}],"schema":"https://github.com/citation-style-language/schema/raw/master/csl-citation.json"} </w:instrText>
      </w:r>
      <w:r w:rsidR="0073324F">
        <w:rPr>
          <w:rFonts w:ascii="Times New Roman" w:hAnsi="Times New Roman"/>
          <w:lang w:val="en-IN"/>
        </w:rPr>
        <w:fldChar w:fldCharType="separate"/>
      </w:r>
      <w:r w:rsidR="0073324F" w:rsidRPr="0073324F">
        <w:rPr>
          <w:rFonts w:ascii="Times New Roman" w:hAnsi="Times New Roman"/>
        </w:rPr>
        <w:t>(Bashir et al., 2025)</w:t>
      </w:r>
      <w:r w:rsidR="0073324F">
        <w:rPr>
          <w:rFonts w:ascii="Times New Roman" w:hAnsi="Times New Roman"/>
          <w:lang w:val="en-IN"/>
        </w:rPr>
        <w:fldChar w:fldCharType="end"/>
      </w:r>
      <w:r w:rsidRPr="0051203A">
        <w:rPr>
          <w:rFonts w:ascii="Times New Roman" w:hAnsi="Times New Roman"/>
          <w:lang w:val="en-IN"/>
        </w:rPr>
        <w:t>.</w:t>
      </w:r>
    </w:p>
    <w:p w14:paraId="328F5C42" w14:textId="4F4E71ED" w:rsidR="0051203A" w:rsidRPr="0051203A" w:rsidRDefault="0051203A" w:rsidP="0051203A">
      <w:pPr>
        <w:spacing w:line="480" w:lineRule="auto"/>
        <w:ind w:firstLine="720"/>
        <w:jc w:val="both"/>
        <w:rPr>
          <w:rFonts w:ascii="Times New Roman" w:hAnsi="Times New Roman"/>
          <w:lang w:val="en-IN"/>
        </w:rPr>
      </w:pPr>
      <w:r w:rsidRPr="0051203A">
        <w:rPr>
          <w:rFonts w:ascii="Times New Roman" w:hAnsi="Times New Roman"/>
          <w:lang w:val="en-IN"/>
        </w:rPr>
        <w:t xml:space="preserve">In response, global regulatory regimes have evolved to establish uniform standards for risk oversight and capital adequacy. The Basel Accords, formulated by the Basel Committee on Banking Supervision, serve as a global benchmark for banking regulation. By prescribing minimum capital requirements, stress testing protocols, and liquidity buffers, these accords aim to strengthen financial institutions against systemic vulnerabilities and enhance resilience during </w:t>
      </w:r>
      <w:r w:rsidRPr="0051203A">
        <w:rPr>
          <w:rFonts w:ascii="Times New Roman" w:hAnsi="Times New Roman"/>
          <w:lang w:val="en-IN"/>
        </w:rPr>
        <w:lastRenderedPageBreak/>
        <w:t xml:space="preserve">economic shocks </w:t>
      </w:r>
      <w:r w:rsidR="0073324F">
        <w:rPr>
          <w:rFonts w:ascii="Times New Roman" w:hAnsi="Times New Roman"/>
          <w:lang w:val="en-IN"/>
        </w:rPr>
        <w:fldChar w:fldCharType="begin"/>
      </w:r>
      <w:r w:rsidR="0073324F">
        <w:rPr>
          <w:rFonts w:ascii="Times New Roman" w:hAnsi="Times New Roman"/>
          <w:lang w:val="en-IN"/>
        </w:rPr>
        <w:instrText xml:space="preserve"> ADDIN ZOTERO_ITEM CSL_CITATION {"citationID":"D8gyI1Ds","properties":{"formattedCitation":"(Anguren et al., 2024; Bank f\\uc0\\u252{}r Internationalen Zahlungsausgleich &amp; Basel Committee on Banking Supervision, 2022)","plainCitation":"(Anguren et al., 2024; Bank für Internationalen Zahlungsausgleich &amp; Basel Committee on Banking Supervision, 2022)","noteIndex":0},"citationItems":[{"id":6630,"uris":["http://zotero.org/users/8997618/items/8CQ6RXCX"],"itemData":{"id":6630,"type":"article-journal","abstract":"We study the effects of both tighter and looser bank capital requirements on bank risk-taking. We exploit credit register data matched with firm and bank level data in conjunction with changes in capital requirements stemming from Basel III, including the introduction of a SME supporting bank capital factor in the European Union. We find that tighter capital requirements reduce the supply of bank credit to firms, while looser capital requirements mitigate the credit supply effects of increasing capital. Importantly, at the loan level (credit supply), banks more affected by capital requirements change less the supply of credit to riskier than to safer firms, and these asymmetric effects occur for both the tightening and the loosening of bank capital requirements. Finally, these effects are also important at the firm-level for total credit availability and for firm survival. Interestingly, our results suggest that those banks most impacted by the tighter Basel III capital requirements prioritize credit among ex-ante riskier firms to avoid their closure, consistent with loan evergreening.","container-title":"Journal of Financial Stability","DOI":"10.1016/j.jfs.2024.101292","ISSN":"1572-3089","journalAbbreviation":"Journal of Financial Stability","page":"101292","source":"ScienceDirect","title":"Bank capital requirements and risk-taking: Evidence from basel III","title-short":"Bank capital requirements and risk-taking","volume":"74","author":[{"family":"Anguren","given":"Rebeca"},{"family":"Jiménez","given":"Gabriel"},{"family":"Peydró","given":"José-Luis"}],"issued":{"date-parts":[["2024",10,1]]}}},{"id":6634,"uris":["http://zotero.org/users/8997618/items/EKP7K8NI"],"itemData":{"id":6634,"type":"book","event-place":"Basel","ISBN":"978-92-9259-622-4","language":"en","number-of-pages":"1","publisher":"Bank for International Settlements","publisher-place":"Basel","source":"K10plus ISBN","title":"Evaluation of the impact and efficacy of the Basel III reforms","editor":[{"literal":"Bank für Internationalen Zahlungsausgleich"},{"literal":"Basel Committee on Banking Supervision"}],"issued":{"date-parts":[["2022"]]}}}],"schema":"https://github.com/citation-style-language/schema/raw/master/csl-citation.json"} </w:instrText>
      </w:r>
      <w:r w:rsidR="0073324F">
        <w:rPr>
          <w:rFonts w:ascii="Times New Roman" w:hAnsi="Times New Roman"/>
          <w:lang w:val="en-IN"/>
        </w:rPr>
        <w:fldChar w:fldCharType="separate"/>
      </w:r>
      <w:r w:rsidR="0073324F" w:rsidRPr="0073324F">
        <w:rPr>
          <w:rFonts w:ascii="Times New Roman" w:hAnsi="Times New Roman"/>
        </w:rPr>
        <w:t>(Anguren et al., 2024; Bank für Internationalen Zahlungsausgleich &amp; Basel Committee on Banking Supervision, 2022)</w:t>
      </w:r>
      <w:r w:rsidR="0073324F">
        <w:rPr>
          <w:rFonts w:ascii="Times New Roman" w:hAnsi="Times New Roman"/>
          <w:lang w:val="en-IN"/>
        </w:rPr>
        <w:fldChar w:fldCharType="end"/>
      </w:r>
      <w:r w:rsidRPr="0051203A">
        <w:rPr>
          <w:rFonts w:ascii="Times New Roman" w:hAnsi="Times New Roman"/>
          <w:lang w:val="en-IN"/>
        </w:rPr>
        <w:t>.</w:t>
      </w:r>
    </w:p>
    <w:p w14:paraId="40E2236F" w14:textId="2EFC9831" w:rsidR="00C559D8" w:rsidRPr="00C559D8" w:rsidRDefault="00C559D8" w:rsidP="00C559D8">
      <w:pPr>
        <w:spacing w:line="480" w:lineRule="auto"/>
        <w:ind w:firstLine="720"/>
        <w:jc w:val="both"/>
        <w:rPr>
          <w:rFonts w:ascii="Times New Roman" w:hAnsi="Times New Roman"/>
          <w:lang w:val="en-IN"/>
        </w:rPr>
      </w:pPr>
      <w:r w:rsidRPr="00C559D8">
        <w:rPr>
          <w:rFonts w:ascii="Times New Roman" w:hAnsi="Times New Roman"/>
          <w:lang w:val="en-IN"/>
        </w:rPr>
        <w:t>However, financial regulation has grown increasingly complex. Regulatory texts such as the Basel Accords span thousands of pages, weaving dense legal language, technical detail, mathematical formulations, and extensive annotations</w:t>
      </w:r>
      <w:r w:rsidR="00957F1C">
        <w:rPr>
          <w:rFonts w:ascii="Times New Roman" w:hAnsi="Times New Roman"/>
          <w:lang w:val="en-IN"/>
        </w:rPr>
        <w:t xml:space="preserve"> </w:t>
      </w:r>
      <w:r w:rsidR="00957F1C">
        <w:rPr>
          <w:rFonts w:ascii="Times New Roman" w:hAnsi="Times New Roman"/>
          <w:lang w:val="en-IN"/>
        </w:rPr>
        <w:fldChar w:fldCharType="begin"/>
      </w:r>
      <w:r w:rsidR="00957F1C">
        <w:rPr>
          <w:rFonts w:ascii="Times New Roman" w:hAnsi="Times New Roman"/>
          <w:lang w:val="en-IN"/>
        </w:rPr>
        <w:instrText xml:space="preserve"> ADDIN ZOTERO_ITEM CSL_CITATION {"citationID":"Nkc7nlgs","properties":{"formattedCitation":"(Cao &amp; Feinstein, 2024)","plainCitation":"(Cao &amp; Feinstein, 2024)","noteIndex":0},"citationItems":[{"id":6611,"uris":["http://zotero.org/users/8997618/items/BGHVEKWP"],"itemData":{"id":6611,"type":"article","abstract":"This study explores the innovative use of Large Language Models (LLMs) as analytical tools for interpreting complex financial regulations. The primary objective is to design effective prompts that guide LLMs in distilling verbose and intricate regulatory texts, such as the Basel III capital requirement regulations, into a concise mathematical framework that can be subsequently translated into actionable code. This novel approach aims to streamline the implementation of regulatory mandates within the financial reporting and risk management systems of global banking institutions. A case study was conducted to assess the performance of various LLMs, demonstrating that GPT-4 outperforms other models in processing and collecting necessary information, as well as executing mathematical calculations. The case study utilized numerical simulations with asset holdings –including fixed income, equities, currency pairs, and commodities – to demonstrate how LLMs can effectively implement the Basel III capital adequacy requirements.","DOI":"10.48550/arXiv.2405.06808","language":"en","note":"arXiv:2405.06808 [q-fin]","number":"arXiv:2405.06808","publisher":"arXiv","source":"arXiv.org","title":"Large Language Model in Financial Regulatory Interpretation","URL":"http://arxiv.org/abs/2405.06808","author":[{"family":"Cao","given":"Zhiyu"},{"family":"Feinstein","given":"Zachary"}],"accessed":{"date-parts":[["2025",8,3]]},"issued":{"date-parts":[["2024",7,10]]}}}],"schema":"https://github.com/citation-style-language/schema/raw/master/csl-citation.json"} </w:instrText>
      </w:r>
      <w:r w:rsidR="00957F1C">
        <w:rPr>
          <w:rFonts w:ascii="Times New Roman" w:hAnsi="Times New Roman"/>
          <w:lang w:val="en-IN"/>
        </w:rPr>
        <w:fldChar w:fldCharType="separate"/>
      </w:r>
      <w:r w:rsidR="00957F1C" w:rsidRPr="00957F1C">
        <w:rPr>
          <w:rFonts w:ascii="Times New Roman" w:hAnsi="Times New Roman"/>
        </w:rPr>
        <w:t>(Cao &amp; Feinstein, 2024)</w:t>
      </w:r>
      <w:r w:rsidR="00957F1C">
        <w:rPr>
          <w:rFonts w:ascii="Times New Roman" w:hAnsi="Times New Roman"/>
          <w:lang w:val="en-IN"/>
        </w:rPr>
        <w:fldChar w:fldCharType="end"/>
      </w:r>
      <w:r w:rsidRPr="00C559D8">
        <w:rPr>
          <w:rFonts w:ascii="Times New Roman" w:hAnsi="Times New Roman"/>
          <w:lang w:val="en-IN"/>
        </w:rPr>
        <w:t xml:space="preserve">. While Basel I comprised approximately 30 pages, Basel II expanded to over 300 pages, and the fully realized Basel III framework alone spans more than 600 pages </w:t>
      </w:r>
      <w:r w:rsidR="00E2594F">
        <w:rPr>
          <w:rFonts w:ascii="Times New Roman" w:hAnsi="Times New Roman"/>
          <w:lang w:val="en-IN"/>
        </w:rPr>
        <w:fldChar w:fldCharType="begin"/>
      </w:r>
      <w:r w:rsidR="00046D12">
        <w:rPr>
          <w:rFonts w:ascii="Times New Roman" w:hAnsi="Times New Roman"/>
          <w:lang w:val="en-IN"/>
        </w:rPr>
        <w:instrText xml:space="preserve"> ADDIN ZOTERO_ITEM CSL_CITATION {"citationID":"dhS6JALZ","properties":{"formattedCitation":"(Jones &amp; Zeitz, 2017)","plainCitation":"(Jones &amp; Zeitz, 2017)","noteIndex":0},"citationItems":[{"id":"y1xidiyt/nZjqYnCB","uris":["http://zotero.org/users/8997618/items/TG4ST9KI"],"itemData":{"id":6639,"type":"article-journal","abstract":"Though designed by a selective group of regulators from the world’s largest financial centres, Basel banking standards are being implemented far beyond the financial core, and this is often seen as confirmation of their global relevance. Yet, we show that the implementation of Basel II and III is shallow and highly selective in most countries outside of the Basel Committee on Banking Supervision. Drawing on primary and secondary sources and regression analysis, we attribute shallow and highly selective adoption to the sheer complexity of the standards, and the fact that they need substantial modification before they can be fully implemented, particularly in developing countries. Implementation challenges are compounded by gaps in the financial market infrastructure, notably credit rating agencies, as well as shallow capital markets. Beyond this, we attribute cross-country variation in implementation to differences in the underlying political economy of the banking sector. Countries are likely to pursue relatively high levels of Basel II and III implementation when large foreign and internationally active domestic banks operate in their jurisdiction and when they have a market-oriented approach to the financial sector. Conversely, countries are likely to pursue relatively low levels of implementation when they have few internationally active banks and a more interventionist approach.","container-title":"Journal of Financial Regulation","DOI":"10.1093/jfr/fjx001","ISSN":"2053-4833","issue":"1","journalAbbreviation":"J Financ Regul","page":"89-124","source":"Silverchair","title":"The Limits of Globalizing Basel Banking Standards","volume":"3","author":[{"family":"Jones","given":"Emily"},{"family":"Zeitz","given":"Alexandra O."}],"issued":{"date-parts":[["2017",3,1]]}}}],"schema":"https://github.com/citation-style-language/schema/raw/master/csl-citation.json"} </w:instrText>
      </w:r>
      <w:r w:rsidR="00E2594F">
        <w:rPr>
          <w:rFonts w:ascii="Times New Roman" w:hAnsi="Times New Roman"/>
          <w:lang w:val="en-IN"/>
        </w:rPr>
        <w:fldChar w:fldCharType="separate"/>
      </w:r>
      <w:r w:rsidR="00E2594F" w:rsidRPr="00E2594F">
        <w:rPr>
          <w:rFonts w:ascii="Times New Roman" w:hAnsi="Times New Roman"/>
        </w:rPr>
        <w:t>(Jones &amp; Zeitz, 2017)</w:t>
      </w:r>
      <w:r w:rsidR="00E2594F">
        <w:rPr>
          <w:rFonts w:ascii="Times New Roman" w:hAnsi="Times New Roman"/>
          <w:lang w:val="en-IN"/>
        </w:rPr>
        <w:fldChar w:fldCharType="end"/>
      </w:r>
      <w:r w:rsidRPr="00C559D8">
        <w:rPr>
          <w:rFonts w:ascii="Times New Roman" w:hAnsi="Times New Roman"/>
          <w:lang w:val="en-IN"/>
        </w:rPr>
        <w:t>. This dramatic rise in complexity imposes substantial compliance burdens on banks.</w:t>
      </w:r>
    </w:p>
    <w:p w14:paraId="3E762CDF" w14:textId="716AAD7D" w:rsidR="00C559D8" w:rsidRPr="00C559D8" w:rsidRDefault="00C559D8" w:rsidP="00C559D8">
      <w:pPr>
        <w:spacing w:line="480" w:lineRule="auto"/>
        <w:ind w:firstLine="720"/>
        <w:jc w:val="both"/>
        <w:rPr>
          <w:rFonts w:ascii="Times New Roman" w:hAnsi="Times New Roman"/>
          <w:lang w:val="en-IN"/>
        </w:rPr>
      </w:pPr>
      <w:r w:rsidRPr="00C559D8">
        <w:rPr>
          <w:rFonts w:ascii="Times New Roman" w:hAnsi="Times New Roman"/>
          <w:lang w:val="en-IN"/>
        </w:rPr>
        <w:t xml:space="preserve">Estimated costs of implementing Basel III capital norms have been significant. A World Bank–linked analysis of Swiss systemically important banks noted how elevated CET1 requirements and implementation demands translate into upward of hundreds of millions in effective compliance costs—often interpreted in the order of a few hundred million CHF through capital forgone and resource deployment </w:t>
      </w:r>
      <w:r w:rsidR="00E72393">
        <w:rPr>
          <w:rFonts w:ascii="Times New Roman" w:hAnsi="Times New Roman"/>
          <w:lang w:val="en-IN"/>
        </w:rPr>
        <w:fldChar w:fldCharType="begin"/>
      </w:r>
      <w:r w:rsidR="00E72393">
        <w:rPr>
          <w:rFonts w:ascii="Times New Roman" w:hAnsi="Times New Roman"/>
          <w:lang w:val="en-IN"/>
        </w:rPr>
        <w:instrText xml:space="preserve"> ADDIN ZOTERO_ITEM CSL_CITATION {"citationID":"HIqJB3ay","properties":{"formattedCitation":"(Junge &amp; Kugler, 2018)","plainCitation":"(Junge &amp; Kugler, 2018)","noteIndex":0},"citationItems":[{"id":6642,"uris":["http://zotero.org/users/8997618/items/MK3P4UM7"],"itemData":{"id":6642,"type":"article-journal","abstract":"Ten years after the worst financial crisis of the post-war period, Switzerland has established a Too-Big-To-Fail (TBTF) framework. Under this framework, the two large Swiss banks are subject to substantial capital requirements. It is not obvious whether the TBTF capital requirements are sufficient to prevent banks from plunging the country into a financial crisis once again. We estimate the social costs and benefits of higher capital requirements for the two large Swiss banks and derive socially optimal capital ratios from the cost-benefit trade-off. Our results show that Swiss TBTF capital requirements still fall short of socially optimal capital ratios.","container-title":"Swiss Journal of Economics and Statistics","DOI":"10.1186/s41937-018-0025-z","ISSN":"2235-6282","issue":"1","journalAbbreviation":"Swiss Journal of Economics and Statistics","page":"22","source":"BioMed Central","title":"Optimal equity capital requirements for large Swiss banks","volume":"154","author":[{"family":"Junge","given":"Georg"},{"family":"Kugler","given":"Peter"}],"issued":{"date-parts":[["2018",8,22]]}}}],"schema":"https://github.com/citation-style-language/schema/raw/master/csl-citation.json"} </w:instrText>
      </w:r>
      <w:r w:rsidR="00E72393">
        <w:rPr>
          <w:rFonts w:ascii="Times New Roman" w:hAnsi="Times New Roman"/>
          <w:lang w:val="en-IN"/>
        </w:rPr>
        <w:fldChar w:fldCharType="separate"/>
      </w:r>
      <w:r w:rsidR="00E72393" w:rsidRPr="00E72393">
        <w:rPr>
          <w:rFonts w:ascii="Times New Roman" w:hAnsi="Times New Roman"/>
        </w:rPr>
        <w:t>(Junge &amp; Kugler, 2018)</w:t>
      </w:r>
      <w:r w:rsidR="00E72393">
        <w:rPr>
          <w:rFonts w:ascii="Times New Roman" w:hAnsi="Times New Roman"/>
          <w:lang w:val="en-IN"/>
        </w:rPr>
        <w:fldChar w:fldCharType="end"/>
      </w:r>
      <w:r w:rsidRPr="00C559D8">
        <w:rPr>
          <w:rFonts w:ascii="Times New Roman" w:hAnsi="Times New Roman"/>
          <w:lang w:val="en-IN"/>
        </w:rPr>
        <w:t>.</w:t>
      </w:r>
    </w:p>
    <w:p w14:paraId="56A42ECB" w14:textId="092703AD" w:rsidR="00C559D8" w:rsidRPr="00C559D8" w:rsidRDefault="00C559D8" w:rsidP="00C559D8">
      <w:pPr>
        <w:spacing w:line="480" w:lineRule="auto"/>
        <w:ind w:firstLine="720"/>
        <w:jc w:val="both"/>
        <w:rPr>
          <w:rFonts w:ascii="Times New Roman" w:hAnsi="Times New Roman"/>
          <w:lang w:val="en-IN"/>
        </w:rPr>
      </w:pPr>
      <w:r w:rsidRPr="00C559D8">
        <w:rPr>
          <w:rFonts w:ascii="Times New Roman" w:hAnsi="Times New Roman"/>
          <w:lang w:val="en-IN"/>
        </w:rPr>
        <w:t>Regulatory intensity has also intensified globally. Quantitative studies tracking the U.S. regulatory corpus identified steep increases in both the volume (“temperature”) and scope (“diversity”) of regulations over time, reflecting heightened supervisory scrutiny</w:t>
      </w:r>
      <w:r w:rsidR="00B45103">
        <w:rPr>
          <w:rFonts w:ascii="Times New Roman" w:hAnsi="Times New Roman"/>
          <w:lang w:val="en-IN"/>
        </w:rPr>
        <w:t xml:space="preserve"> </w:t>
      </w:r>
      <w:r w:rsidR="00B45103">
        <w:rPr>
          <w:rFonts w:ascii="Times New Roman" w:hAnsi="Times New Roman"/>
          <w:lang w:val="en-IN"/>
        </w:rPr>
        <w:fldChar w:fldCharType="begin"/>
      </w:r>
      <w:r w:rsidR="00B45103">
        <w:rPr>
          <w:rFonts w:ascii="Times New Roman" w:hAnsi="Times New Roman"/>
          <w:lang w:val="en-IN"/>
        </w:rPr>
        <w:instrText xml:space="preserve"> ADDIN ZOTERO_ITEM CSL_CITATION {"citationID":"p7LQ1Vle","properties":{"formattedCitation":"(II &amp; Katz, 2017)","plainCitation":"(II &amp; Katz, 2017)","noteIndex":0},"citationItems":[{"id":6644,"uris":["http://zotero.org/users/8997618/items/9UX82823"],"itemData":{"id":6644,"type":"article","abstract":"Over the last 23 years, the U.S. Securities and Exchange Commission has required over 34,000 companies to file over 165,000 annual reports. These reports, the so-called \"Form 10-Ks,\" contain a characterization of a company's financial performance and its risks, including the regulatory environment in which a company operates. In this paper, we analyze over 4.5 million references to U.S. Federal Acts and Agencies contained within these reports to build a mean-field measurement of temperature and diversity in this regulatory ecosystem, where companies are organisms inhabiting the regulatory environment. While individuals across the political, economic, and academic world frequently refer to trends in this regulatory ecosystem, far less attention has been paid to supporting such claims with large-scale, longitudinal data. In this paper, we document an increase in the regulatory energy per filing, i.e., a warming \"temperature.\" We also find that the diversity of the regulatory ecosystem has been increasing over the past two decades, as measured by the dimensionality of the regulatory space and distance between the \"regulatory bitstrings\" of companies. These findings support the claim that regulatory activity and complexity are increasing, and this measurement framework contributes an important step towards improving academic and policy discussions around legal complexity and regulation.","DOI":"10.48550/arXiv.1612.09244","note":"arXiv:1612.09244 [physics]","number":"arXiv:1612.09244","publisher":"arXiv","source":"arXiv.org","title":"Measuring the temperature and diversity of the U.S. regulatory ecosystem","URL":"http://arxiv.org/abs/1612.09244","author":[{"family":"II","given":"Michael J. Bommarito"},{"family":"Katz","given":"Daniel Martin"}],"accessed":{"date-parts":[["2025",8,4]]},"issued":{"date-parts":[["2017",1,10]]}}}],"schema":"https://github.com/citation-style-language/schema/raw/master/csl-citation.json"} </w:instrText>
      </w:r>
      <w:r w:rsidR="00B45103">
        <w:rPr>
          <w:rFonts w:ascii="Times New Roman" w:hAnsi="Times New Roman"/>
          <w:lang w:val="en-IN"/>
        </w:rPr>
        <w:fldChar w:fldCharType="separate"/>
      </w:r>
      <w:r w:rsidR="00B45103" w:rsidRPr="00B45103">
        <w:rPr>
          <w:rFonts w:ascii="Times New Roman" w:hAnsi="Times New Roman"/>
        </w:rPr>
        <w:t>(II &amp; Katz, 2017)</w:t>
      </w:r>
      <w:r w:rsidR="00B45103">
        <w:rPr>
          <w:rFonts w:ascii="Times New Roman" w:hAnsi="Times New Roman"/>
          <w:lang w:val="en-IN"/>
        </w:rPr>
        <w:fldChar w:fldCharType="end"/>
      </w:r>
      <w:r w:rsidR="005B0DA6">
        <w:rPr>
          <w:rFonts w:ascii="Times New Roman" w:hAnsi="Times New Roman"/>
          <w:b/>
          <w:bCs/>
          <w:lang w:val="en-IN"/>
        </w:rPr>
        <w:t>.</w:t>
      </w:r>
      <w:r w:rsidRPr="00C559D8">
        <w:rPr>
          <w:rFonts w:ascii="Times New Roman" w:hAnsi="Times New Roman"/>
          <w:lang w:val="en-IN"/>
        </w:rPr>
        <w:t xml:space="preserve"> This surge in regulatory demands underscores the strategic importance and resource intensity of compliance efforts.</w:t>
      </w:r>
    </w:p>
    <w:p w14:paraId="73A3FC08" w14:textId="77777777" w:rsidR="00C559D8" w:rsidRPr="00C559D8" w:rsidRDefault="00C559D8" w:rsidP="00C559D8">
      <w:pPr>
        <w:spacing w:line="480" w:lineRule="auto"/>
        <w:ind w:firstLine="720"/>
        <w:jc w:val="both"/>
        <w:rPr>
          <w:rFonts w:ascii="Times New Roman" w:hAnsi="Times New Roman"/>
          <w:lang w:val="en-IN"/>
        </w:rPr>
      </w:pPr>
      <w:r w:rsidRPr="00C559D8">
        <w:rPr>
          <w:rFonts w:ascii="Times New Roman" w:hAnsi="Times New Roman"/>
          <w:lang w:val="en-IN"/>
        </w:rPr>
        <w:t>Non</w:t>
      </w:r>
      <w:r w:rsidRPr="00C559D8">
        <w:rPr>
          <w:rFonts w:ascii="Times New Roman" w:hAnsi="Times New Roman"/>
          <w:lang w:val="en-IN"/>
        </w:rPr>
        <w:noBreakHyphen/>
        <w:t>compliance with Basel norms can trigger severe penalties: monetary fines, operational restrictions, and limitations on capital distributions such as dividends or share buybacks. In cases of repeated or material breaches, regulators may impose higher capital buffers, restrict new product offerings, or enforce governance reforms. Beyond financial sanctions, non</w:t>
      </w:r>
      <w:r w:rsidRPr="00C559D8">
        <w:rPr>
          <w:rFonts w:ascii="Times New Roman" w:hAnsi="Times New Roman"/>
          <w:lang w:val="en-IN"/>
        </w:rPr>
        <w:noBreakHyphen/>
        <w:t xml:space="preserve">compliance may damage reputation, erode investor and customer confidence, </w:t>
      </w:r>
      <w:r w:rsidRPr="00C559D8">
        <w:rPr>
          <w:rFonts w:ascii="Times New Roman" w:hAnsi="Times New Roman"/>
          <w:lang w:val="en-IN"/>
        </w:rPr>
        <w:lastRenderedPageBreak/>
        <w:t>result in credit rating downgrades, raise cost of capital, and constrain market access. Collectively, these enforcement mechanisms reinforce regulatory discipline, deter systemic risk exposure, and ensure banks maintain robust internal controls and adequate buffers to absorb financial shocks.</w:t>
      </w:r>
    </w:p>
    <w:p w14:paraId="53E439E5" w14:textId="77777777" w:rsidR="00700F0C" w:rsidRDefault="00052ECB" w:rsidP="004A2821">
      <w:pPr>
        <w:spacing w:line="480" w:lineRule="auto"/>
        <w:ind w:firstLine="720"/>
        <w:jc w:val="both"/>
        <w:rPr>
          <w:rFonts w:ascii="Times New Roman" w:hAnsi="Times New Roman"/>
        </w:rPr>
      </w:pPr>
      <w:r w:rsidRPr="00782BD3">
        <w:rPr>
          <w:rFonts w:ascii="Times New Roman" w:hAnsi="Times New Roman"/>
        </w:rPr>
        <w:t xml:space="preserve">As the financial sector accelerates its digital transformation, emerging technologies are reshaping traditional banking models by driving innovation in risk management, compliance, and decision-making. Among these, Artificial Intelligence (AI) is playing an increasingly pivotal role, offering advanced capabilities that go beyond automation to include intelligent analysis and strategic foresight. </w:t>
      </w:r>
      <w:proofErr w:type="gramStart"/>
      <w:r w:rsidRPr="00782BD3">
        <w:rPr>
          <w:rFonts w:ascii="Times New Roman" w:hAnsi="Times New Roman"/>
        </w:rPr>
        <w:t>In particular, two</w:t>
      </w:r>
      <w:proofErr w:type="gramEnd"/>
      <w:r w:rsidRPr="00782BD3">
        <w:rPr>
          <w:rFonts w:ascii="Times New Roman" w:hAnsi="Times New Roman"/>
        </w:rPr>
        <w:t xml:space="preserve"> branches of AI—Predictive AI and Generative AI (GenAI)—are transforming banking by enabling more accurate forecasting, intelligent automation, and efficient regulatory compliance. While Predictive AI focuses on using historical and real-time data to anticipate future outcomes and risks, Generative AI emphasizes the creation of new outputs—such as textual interpretations, executable logic, or automated responses—from complex input patterns. Together, they offer complementary capabilities to strengthen financial institutions’ operational resilience and strategic agility.</w:t>
      </w:r>
    </w:p>
    <w:p w14:paraId="3ECC494D" w14:textId="0C038CA0" w:rsidR="00D242CE" w:rsidRDefault="00D242CE" w:rsidP="004A2821">
      <w:pPr>
        <w:spacing w:line="480" w:lineRule="auto"/>
        <w:ind w:firstLine="720"/>
        <w:jc w:val="both"/>
        <w:rPr>
          <w:rFonts w:ascii="Times New Roman" w:hAnsi="Times New Roman"/>
        </w:rPr>
      </w:pPr>
      <w:r w:rsidRPr="00D242CE">
        <w:rPr>
          <w:rFonts w:ascii="Times New Roman" w:hAnsi="Times New Roman"/>
        </w:rPr>
        <w:t>Predictive AI plays a pivotal role in advancing forward-looking credit risk management. By analyzing borrower-level transactional data, repayment behavior, and credit histories—supplemented by relevant macroeconomic indicators—it enables early identification of potential defaults and credit deterioration. These insights allow banks to move beyond static, retrospective credit assessments toward proactive and dynamic risk evaluation. Key applications include real-time credit scoring, early-warning systems, and stress testing of loan portfolios under adverse scenarios. This predictive capability enhances the precision of credit underwriting, supports risk-based pricing, and strengthens alignment between credit decisions and evolving risk exposures.</w:t>
      </w:r>
    </w:p>
    <w:p w14:paraId="68A03DC1" w14:textId="6257877E" w:rsidR="006F6378" w:rsidRPr="006F6378" w:rsidRDefault="006F6378" w:rsidP="004A2821">
      <w:pPr>
        <w:spacing w:line="480" w:lineRule="auto"/>
        <w:ind w:firstLine="720"/>
        <w:jc w:val="both"/>
        <w:rPr>
          <w:rFonts w:ascii="Times New Roman" w:hAnsi="Times New Roman"/>
        </w:rPr>
      </w:pPr>
      <w:r w:rsidRPr="006F6378">
        <w:rPr>
          <w:rFonts w:ascii="Times New Roman" w:hAnsi="Times New Roman"/>
        </w:rPr>
        <w:lastRenderedPageBreak/>
        <w:t>Generative AI, by contrast, addresses the complexity of regulatory compliance and risk reporting. It can translate intricate financial regulations into machine-readable logic, reducing reliance on manual interpretation and mitigating the risk of non-compliance. GenAI can also automate the calculation of Risk Weights (RW) and Risk-Weighted Assets (RWA) during client onboarding, enabling faster and more accurate exposure evaluation. Furthermore, its ability to simulate the effects of regulatory changes allows banks to proactively adapt their strategies—transforming compliance from a reactive obligation into a source of strategic advantage.</w:t>
      </w:r>
    </w:p>
    <w:p w14:paraId="53E439E8" w14:textId="153769C5" w:rsidR="00700F0C" w:rsidRPr="00782BD3" w:rsidRDefault="00052ECB" w:rsidP="004A2821">
      <w:pPr>
        <w:spacing w:line="480" w:lineRule="auto"/>
        <w:ind w:firstLine="720"/>
        <w:jc w:val="both"/>
        <w:rPr>
          <w:rFonts w:ascii="Times New Roman" w:hAnsi="Times New Roman"/>
        </w:rPr>
      </w:pPr>
      <w:r w:rsidRPr="00782BD3">
        <w:rPr>
          <w:rFonts w:ascii="Times New Roman" w:hAnsi="Times New Roman"/>
        </w:rPr>
        <w:t xml:space="preserve">However, despite the transformative potential of these technologies, a critical research gap remains in their integrated application for proactive credit risk management. Current industry practices largely treat predictive and </w:t>
      </w:r>
      <w:r w:rsidR="003B76A0">
        <w:rPr>
          <w:rFonts w:ascii="Times New Roman" w:hAnsi="Times New Roman"/>
        </w:rPr>
        <w:t>G</w:t>
      </w:r>
      <w:r w:rsidRPr="00782BD3">
        <w:rPr>
          <w:rFonts w:ascii="Times New Roman" w:hAnsi="Times New Roman"/>
        </w:rPr>
        <w:t xml:space="preserve">enerative AI in isolation. Traditional credit assessment frameworks depend on historical data and fixed models, which struggle to adapt to rapidly evolving borrower behavior and macroeconomic volatility. A unified, AI-driven approach—combining predictive analytics for forward-looking credit evaluation with </w:t>
      </w:r>
      <w:r w:rsidR="003B76A0">
        <w:rPr>
          <w:rFonts w:ascii="Times New Roman" w:hAnsi="Times New Roman"/>
        </w:rPr>
        <w:t>G</w:t>
      </w:r>
      <w:r w:rsidRPr="00782BD3">
        <w:rPr>
          <w:rFonts w:ascii="Times New Roman" w:hAnsi="Times New Roman"/>
        </w:rPr>
        <w:t>enerative AI for dynamic regulatory interpretation—could fundamentally reshape how banks assess creditworthiness, manage exposures, and respond to regulatory change in near real-time.</w:t>
      </w:r>
    </w:p>
    <w:p w14:paraId="53E439EA" w14:textId="77777777" w:rsidR="00700F0C" w:rsidRPr="00782BD3" w:rsidRDefault="00052ECB" w:rsidP="00285FE6">
      <w:pPr>
        <w:pStyle w:val="Heading1"/>
      </w:pPr>
      <w:bookmarkStart w:id="2" w:name="Literature_Review"/>
      <w:r w:rsidRPr="00782BD3">
        <w:t>Literature Review</w:t>
      </w:r>
      <w:bookmarkEnd w:id="2"/>
    </w:p>
    <w:p w14:paraId="3A29610A" w14:textId="3E87BDBF" w:rsidR="009E3069" w:rsidRPr="00782BD3" w:rsidRDefault="009E3069" w:rsidP="004A2821">
      <w:pPr>
        <w:spacing w:line="480" w:lineRule="auto"/>
        <w:ind w:firstLine="720"/>
        <w:jc w:val="both"/>
        <w:rPr>
          <w:rFonts w:ascii="Times New Roman" w:hAnsi="Times New Roman"/>
        </w:rPr>
      </w:pPr>
      <w:r w:rsidRPr="00782BD3">
        <w:rPr>
          <w:rFonts w:ascii="Times New Roman" w:hAnsi="Times New Roman"/>
        </w:rPr>
        <w:t xml:space="preserve">Recent studies have increasingly applied machine learning techniques to improve credit risk assessment. </w:t>
      </w:r>
      <w:r w:rsidR="0046587C">
        <w:rPr>
          <w:rFonts w:ascii="Times New Roman" w:hAnsi="Times New Roman"/>
        </w:rPr>
        <w:fldChar w:fldCharType="begin"/>
      </w:r>
      <w:r w:rsidR="0046587C">
        <w:rPr>
          <w:rFonts w:ascii="Times New Roman" w:hAnsi="Times New Roman"/>
        </w:rPr>
        <w:instrText xml:space="preserve"> ADDIN ZOTERO_ITEM CSL_CITATION {"citationID":"ywnO3hDt","properties":{"formattedCitation":"(Khandani et al., 2010)","plainCitation":"(Khandani et al., 2010)","noteIndex":0},"citationItems":[{"id":6622,"uris":["http://zotero.org/users/8997618/items/T6S3NPQ4"],"itemData":{"id":6622,"type":"article-journal","abstract":"We apply machine-learning techniques to construct nonlinear nonparametric forecasting models of consumer credit risk. By combining customer transactions and credit bureau data from January 2005 to April 2009 for a sample of a major commercial bank’s customers, we are able to construct out-of-sample forecasts that signiﬁcantly improve the classiﬁcation rates of credit-card-holder delinquencies and defaults, with linear regression R2’s of forecasted/realized delinquencies of 85%. Using conservative assumptions for the costs and beneﬁts of cutting credit lines based on machine-learning forecasts, we estimate the cost savings to range from 6% to 25% of total losses. Moreover, the time-series patterns of estimated delinquency rates from this model over the course of the recent ﬁnancial crisis suggests that aggregated consumer-credit risk analytics may have important applications in forecasting systemic risk.","container-title":"Journal of Banking &amp; Finance","DOI":"10.1016/j.jbankfin.2010.06.001","ISSN":"03784266","issue":"11","journalAbbreviation":"Journal of Banking &amp; Finance","language":"en","license":"https://www.elsevier.com/tdm/userlicense/1.0/","page":"2767-2787","source":"DOI.org (Crossref)","title":"Consumer credit-risk models via machine-learning algorithms","volume":"34","author":[{"family":"Khandani","given":"Amir E."},{"family":"Kim","given":"Adlar J."},{"family":"Lo","given":"Andrew W."}],"issued":{"date-parts":[["2010",11]]}}}],"schema":"https://github.com/citation-style-language/schema/raw/master/csl-citation.json"} </w:instrText>
      </w:r>
      <w:r w:rsidR="0046587C">
        <w:rPr>
          <w:rFonts w:ascii="Times New Roman" w:hAnsi="Times New Roman"/>
        </w:rPr>
        <w:fldChar w:fldCharType="separate"/>
      </w:r>
      <w:r w:rsidR="0046587C" w:rsidRPr="0046587C">
        <w:rPr>
          <w:rFonts w:ascii="Times New Roman" w:hAnsi="Times New Roman"/>
        </w:rPr>
        <w:t>(Khandani et al., 2010)</w:t>
      </w:r>
      <w:r w:rsidR="0046587C">
        <w:rPr>
          <w:rFonts w:ascii="Times New Roman" w:hAnsi="Times New Roman"/>
        </w:rPr>
        <w:fldChar w:fldCharType="end"/>
      </w:r>
      <w:r w:rsidR="002563E7">
        <w:rPr>
          <w:rFonts w:ascii="Times New Roman" w:hAnsi="Times New Roman"/>
        </w:rPr>
        <w:t xml:space="preserve"> </w:t>
      </w:r>
      <w:r w:rsidRPr="00782BD3">
        <w:rPr>
          <w:rFonts w:ascii="Times New Roman" w:hAnsi="Times New Roman"/>
        </w:rPr>
        <w:t xml:space="preserve">demonstrated that decision tree models outperform traditional credit scoring approaches when applied to consumer lending data. Building on this, </w:t>
      </w:r>
      <w:r w:rsidR="008C53B8">
        <w:rPr>
          <w:rFonts w:ascii="Times New Roman" w:hAnsi="Times New Roman"/>
        </w:rPr>
        <w:fldChar w:fldCharType="begin"/>
      </w:r>
      <w:r w:rsidR="008C53B8">
        <w:rPr>
          <w:rFonts w:ascii="Times New Roman" w:hAnsi="Times New Roman"/>
        </w:rPr>
        <w:instrText xml:space="preserve"> ADDIN ZOTERO_ITEM CSL_CITATION {"citationID":"cANy1Y1C","properties":{"formattedCitation":"(De Lange et al., 2022)","plainCitation":"(De Lange et al., 2022)","noteIndex":0},"citationItems":[{"id":6623,"uris":["http://zotero.org/users/8997618/items/C9T9NU4H"],"itemData":{"id":6623,"type":"article-journal","abstract":"Banks’ credit scoring models are required by ﬁnancial authorities to be explainable. This paper proposes an explainable artiﬁcial intelligence (XAI) model for predicting credit default on a unique dataset of unsecured consumer loans provided by a Norwegian bank. We combined a LightGBM model with SHAP, which enables the interpretation of explanatory variables affecting the predictions. The LightGBM model clearly outperforms the bank’s actual credit scoring model (Logistic Regression). We found that the most important explanatory variables for predicting default in the LightGBM model are the volatility of utilized credit balance, remaining credit in percentage of total credit and the duration of the customer relationship. Our main contribution is the implementation of XAI methods in banking, exploring how these methods can be applied to improve the interpretability and reliability of state-of-the-art AI models. We also suggest a method for analyzing the potential economic value of an improved credit scoring model.","container-title":"Journal of Risk and Financial Management","DOI":"10.3390/jrfm15120556","ISSN":"1911-8074","issue":"12","journalAbbreviation":"JRFM","language":"en","license":"https://creativecommons.org/licenses/by/4.0/","page":"556","source":"DOI.org (Crossref)","title":"Explainable AI for Credit Assessment in Banks","volume":"15","author":[{"family":"De Lange","given":"Petter Eilif"},{"family":"Melsom","given":"Borger"},{"family":"Vennerød","given":"Christian Bakke"},{"family":"Westgaard","given":"Sjur"}],"issued":{"date-parts":[["2022",11,28]]}}}],"schema":"https://github.com/citation-style-language/schema/raw/master/csl-citation.json"} </w:instrText>
      </w:r>
      <w:r w:rsidR="008C53B8">
        <w:rPr>
          <w:rFonts w:ascii="Times New Roman" w:hAnsi="Times New Roman"/>
        </w:rPr>
        <w:fldChar w:fldCharType="separate"/>
      </w:r>
      <w:r w:rsidR="008C53B8" w:rsidRPr="008C53B8">
        <w:rPr>
          <w:rFonts w:ascii="Times New Roman" w:hAnsi="Times New Roman"/>
        </w:rPr>
        <w:t>(De Lange et al., 2022)</w:t>
      </w:r>
      <w:r w:rsidR="008C53B8">
        <w:rPr>
          <w:rFonts w:ascii="Times New Roman" w:hAnsi="Times New Roman"/>
        </w:rPr>
        <w:fldChar w:fldCharType="end"/>
      </w:r>
      <w:r w:rsidRPr="00782BD3">
        <w:rPr>
          <w:rFonts w:ascii="Times New Roman" w:hAnsi="Times New Roman"/>
        </w:rPr>
        <w:t xml:space="preserve"> integrated SHAP values with </w:t>
      </w:r>
      <w:proofErr w:type="spellStart"/>
      <w:r w:rsidRPr="00782BD3">
        <w:rPr>
          <w:rFonts w:ascii="Times New Roman" w:hAnsi="Times New Roman"/>
        </w:rPr>
        <w:t>LightGBM</w:t>
      </w:r>
      <w:proofErr w:type="spellEnd"/>
      <w:r w:rsidRPr="00782BD3">
        <w:rPr>
          <w:rFonts w:ascii="Times New Roman" w:hAnsi="Times New Roman"/>
        </w:rPr>
        <w:t xml:space="preserve"> models to enhance model interpretability, aligning predictive analytics with regulatory requirements for explainability. </w:t>
      </w:r>
      <w:r w:rsidR="008E1CD9">
        <w:rPr>
          <w:rFonts w:ascii="Times New Roman" w:hAnsi="Times New Roman"/>
        </w:rPr>
        <w:fldChar w:fldCharType="begin"/>
      </w:r>
      <w:r w:rsidR="008E1CD9">
        <w:rPr>
          <w:rFonts w:ascii="Times New Roman" w:hAnsi="Times New Roman"/>
        </w:rPr>
        <w:instrText xml:space="preserve"> ADDIN ZOTERO_ITEM CSL_CITATION {"citationID":"VNbPtmGV","properties":{"formattedCitation":"(Sigrist &amp; Leuenberger, 2023)","plainCitation":"(Sigrist &amp; Leuenberger, 2023)","noteIndex":0},"citationItems":[{"id":6624,"uris":["http://zotero.org/users/8997618/items/39XBQHND"],"itemData":{"id":6624,"type":"article-journal","abstract":"We model multi-period cumulative and forward corporate default probabilities using machine learning methods and introduce a novel hybrid econometric-machine learning model which combines treeboosting with a latent frailty model. The latter allows for modeling correlation that is not accounted for by observable predictor variables. We ﬁnd that machine learning methods have higher prediction accuracy compared to linear models with the differences being larger for longer prediction horizons. The likely reason for this is the presence of stronger interaction effects for longer prediction horizons compared to short horizons. Among all methods, tree-boosting has the highest prediction accuracy. Further, the frailty component of the newly proposed “LaGaBoost frailty model” is overall large and exhibits strong variation over time. In contrast to prior research, we ﬁnd that upper tail predictions of loan portfolio losses of frailty models are not consistently higher throughout time compared to models ignoring frailty correlation, but they show more temporal variation.","container-title":"European Journal of Operational Research","DOI":"10.1016/j.ejor.2022.06.035","ISSN":"03772217","issue":"3","journalAbbreviation":"European Journal of Operational Research","language":"en","page":"1390-1406","source":"DOI.org (Crossref)","title":"Machine learning for corporate default risk: Multi-period prediction, frailty correlation, loan portfolios, and tail probabilities","title-short":"Machine learning for corporate default risk","volume":"305","author":[{"family":"Sigrist","given":"Fabio"},{"family":"Leuenberger","given":"Nicola"}],"issued":{"date-parts":[["2023",3]]}}}],"schema":"https://github.com/citation-style-language/schema/raw/master/csl-citation.json"} </w:instrText>
      </w:r>
      <w:r w:rsidR="008E1CD9">
        <w:rPr>
          <w:rFonts w:ascii="Times New Roman" w:hAnsi="Times New Roman"/>
        </w:rPr>
        <w:fldChar w:fldCharType="separate"/>
      </w:r>
      <w:r w:rsidR="008E1CD9" w:rsidRPr="008E1CD9">
        <w:rPr>
          <w:rFonts w:ascii="Times New Roman" w:hAnsi="Times New Roman"/>
        </w:rPr>
        <w:t>(Sigrist &amp; Leuenberger, 2023)</w:t>
      </w:r>
      <w:r w:rsidR="008E1CD9">
        <w:rPr>
          <w:rFonts w:ascii="Times New Roman" w:hAnsi="Times New Roman"/>
        </w:rPr>
        <w:fldChar w:fldCharType="end"/>
      </w:r>
      <w:r w:rsidR="008E1CD9">
        <w:rPr>
          <w:rFonts w:ascii="Times New Roman" w:hAnsi="Times New Roman"/>
        </w:rPr>
        <w:t xml:space="preserve"> </w:t>
      </w:r>
      <w:r w:rsidRPr="00782BD3">
        <w:rPr>
          <w:rFonts w:ascii="Times New Roman" w:hAnsi="Times New Roman"/>
        </w:rPr>
        <w:t>introduced a time-varying default risk model that incorporates latent risk factors, offering a more nuanced approach to corporate credit evaluation. In a domain-</w:t>
      </w:r>
      <w:r w:rsidRPr="00782BD3">
        <w:rPr>
          <w:rFonts w:ascii="Times New Roman" w:hAnsi="Times New Roman"/>
        </w:rPr>
        <w:lastRenderedPageBreak/>
        <w:t>specific context,</w:t>
      </w:r>
      <w:r w:rsidR="00EE16EB">
        <w:rPr>
          <w:rFonts w:ascii="Times New Roman" w:hAnsi="Times New Roman"/>
        </w:rPr>
        <w:t xml:space="preserve"> </w:t>
      </w:r>
      <w:r w:rsidR="00EE16EB">
        <w:rPr>
          <w:rFonts w:ascii="Times New Roman" w:hAnsi="Times New Roman"/>
        </w:rPr>
        <w:fldChar w:fldCharType="begin"/>
      </w:r>
      <w:r w:rsidR="00EE16EB">
        <w:rPr>
          <w:rFonts w:ascii="Times New Roman" w:hAnsi="Times New Roman"/>
        </w:rPr>
        <w:instrText xml:space="preserve"> ADDIN ZOTERO_ITEM CSL_CITATION {"citationID":"xTUKIrx2","properties":{"formattedCitation":"(Kumar et al., 2023)","plainCitation":"(Kumar et al., 2023)","noteIndex":0},"citationItems":[{"id":6621,"uris":["http://zotero.org/users/8997618/items/CBABVKSW"],"itemData":{"id":6621,"type":"article-journal","abstract":"Every real-world scenario is now digitally replicated in order to reduce paperwork and human labor costs. Machine Learning (ML) models are also being used to make predictions in these applications. Accurate forecasting requires knowledge of these machine learning models and their distinguishing features. The datasets we use as input for each of these different types of ML models, yielding different results. The choice of an ML model for a dataset is critical. A loan risk model is used to show how ML models for a dataset can be linked together. The purpose of this study is to look into how we could use machine learning to quantify or forecast mortgage credit risk. This phrase refers to the process of evaluating massive amounts of data in order to derive useful information for making decisions in a variety of ﬁelds. If credit risk is considered, a method based on an examination of what caused and how mortgage credit risk affected credit defaults during the still-current economic crisis of 2021 will be tried. Various approaches to credit risk calculation will be examined, ranging from the most basic to the most complex. In addition, we will conduct a case study on a sample of mortgage loans and compare the results of three different analytical approaches, logistic regression, decision tree, and gradient boost to see which one produced the most commercially useful insights.","container-title":"Big Data Mining and Analytics","DOI":"10.26599/BDMA.2022.9020037","ISSN":"2096-0654, 2097-406X","issue":"4","journalAbbreviation":"Big Data Min. Anal.","language":"en","page":"478-490","source":"DOI.org (Crossref)","title":"AI-Based Hybrid Models for Predicting Loan Risk in the Banking Sector","volume":"6","author":[{"family":"Kumar","given":"Vikas"},{"family":"Saheb","given":"Shaiku Shahida"},{"literal":"Preeti"},{"family":"Ghayas","given":"Atif"},{"family":"Kumari","given":"Sunil"},{"family":"Chandel","given":"Jai Kishan"},{"family":"Pandey","given":"Saroj Kumar"},{"family":"Kumar","given":"Santosh"}],"issued":{"date-parts":[["2023",12]]}}}],"schema":"https://github.com/citation-style-language/schema/raw/master/csl-citation.json"} </w:instrText>
      </w:r>
      <w:r w:rsidR="00EE16EB">
        <w:rPr>
          <w:rFonts w:ascii="Times New Roman" w:hAnsi="Times New Roman"/>
        </w:rPr>
        <w:fldChar w:fldCharType="separate"/>
      </w:r>
      <w:r w:rsidR="00EE16EB" w:rsidRPr="00EE16EB">
        <w:rPr>
          <w:rFonts w:ascii="Times New Roman" w:hAnsi="Times New Roman"/>
        </w:rPr>
        <w:t>(Kumar et al., 2023)</w:t>
      </w:r>
      <w:r w:rsidR="00EE16EB">
        <w:rPr>
          <w:rFonts w:ascii="Times New Roman" w:hAnsi="Times New Roman"/>
        </w:rPr>
        <w:fldChar w:fldCharType="end"/>
      </w:r>
      <w:r w:rsidRPr="00782BD3">
        <w:rPr>
          <w:rFonts w:ascii="Times New Roman" w:hAnsi="Times New Roman"/>
        </w:rPr>
        <w:t xml:space="preserve"> evaluated various AI models on Indian mortgage datasets to assess both predictive accuracy and operational feasibility. Collectively, these contributions illustrate the evolution of credit risk modeling from basic prediction to frameworks that are dynamic, explainable, and aligned with real-world regulatory expectations.</w:t>
      </w:r>
    </w:p>
    <w:p w14:paraId="24827E52" w14:textId="04D69D4A" w:rsidR="003567CE" w:rsidRDefault="009E3069" w:rsidP="00D11EAE">
      <w:pPr>
        <w:spacing w:line="480" w:lineRule="auto"/>
        <w:ind w:firstLine="720"/>
        <w:jc w:val="both"/>
        <w:rPr>
          <w:rFonts w:ascii="Times New Roman" w:hAnsi="Times New Roman"/>
        </w:rPr>
        <w:sectPr w:rsidR="003567CE" w:rsidSect="00782BD3">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440" w:bottom="1440" w:left="1440" w:header="709" w:footer="709" w:gutter="0"/>
          <w:pgNumType w:start="1"/>
          <w:cols w:space="708"/>
          <w:docGrid w:linePitch="326"/>
        </w:sectPr>
      </w:pPr>
      <w:r w:rsidRPr="00782BD3">
        <w:rPr>
          <w:rFonts w:ascii="Times New Roman" w:hAnsi="Times New Roman"/>
        </w:rPr>
        <w:t xml:space="preserve">Parallel to advances in predictive modeling, recent research has explored the application of generative AI in the domain of financial regulation, encompassing tasks such as regulatory retrieval, reasoning, and automation. </w:t>
      </w:r>
      <w:r w:rsidR="00B40E8A">
        <w:rPr>
          <w:rFonts w:ascii="Times New Roman" w:hAnsi="Times New Roman"/>
        </w:rPr>
        <w:fldChar w:fldCharType="begin"/>
      </w:r>
      <w:r w:rsidR="00B40E8A">
        <w:rPr>
          <w:rFonts w:ascii="Times New Roman" w:hAnsi="Times New Roman"/>
        </w:rPr>
        <w:instrText xml:space="preserve"> ADDIN ZOTERO_ITEM CSL_CITATION {"citationID":"WdcIyVCm","properties":{"formattedCitation":"(Haeri et al., 2025)","plainCitation":"(Haeri et al., 2025)","noteIndex":0},"citationItems":[{"id":6614,"uris":["http://zotero.org/users/8997618/items/DM6A6AV4"],"itemData":{"id":6614,"type":"article","abstract":"Risk management in finance involves recognizing, evaluating, and addressing financial risks to maintain stability and ensure regulatory compliance. Extracting relevant insights from extensive regulatory documents is a complex challenge requiring advanced retrieval and language models. This paper introduces RiskData1, a dataset specifically curated for finetuning embedding models in risk management, and RiskEmbed2, a finetuned embedding model designed to improve retrieval accuracy in financial question-answering systems. The dataset is derived from 94 regulatory guidelines published by the Office of the Superintendent of Financial Institutions (OSFI) from 1991 to 2024. We finetune a state-of-the-art sentence BERT embedding model to enhance domain-specific retrieval performance typically for Retrieval-Augmented Generation (RAG) systems. Experimental results demonstrate that RiskEmbed significantly outperforms general-purpose and financial embedding models, achieving substantial improvements in ranking metrics. By open-sourcing both the dataset and the model, we provide a valuable resource for financial institutions and researchers aiming to develop more accurate and efficient risk management AI solutions.","DOI":"10.48550/arXiv.2504.06293","language":"en","note":"arXiv:2504.06293 [q-fin]","number":"arXiv:2504.06293","publisher":"arXiv","source":"arXiv.org","title":"Generative AI Enhanced Financial Risk Management Information Retrieval","URL":"http://arxiv.org/abs/2504.06293","author":[{"family":"Haeri","given":"Amin"},{"family":"Vitrano","given":"Jonathan"},{"family":"Ghelichi","given":"Mahdi"}],"accessed":{"date-parts":[["2025",8,3]]},"issued":{"date-parts":[["2025",4,10]]}}}],"schema":"https://github.com/citation-style-language/schema/raw/master/csl-citation.json"} </w:instrText>
      </w:r>
      <w:r w:rsidR="00B40E8A">
        <w:rPr>
          <w:rFonts w:ascii="Times New Roman" w:hAnsi="Times New Roman"/>
        </w:rPr>
        <w:fldChar w:fldCharType="separate"/>
      </w:r>
      <w:r w:rsidR="00B40E8A" w:rsidRPr="00B40E8A">
        <w:rPr>
          <w:rFonts w:ascii="Times New Roman" w:hAnsi="Times New Roman"/>
        </w:rPr>
        <w:t>(Haeri et al., 2025)</w:t>
      </w:r>
      <w:r w:rsidR="00B40E8A">
        <w:rPr>
          <w:rFonts w:ascii="Times New Roman" w:hAnsi="Times New Roman"/>
        </w:rPr>
        <w:fldChar w:fldCharType="end"/>
      </w:r>
      <w:r w:rsidRPr="00782BD3">
        <w:rPr>
          <w:rFonts w:ascii="Times New Roman" w:hAnsi="Times New Roman"/>
        </w:rPr>
        <w:t xml:space="preserve"> introduced </w:t>
      </w:r>
      <w:proofErr w:type="spellStart"/>
      <w:r w:rsidRPr="00782BD3">
        <w:rPr>
          <w:rFonts w:ascii="Times New Roman" w:hAnsi="Times New Roman"/>
        </w:rPr>
        <w:t>RiskEmbed</w:t>
      </w:r>
      <w:proofErr w:type="spellEnd"/>
      <w:r w:rsidRPr="00782BD3">
        <w:rPr>
          <w:rFonts w:ascii="Times New Roman" w:hAnsi="Times New Roman"/>
        </w:rPr>
        <w:t xml:space="preserve">, a domain-specific embedding model and benchmark dataset designed to enhance retrieval performance in regulatory question-answering tasks. </w:t>
      </w:r>
      <w:r w:rsidR="00131DAF">
        <w:rPr>
          <w:rFonts w:ascii="Times New Roman" w:hAnsi="Times New Roman"/>
        </w:rPr>
        <w:fldChar w:fldCharType="begin"/>
      </w:r>
      <w:r w:rsidR="00131DAF">
        <w:rPr>
          <w:rFonts w:ascii="Times New Roman" w:hAnsi="Times New Roman"/>
        </w:rPr>
        <w:instrText xml:space="preserve"> ADDIN ZOTERO_ITEM CSL_CITATION {"citationID":"HaPMJKBv","properties":{"formattedCitation":"(Fazlija et al., 2025)","plainCitation":"(Fazlija et al., 2025)","noteIndex":0},"citationItems":[{"id":6612,"uris":["http://zotero.org/users/8997618/items/MR57WDIB"],"itemData":{"id":6612,"type":"article","abstract":"To strengthen financial stability, regulators worldwide have expanded requirements, impacting the profitability of financial institutions due to stricter capital requirements and increasing the costs for financial institutions’ regulatory implementation projects and ongoing monitoring. These projects are complex, requiring expert teams, new software for reporting and compliance monitoring, and supporting databases. Recent advancements in generative artificial intelligence (GenAI), particularly large language models (LLMs), are expected to reduce the burden on institutions in these complex implementations, particularly in software development. This paper introduces a novel dataset along with over 6,000 test cases derived from the Basel III standard approach for credit risk, enabling LLM-driven benchmarking for text-to-code capabilities and regulatory text interpretation. We evaluate text-to-code generation capabilities across various state-of-the-art LLMs, temperature settings and in-context learning techniques. Advanced prompt engineering is used to enhance code generation. The generated codes are evaluated on test cases, using an unbiased pass@k proxy ––a measure for assessing code generation performance–– achieving pass@1 rates of up to 75.38% and pass@10 rates of up to 91.67%. Additionally, we propose workflows that combine LLMs together with human expertise to enhance regulatory implementation.","DOI":"10.2139/ssrn.5010694","language":"en","publisher":"SSRN","source":"DOI.org (Crossref)","title":"Implementing Financial Regulations Using Large Language Models","URL":"https://www.ssrn.com/abstract=5010694","author":[{"family":"Fazlija","given":"Bledar"},{"family":"Ibraimi","given":"Meriton"},{"family":"Forouzandeh","given":"Aynaz"},{"family":"Fazlija","given":"Arber"}],"accessed":{"date-parts":[["2025",8,3]]},"issued":{"date-parts":[["2025"]]}}}],"schema":"https://github.com/citation-style-language/schema/raw/master/csl-citation.json"} </w:instrText>
      </w:r>
      <w:r w:rsidR="00131DAF">
        <w:rPr>
          <w:rFonts w:ascii="Times New Roman" w:hAnsi="Times New Roman"/>
        </w:rPr>
        <w:fldChar w:fldCharType="separate"/>
      </w:r>
      <w:r w:rsidR="00131DAF" w:rsidRPr="00131DAF">
        <w:rPr>
          <w:rFonts w:ascii="Times New Roman" w:hAnsi="Times New Roman"/>
        </w:rPr>
        <w:t>(Fazlija et al., 2025)</w:t>
      </w:r>
      <w:r w:rsidR="00131DAF">
        <w:rPr>
          <w:rFonts w:ascii="Times New Roman" w:hAnsi="Times New Roman"/>
        </w:rPr>
        <w:fldChar w:fldCharType="end"/>
      </w:r>
      <w:r w:rsidRPr="00782BD3">
        <w:rPr>
          <w:rFonts w:ascii="Times New Roman" w:hAnsi="Times New Roman"/>
        </w:rPr>
        <w:t xml:space="preserve"> evaluated prompting strategies for Basel III interpretation and found that chain-of-thought prompting improves the accuracy of risk weight assignments. In a complementary study, they demonstrated the feasibility of converting regulatory texts into executable Python code, facilitating automation of compliance logic. </w:t>
      </w:r>
      <w:r w:rsidR="00D0683F">
        <w:rPr>
          <w:rFonts w:ascii="Times New Roman" w:hAnsi="Times New Roman"/>
        </w:rPr>
        <w:fldChar w:fldCharType="begin"/>
      </w:r>
      <w:r w:rsidR="00D0683F">
        <w:rPr>
          <w:rFonts w:ascii="Times New Roman" w:hAnsi="Times New Roman"/>
        </w:rPr>
        <w:instrText xml:space="preserve"> ADDIN ZOTERO_ITEM CSL_CITATION {"citationID":"VfOHigC7","properties":{"formattedCitation":"(Cao &amp; Feinstein, 2024)","plainCitation":"(Cao &amp; Feinstein, 2024)","noteIndex":0},"citationItems":[{"id":6611,"uris":["http://zotero.org/users/8997618/items/BGHVEKWP"],"itemData":{"id":6611,"type":"article","abstract":"This study explores the innovative use of Large Language Models (LLMs) as analytical tools for interpreting complex financial regulations. The primary objective is to design effective prompts that guide LLMs in distilling verbose and intricate regulatory texts, such as the Basel III capital requirement regulations, into a concise mathematical framework that can be subsequently translated into actionable code. This novel approach aims to streamline the implementation of regulatory mandates within the financial reporting and risk management systems of global banking institutions. A case study was conducted to assess the performance of various LLMs, demonstrating that GPT-4 outperforms other models in processing and collecting necessary information, as well as executing mathematical calculations. The case study utilized numerical simulations with asset holdings –including fixed income, equities, currency pairs, and commodities – to demonstrate how LLMs can effectively implement the Basel III capital adequacy requirements.","DOI":"10.48550/arXiv.2405.06808","language":"en","note":"arXiv:2405.06808 [q-fin]","number":"arXiv:2405.06808","publisher":"arXiv","source":"arXiv.org","title":"Large Language Model in Financial Regulatory Interpretation","URL":"http://arxiv.org/abs/2405.06808","author":[{"family":"Cao","given":"Zhiyu"},{"family":"Feinstein","given":"Zachary"}],"accessed":{"date-parts":[["2025",8,3]]},"issued":{"date-parts":[["2024",7,10]]}}}],"schema":"https://github.com/citation-style-language/schema/raw/master/csl-citation.json"} </w:instrText>
      </w:r>
      <w:r w:rsidR="00D0683F">
        <w:rPr>
          <w:rFonts w:ascii="Times New Roman" w:hAnsi="Times New Roman"/>
        </w:rPr>
        <w:fldChar w:fldCharType="separate"/>
      </w:r>
      <w:r w:rsidR="00D0683F" w:rsidRPr="00D0683F">
        <w:rPr>
          <w:rFonts w:ascii="Times New Roman" w:hAnsi="Times New Roman"/>
        </w:rPr>
        <w:t>(Cao &amp; Feinstein, 2024)</w:t>
      </w:r>
      <w:r w:rsidR="00D0683F">
        <w:rPr>
          <w:rFonts w:ascii="Times New Roman" w:hAnsi="Times New Roman"/>
        </w:rPr>
        <w:fldChar w:fldCharType="end"/>
      </w:r>
      <w:r w:rsidRPr="00782BD3">
        <w:rPr>
          <w:rFonts w:ascii="Times New Roman" w:hAnsi="Times New Roman"/>
        </w:rPr>
        <w:t xml:space="preserve"> </w:t>
      </w:r>
      <w:r w:rsidR="00204B83" w:rsidRPr="00782BD3">
        <w:rPr>
          <w:rFonts w:ascii="Times New Roman" w:hAnsi="Times New Roman"/>
        </w:rPr>
        <w:t>contributed</w:t>
      </w:r>
      <w:r w:rsidRPr="00782BD3">
        <w:rPr>
          <w:rFonts w:ascii="Times New Roman" w:hAnsi="Times New Roman"/>
        </w:rPr>
        <w:t xml:space="preserve"> prompt engineering strategies for interpreting market risk regulations, advancing the development of regulatory question-answering frameworks. </w:t>
      </w:r>
      <w:r w:rsidR="00D0683F">
        <w:rPr>
          <w:rFonts w:ascii="Times New Roman" w:hAnsi="Times New Roman"/>
        </w:rPr>
        <w:fldChar w:fldCharType="begin"/>
      </w:r>
      <w:r w:rsidR="00D0683F">
        <w:rPr>
          <w:rFonts w:ascii="Times New Roman" w:hAnsi="Times New Roman"/>
        </w:rPr>
        <w:instrText xml:space="preserve"> ADDIN ZOTERO_ITEM CSL_CITATION {"citationID":"5iLC91fw","properties":{"formattedCitation":"(Joshi, n.d.)","plainCitation":"(Joshi, n.d.)","noteIndex":0},"citationItems":[{"id":6616,"uris":["http://zotero.org/users/8997618/items/JZGGRYDX"],"itemData":{"id":6616,"type":"article-journal","abstract":"The rapid advancement of generative artificial intelligence (Gen AI) has revolutionized various domains, including financial analytics. This paper provides a comprehensive review of the applications, challenges, and future directions of Gen AI in financial analytics. We explore its role in risk management, credit scoring, feature engineering, and macroeconomic simulations, while addressing limitations such as data quality, interpretability, and ethical concerns. By synthesizing insights from recent literature, we highlight the transformative potential of Gen AI and propose frameworks for its effective integration into financial workflows.","language":"en","source":"Zotero","title":"Review of Gen AI Models for Financial Risk Management: Architectural Frameworks and Implementation Strategies","author":[{"family":"Joshi","given":"Satyadhar"}]}}],"schema":"https://github.com/citation-style-language/schema/raw/master/csl-citation.json"} </w:instrText>
      </w:r>
      <w:r w:rsidR="00D0683F">
        <w:rPr>
          <w:rFonts w:ascii="Times New Roman" w:hAnsi="Times New Roman"/>
        </w:rPr>
        <w:fldChar w:fldCharType="separate"/>
      </w:r>
      <w:r w:rsidR="0073324F" w:rsidRPr="0073324F">
        <w:rPr>
          <w:rFonts w:ascii="Times New Roman" w:hAnsi="Times New Roman"/>
        </w:rPr>
        <w:t>(Joshi, n.d.)</w:t>
      </w:r>
      <w:r w:rsidR="00D0683F">
        <w:rPr>
          <w:rFonts w:ascii="Times New Roman" w:hAnsi="Times New Roman"/>
        </w:rPr>
        <w:fldChar w:fldCharType="end"/>
      </w:r>
      <w:r w:rsidR="00D0683F">
        <w:rPr>
          <w:rFonts w:ascii="Times New Roman" w:hAnsi="Times New Roman"/>
        </w:rPr>
        <w:t xml:space="preserve"> </w:t>
      </w:r>
      <w:r w:rsidRPr="00782BD3">
        <w:rPr>
          <w:rFonts w:ascii="Times New Roman" w:hAnsi="Times New Roman"/>
        </w:rPr>
        <w:t>proposed an end-to-end system architecture for integrating GenAI into financial risk workflows, thereby bridging research and operational deployment. Together, these studies trace a stepwise progression from document retrieval and interpretation to full-scale automation of regulatory compliance using generative AI.</w:t>
      </w:r>
      <w:bookmarkStart w:id="3" w:name="Objectives_of_the_Study"/>
    </w:p>
    <w:p w14:paraId="6B667C63" w14:textId="6416DC7C" w:rsidR="00173853" w:rsidRDefault="00173853" w:rsidP="00173853">
      <w:pPr>
        <w:tabs>
          <w:tab w:val="left" w:pos="142"/>
        </w:tabs>
        <w:rPr>
          <w:rFonts w:ascii="Times New Roman" w:hAnsi="Times New Roman"/>
        </w:rPr>
      </w:pPr>
    </w:p>
    <w:tbl>
      <w:tblPr>
        <w:tblW w:w="129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1526"/>
        <w:gridCol w:w="2835"/>
        <w:gridCol w:w="2681"/>
        <w:gridCol w:w="2596"/>
        <w:gridCol w:w="3338"/>
      </w:tblGrid>
      <w:tr w:rsidR="006D1116" w14:paraId="1F21C701" w14:textId="77777777">
        <w:trPr>
          <w:trHeight w:val="67"/>
        </w:trPr>
        <w:tc>
          <w:tcPr>
            <w:tcW w:w="1526" w:type="dxa"/>
            <w:noWrap/>
            <w:hideMark/>
          </w:tcPr>
          <w:p w14:paraId="55BECB03" w14:textId="77777777" w:rsidR="00572B41" w:rsidRPr="00173853" w:rsidRDefault="00572B41" w:rsidP="00A95B55">
            <w:pPr>
              <w:rPr>
                <w:rFonts w:cs="Calibri"/>
                <w:b/>
                <w:bCs/>
                <w:color w:val="000000"/>
                <w:sz w:val="22"/>
                <w:szCs w:val="22"/>
                <w:lang w:val="en-IN" w:eastAsia="en-IN"/>
              </w:rPr>
            </w:pPr>
            <w:r w:rsidRPr="00173853">
              <w:rPr>
                <w:rFonts w:cs="Calibri"/>
                <w:b/>
                <w:bCs/>
                <w:color w:val="000000"/>
                <w:sz w:val="22"/>
                <w:szCs w:val="22"/>
                <w:lang w:val="en-IN" w:eastAsia="en-IN"/>
              </w:rPr>
              <w:t>Author</w:t>
            </w:r>
          </w:p>
        </w:tc>
        <w:tc>
          <w:tcPr>
            <w:tcW w:w="2835" w:type="dxa"/>
            <w:noWrap/>
            <w:hideMark/>
          </w:tcPr>
          <w:p w14:paraId="0FCACF2A" w14:textId="77777777" w:rsidR="00572B41" w:rsidRPr="00173853" w:rsidRDefault="00572B41" w:rsidP="00A95B55">
            <w:pPr>
              <w:rPr>
                <w:rFonts w:cs="Calibri"/>
                <w:b/>
                <w:bCs/>
                <w:color w:val="000000"/>
                <w:sz w:val="22"/>
                <w:szCs w:val="22"/>
                <w:lang w:val="en-IN" w:eastAsia="en-IN"/>
              </w:rPr>
            </w:pPr>
            <w:r w:rsidRPr="00173853">
              <w:rPr>
                <w:rFonts w:cs="Calibri"/>
                <w:b/>
                <w:bCs/>
                <w:color w:val="000000"/>
                <w:sz w:val="22"/>
                <w:szCs w:val="22"/>
                <w:lang w:val="en-IN" w:eastAsia="en-IN"/>
              </w:rPr>
              <w:t>Contribution</w:t>
            </w:r>
          </w:p>
        </w:tc>
        <w:tc>
          <w:tcPr>
            <w:tcW w:w="2681" w:type="dxa"/>
            <w:noWrap/>
            <w:hideMark/>
          </w:tcPr>
          <w:p w14:paraId="727A4390" w14:textId="77777777" w:rsidR="00572B41" w:rsidRPr="00173853" w:rsidRDefault="00572B41" w:rsidP="00A95B55">
            <w:pPr>
              <w:rPr>
                <w:rFonts w:cs="Calibri"/>
                <w:b/>
                <w:bCs/>
                <w:color w:val="000000"/>
                <w:sz w:val="22"/>
                <w:szCs w:val="22"/>
                <w:lang w:val="en-IN" w:eastAsia="en-IN"/>
              </w:rPr>
            </w:pPr>
            <w:r w:rsidRPr="00173853">
              <w:rPr>
                <w:rFonts w:cs="Calibri"/>
                <w:b/>
                <w:bCs/>
                <w:color w:val="000000"/>
                <w:sz w:val="22"/>
                <w:szCs w:val="22"/>
                <w:lang w:val="en-IN" w:eastAsia="en-IN"/>
              </w:rPr>
              <w:t>Model Used</w:t>
            </w:r>
          </w:p>
        </w:tc>
        <w:tc>
          <w:tcPr>
            <w:tcW w:w="2596" w:type="dxa"/>
            <w:noWrap/>
            <w:hideMark/>
          </w:tcPr>
          <w:p w14:paraId="577EEC30" w14:textId="77777777" w:rsidR="00572B41" w:rsidRPr="00173853" w:rsidRDefault="00572B41" w:rsidP="00A95B55">
            <w:pPr>
              <w:rPr>
                <w:rFonts w:cs="Calibri"/>
                <w:b/>
                <w:bCs/>
                <w:color w:val="000000"/>
                <w:sz w:val="22"/>
                <w:szCs w:val="22"/>
                <w:lang w:val="en-IN" w:eastAsia="en-IN"/>
              </w:rPr>
            </w:pPr>
            <w:r w:rsidRPr="00173853">
              <w:rPr>
                <w:rFonts w:cs="Calibri"/>
                <w:b/>
                <w:bCs/>
                <w:color w:val="000000"/>
                <w:sz w:val="22"/>
                <w:szCs w:val="22"/>
                <w:lang w:val="en-IN" w:eastAsia="en-IN"/>
              </w:rPr>
              <w:t>Data Input</w:t>
            </w:r>
          </w:p>
        </w:tc>
        <w:tc>
          <w:tcPr>
            <w:tcW w:w="3338" w:type="dxa"/>
            <w:noWrap/>
            <w:hideMark/>
          </w:tcPr>
          <w:p w14:paraId="3B37D776" w14:textId="0DE40369" w:rsidR="00572B41" w:rsidRPr="00173853" w:rsidRDefault="00572B41">
            <w:pPr>
              <w:ind w:left="124" w:right="-1788"/>
              <w:rPr>
                <w:rFonts w:cs="Calibri"/>
                <w:b/>
                <w:bCs/>
                <w:color w:val="000000"/>
                <w:sz w:val="22"/>
                <w:szCs w:val="22"/>
                <w:lang w:val="en-IN" w:eastAsia="en-IN"/>
              </w:rPr>
            </w:pPr>
            <w:r w:rsidRPr="00173853">
              <w:rPr>
                <w:rFonts w:cs="Calibri"/>
                <w:b/>
                <w:bCs/>
                <w:color w:val="000000"/>
                <w:sz w:val="22"/>
                <w:szCs w:val="22"/>
                <w:lang w:val="en-IN" w:eastAsia="en-IN"/>
              </w:rPr>
              <w:t>Outcome</w:t>
            </w:r>
          </w:p>
        </w:tc>
      </w:tr>
      <w:tr w:rsidR="006D1116" w14:paraId="078DC832" w14:textId="77777777">
        <w:trPr>
          <w:trHeight w:val="293"/>
        </w:trPr>
        <w:tc>
          <w:tcPr>
            <w:tcW w:w="1526" w:type="dxa"/>
            <w:shd w:val="clear" w:color="auto" w:fill="F2F2F2"/>
            <w:noWrap/>
            <w:hideMark/>
          </w:tcPr>
          <w:p w14:paraId="6DDC43C8"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Fazlija et al.</w:t>
            </w:r>
          </w:p>
        </w:tc>
        <w:tc>
          <w:tcPr>
            <w:tcW w:w="2835" w:type="dxa"/>
            <w:shd w:val="clear" w:color="auto" w:fill="F2F2F2"/>
            <w:noWrap/>
            <w:hideMark/>
          </w:tcPr>
          <w:p w14:paraId="35E2099A"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Demonstrated improved regulatory reasoning using </w:t>
            </w:r>
            <w:proofErr w:type="spellStart"/>
            <w:r w:rsidRPr="00173853">
              <w:rPr>
                <w:rFonts w:cs="Calibri"/>
                <w:color w:val="000000"/>
                <w:sz w:val="22"/>
                <w:szCs w:val="22"/>
                <w:lang w:val="en-IN" w:eastAsia="en-IN"/>
              </w:rPr>
              <w:t>CoT</w:t>
            </w:r>
            <w:proofErr w:type="spellEnd"/>
            <w:r w:rsidRPr="00173853">
              <w:rPr>
                <w:rFonts w:cs="Calibri"/>
                <w:color w:val="000000"/>
                <w:sz w:val="22"/>
                <w:szCs w:val="22"/>
                <w:lang w:val="en-IN" w:eastAsia="en-IN"/>
              </w:rPr>
              <w:t>/</w:t>
            </w:r>
            <w:proofErr w:type="spellStart"/>
            <w:r w:rsidRPr="00173853">
              <w:rPr>
                <w:rFonts w:cs="Calibri"/>
                <w:color w:val="000000"/>
                <w:sz w:val="22"/>
                <w:szCs w:val="22"/>
                <w:lang w:val="en-IN" w:eastAsia="en-IN"/>
              </w:rPr>
              <w:t>ToT</w:t>
            </w:r>
            <w:proofErr w:type="spellEnd"/>
            <w:r w:rsidRPr="00173853">
              <w:rPr>
                <w:rFonts w:cs="Calibri"/>
                <w:color w:val="000000"/>
                <w:sz w:val="22"/>
                <w:szCs w:val="22"/>
                <w:lang w:val="en-IN" w:eastAsia="en-IN"/>
              </w:rPr>
              <w:t xml:space="preserve"> in Basel III credit risk</w:t>
            </w:r>
          </w:p>
        </w:tc>
        <w:tc>
          <w:tcPr>
            <w:tcW w:w="2681" w:type="dxa"/>
            <w:shd w:val="clear" w:color="auto" w:fill="F2F2F2"/>
            <w:noWrap/>
            <w:hideMark/>
          </w:tcPr>
          <w:p w14:paraId="3B972F6A"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GPT-4o, Claude 3 with Chain-of-Thought (</w:t>
            </w:r>
            <w:proofErr w:type="spellStart"/>
            <w:r w:rsidRPr="00173853">
              <w:rPr>
                <w:rFonts w:cs="Calibri"/>
                <w:color w:val="000000"/>
                <w:sz w:val="22"/>
                <w:szCs w:val="22"/>
                <w:lang w:val="en-IN" w:eastAsia="en-IN"/>
              </w:rPr>
              <w:t>CoT</w:t>
            </w:r>
            <w:proofErr w:type="spellEnd"/>
            <w:r w:rsidRPr="00173853">
              <w:rPr>
                <w:rFonts w:cs="Calibri"/>
                <w:color w:val="000000"/>
                <w:sz w:val="22"/>
                <w:szCs w:val="22"/>
                <w:lang w:val="en-IN" w:eastAsia="en-IN"/>
              </w:rPr>
              <w:t>) and Tree-of-Thought (</w:t>
            </w:r>
            <w:proofErr w:type="spellStart"/>
            <w:r w:rsidRPr="00173853">
              <w:rPr>
                <w:rFonts w:cs="Calibri"/>
                <w:color w:val="000000"/>
                <w:sz w:val="22"/>
                <w:szCs w:val="22"/>
                <w:lang w:val="en-IN" w:eastAsia="en-IN"/>
              </w:rPr>
              <w:t>ToT</w:t>
            </w:r>
            <w:proofErr w:type="spellEnd"/>
            <w:r w:rsidRPr="00173853">
              <w:rPr>
                <w:rFonts w:cs="Calibri"/>
                <w:color w:val="000000"/>
                <w:sz w:val="22"/>
                <w:szCs w:val="22"/>
                <w:lang w:val="en-IN" w:eastAsia="en-IN"/>
              </w:rPr>
              <w:t>)</w:t>
            </w:r>
          </w:p>
        </w:tc>
        <w:tc>
          <w:tcPr>
            <w:tcW w:w="2596" w:type="dxa"/>
            <w:shd w:val="clear" w:color="auto" w:fill="F2F2F2"/>
            <w:noWrap/>
            <w:hideMark/>
          </w:tcPr>
          <w:p w14:paraId="3202C083"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6,501 test cases across Basel III Standardized Approach</w:t>
            </w:r>
          </w:p>
        </w:tc>
        <w:tc>
          <w:tcPr>
            <w:tcW w:w="3338" w:type="dxa"/>
            <w:shd w:val="clear" w:color="auto" w:fill="F2F2F2"/>
            <w:noWrap/>
            <w:hideMark/>
          </w:tcPr>
          <w:p w14:paraId="2EA0349D"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Up to +13pp accuracy gain with </w:t>
            </w:r>
            <w:proofErr w:type="spellStart"/>
            <w:r w:rsidRPr="00173853">
              <w:rPr>
                <w:rFonts w:cs="Calibri"/>
                <w:color w:val="000000"/>
                <w:sz w:val="22"/>
                <w:szCs w:val="22"/>
                <w:lang w:val="en-IN" w:eastAsia="en-IN"/>
              </w:rPr>
              <w:t>CoT</w:t>
            </w:r>
            <w:proofErr w:type="spellEnd"/>
            <w:r w:rsidRPr="00173853">
              <w:rPr>
                <w:rFonts w:cs="Calibri"/>
                <w:color w:val="000000"/>
                <w:sz w:val="22"/>
                <w:szCs w:val="22"/>
                <w:lang w:val="en-IN" w:eastAsia="en-IN"/>
              </w:rPr>
              <w:t xml:space="preserve"> prompting for GPT-4o</w:t>
            </w:r>
          </w:p>
        </w:tc>
      </w:tr>
      <w:tr w:rsidR="006D1116" w14:paraId="10D47166" w14:textId="77777777">
        <w:trPr>
          <w:trHeight w:val="293"/>
        </w:trPr>
        <w:tc>
          <w:tcPr>
            <w:tcW w:w="1526" w:type="dxa"/>
            <w:noWrap/>
            <w:hideMark/>
          </w:tcPr>
          <w:p w14:paraId="6545D24B"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Haeri et al.</w:t>
            </w:r>
          </w:p>
        </w:tc>
        <w:tc>
          <w:tcPr>
            <w:tcW w:w="2835" w:type="dxa"/>
            <w:noWrap/>
            <w:hideMark/>
          </w:tcPr>
          <w:p w14:paraId="49C1F95B"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Introduced </w:t>
            </w:r>
            <w:proofErr w:type="spellStart"/>
            <w:r w:rsidRPr="00173853">
              <w:rPr>
                <w:rFonts w:cs="Calibri"/>
                <w:color w:val="000000"/>
                <w:sz w:val="22"/>
                <w:szCs w:val="22"/>
                <w:lang w:val="en-IN" w:eastAsia="en-IN"/>
              </w:rPr>
              <w:t>RiskData</w:t>
            </w:r>
            <w:proofErr w:type="spellEnd"/>
            <w:r w:rsidRPr="00173853">
              <w:rPr>
                <w:rFonts w:cs="Calibri"/>
                <w:color w:val="000000"/>
                <w:sz w:val="22"/>
                <w:szCs w:val="22"/>
                <w:lang w:val="en-IN" w:eastAsia="en-IN"/>
              </w:rPr>
              <w:t xml:space="preserve"> and </w:t>
            </w:r>
            <w:proofErr w:type="spellStart"/>
            <w:r w:rsidRPr="00173853">
              <w:rPr>
                <w:rFonts w:cs="Calibri"/>
                <w:color w:val="000000"/>
                <w:sz w:val="22"/>
                <w:szCs w:val="22"/>
                <w:lang w:val="en-IN" w:eastAsia="en-IN"/>
              </w:rPr>
              <w:t>RiskEmbed</w:t>
            </w:r>
            <w:proofErr w:type="spellEnd"/>
            <w:r w:rsidRPr="00173853">
              <w:rPr>
                <w:rFonts w:cs="Calibri"/>
                <w:color w:val="000000"/>
                <w:sz w:val="22"/>
                <w:szCs w:val="22"/>
                <w:lang w:val="en-IN" w:eastAsia="en-IN"/>
              </w:rPr>
              <w:t xml:space="preserve"> for improved retrieval in financial RAG systems</w:t>
            </w:r>
          </w:p>
        </w:tc>
        <w:tc>
          <w:tcPr>
            <w:tcW w:w="2681" w:type="dxa"/>
            <w:noWrap/>
            <w:hideMark/>
          </w:tcPr>
          <w:p w14:paraId="3187E7E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Finetuned Sentence-BERT embeddings (</w:t>
            </w:r>
            <w:proofErr w:type="spellStart"/>
            <w:r w:rsidRPr="00173853">
              <w:rPr>
                <w:rFonts w:cs="Calibri"/>
                <w:color w:val="000000"/>
                <w:sz w:val="22"/>
                <w:szCs w:val="22"/>
                <w:lang w:val="en-IN" w:eastAsia="en-IN"/>
              </w:rPr>
              <w:t>RiskEmbed</w:t>
            </w:r>
            <w:proofErr w:type="spellEnd"/>
            <w:r w:rsidRPr="00173853">
              <w:rPr>
                <w:rFonts w:cs="Calibri"/>
                <w:color w:val="000000"/>
                <w:sz w:val="22"/>
                <w:szCs w:val="22"/>
                <w:lang w:val="en-IN" w:eastAsia="en-IN"/>
              </w:rPr>
              <w:t>)</w:t>
            </w:r>
          </w:p>
        </w:tc>
        <w:tc>
          <w:tcPr>
            <w:tcW w:w="2596" w:type="dxa"/>
            <w:noWrap/>
            <w:hideMark/>
          </w:tcPr>
          <w:p w14:paraId="45D9876D" w14:textId="2FD50534"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94 OSFI regulatory guidelines (1991</w:t>
            </w:r>
            <w:r w:rsidR="0062637A">
              <w:rPr>
                <w:rFonts w:cs="Calibri"/>
                <w:color w:val="000000"/>
                <w:sz w:val="22"/>
                <w:szCs w:val="22"/>
                <w:lang w:val="en-IN" w:eastAsia="en-IN"/>
              </w:rPr>
              <w:t>-</w:t>
            </w:r>
            <w:r w:rsidRPr="00173853">
              <w:rPr>
                <w:rFonts w:cs="Calibri"/>
                <w:color w:val="000000"/>
                <w:sz w:val="22"/>
                <w:szCs w:val="22"/>
                <w:lang w:val="en-IN" w:eastAsia="en-IN"/>
              </w:rPr>
              <w:t>2024)</w:t>
            </w:r>
          </w:p>
        </w:tc>
        <w:tc>
          <w:tcPr>
            <w:tcW w:w="3338" w:type="dxa"/>
            <w:noWrap/>
            <w:hideMark/>
          </w:tcPr>
          <w:p w14:paraId="452D4500"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Improved domain-specific retrieval performance in QA systems</w:t>
            </w:r>
          </w:p>
        </w:tc>
      </w:tr>
      <w:tr w:rsidR="006D1116" w14:paraId="2130C9DB" w14:textId="77777777">
        <w:trPr>
          <w:trHeight w:val="293"/>
        </w:trPr>
        <w:tc>
          <w:tcPr>
            <w:tcW w:w="1526" w:type="dxa"/>
            <w:shd w:val="clear" w:color="auto" w:fill="F2F2F2"/>
            <w:noWrap/>
            <w:hideMark/>
          </w:tcPr>
          <w:p w14:paraId="410F0C87"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Joshi</w:t>
            </w:r>
          </w:p>
        </w:tc>
        <w:tc>
          <w:tcPr>
            <w:tcW w:w="2835" w:type="dxa"/>
            <w:shd w:val="clear" w:color="auto" w:fill="F2F2F2"/>
            <w:noWrap/>
            <w:hideMark/>
          </w:tcPr>
          <w:p w14:paraId="0424FC49"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Reviewed GenAI in finance and proposed hybrid frameworks</w:t>
            </w:r>
          </w:p>
        </w:tc>
        <w:tc>
          <w:tcPr>
            <w:tcW w:w="2681" w:type="dxa"/>
            <w:shd w:val="clear" w:color="auto" w:fill="F2F2F2"/>
            <w:noWrap/>
            <w:hideMark/>
          </w:tcPr>
          <w:p w14:paraId="19EF3372"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LLMs with traditional finance pipelines; Transformer-based models</w:t>
            </w:r>
          </w:p>
        </w:tc>
        <w:tc>
          <w:tcPr>
            <w:tcW w:w="2596" w:type="dxa"/>
            <w:shd w:val="clear" w:color="auto" w:fill="F2F2F2"/>
            <w:noWrap/>
            <w:hideMark/>
          </w:tcPr>
          <w:p w14:paraId="0895555D"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Literature synthesis, industry and academic sources</w:t>
            </w:r>
          </w:p>
        </w:tc>
        <w:tc>
          <w:tcPr>
            <w:tcW w:w="3338" w:type="dxa"/>
            <w:shd w:val="clear" w:color="auto" w:fill="F2F2F2"/>
            <w:noWrap/>
            <w:hideMark/>
          </w:tcPr>
          <w:p w14:paraId="63F8860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Architecture integrating LLMs with credit scoring, </w:t>
            </w:r>
            <w:proofErr w:type="spellStart"/>
            <w:r w:rsidRPr="00173853">
              <w:rPr>
                <w:rFonts w:cs="Calibri"/>
                <w:color w:val="000000"/>
                <w:sz w:val="22"/>
                <w:szCs w:val="22"/>
                <w:lang w:val="en-IN" w:eastAsia="en-IN"/>
              </w:rPr>
              <w:t>VaR</w:t>
            </w:r>
            <w:proofErr w:type="spellEnd"/>
            <w:r w:rsidRPr="00173853">
              <w:rPr>
                <w:rFonts w:cs="Calibri"/>
                <w:color w:val="000000"/>
                <w:sz w:val="22"/>
                <w:szCs w:val="22"/>
                <w:lang w:val="en-IN" w:eastAsia="en-IN"/>
              </w:rPr>
              <w:t>, macro sims</w:t>
            </w:r>
          </w:p>
        </w:tc>
      </w:tr>
      <w:tr w:rsidR="006D1116" w14:paraId="5CB57B77" w14:textId="77777777">
        <w:trPr>
          <w:trHeight w:val="293"/>
        </w:trPr>
        <w:tc>
          <w:tcPr>
            <w:tcW w:w="1526" w:type="dxa"/>
            <w:noWrap/>
            <w:hideMark/>
          </w:tcPr>
          <w:p w14:paraId="67BCADC6"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Cao and Feinstein</w:t>
            </w:r>
          </w:p>
        </w:tc>
        <w:tc>
          <w:tcPr>
            <w:tcW w:w="2835" w:type="dxa"/>
            <w:noWrap/>
            <w:hideMark/>
          </w:tcPr>
          <w:p w14:paraId="1DAFE0CA"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Prompt engineering to translate Basel III regulatory text to math/code logic</w:t>
            </w:r>
          </w:p>
        </w:tc>
        <w:tc>
          <w:tcPr>
            <w:tcW w:w="2681" w:type="dxa"/>
            <w:noWrap/>
            <w:hideMark/>
          </w:tcPr>
          <w:p w14:paraId="7F4F667E"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GPT-4, Claude, Gemini, with prompt strategies</w:t>
            </w:r>
          </w:p>
        </w:tc>
        <w:tc>
          <w:tcPr>
            <w:tcW w:w="2596" w:type="dxa"/>
            <w:noWrap/>
            <w:hideMark/>
          </w:tcPr>
          <w:p w14:paraId="241BEA0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Basel III capital requirement case studies with simulated assets</w:t>
            </w:r>
          </w:p>
        </w:tc>
        <w:tc>
          <w:tcPr>
            <w:tcW w:w="3338" w:type="dxa"/>
            <w:noWrap/>
            <w:hideMark/>
          </w:tcPr>
          <w:p w14:paraId="5DEF05B5"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GPT-4 most accurate; improved mathematical precision in regulatory interpretation</w:t>
            </w:r>
          </w:p>
        </w:tc>
      </w:tr>
      <w:tr w:rsidR="006D1116" w14:paraId="5AC8986B" w14:textId="77777777">
        <w:trPr>
          <w:trHeight w:val="293"/>
        </w:trPr>
        <w:tc>
          <w:tcPr>
            <w:tcW w:w="1526" w:type="dxa"/>
            <w:shd w:val="clear" w:color="auto" w:fill="F2F2F2"/>
            <w:noWrap/>
            <w:hideMark/>
          </w:tcPr>
          <w:p w14:paraId="394E59A6"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Fazlija et al.</w:t>
            </w:r>
          </w:p>
        </w:tc>
        <w:tc>
          <w:tcPr>
            <w:tcW w:w="2835" w:type="dxa"/>
            <w:shd w:val="clear" w:color="auto" w:fill="F2F2F2"/>
            <w:noWrap/>
            <w:hideMark/>
          </w:tcPr>
          <w:p w14:paraId="4F034B75"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Evaluated LLMs in generating regulatory implementation code (CRE20)</w:t>
            </w:r>
          </w:p>
        </w:tc>
        <w:tc>
          <w:tcPr>
            <w:tcW w:w="2681" w:type="dxa"/>
            <w:shd w:val="clear" w:color="auto" w:fill="F2F2F2"/>
            <w:noWrap/>
            <w:hideMark/>
          </w:tcPr>
          <w:p w14:paraId="4C72A5FD"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General-purpose and code-generation LLMs (e.g., GPT variants)</w:t>
            </w:r>
          </w:p>
        </w:tc>
        <w:tc>
          <w:tcPr>
            <w:tcW w:w="2596" w:type="dxa"/>
            <w:shd w:val="clear" w:color="auto" w:fill="F2F2F2"/>
            <w:noWrap/>
            <w:hideMark/>
          </w:tcPr>
          <w:p w14:paraId="6556B69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6,000+ Basel III CRE20 test cases with risk weight rules</w:t>
            </w:r>
          </w:p>
        </w:tc>
        <w:tc>
          <w:tcPr>
            <w:tcW w:w="3338" w:type="dxa"/>
            <w:shd w:val="clear" w:color="auto" w:fill="F2F2F2"/>
            <w:noWrap/>
            <w:hideMark/>
          </w:tcPr>
          <w:p w14:paraId="4AA8D830"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Up to 91.67% pass@10 in Python code generation for risk weight rules</w:t>
            </w:r>
          </w:p>
        </w:tc>
      </w:tr>
      <w:tr w:rsidR="006D1116" w14:paraId="6B90B43C" w14:textId="77777777">
        <w:trPr>
          <w:trHeight w:val="293"/>
        </w:trPr>
        <w:tc>
          <w:tcPr>
            <w:tcW w:w="1526" w:type="dxa"/>
            <w:noWrap/>
            <w:hideMark/>
          </w:tcPr>
          <w:p w14:paraId="5C8C27AC"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Sigrist &amp; Leuenberger</w:t>
            </w:r>
          </w:p>
        </w:tc>
        <w:tc>
          <w:tcPr>
            <w:tcW w:w="2835" w:type="dxa"/>
            <w:noWrap/>
            <w:hideMark/>
          </w:tcPr>
          <w:p w14:paraId="70ED72DB"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Developed </w:t>
            </w:r>
            <w:proofErr w:type="spellStart"/>
            <w:r w:rsidRPr="00173853">
              <w:rPr>
                <w:rFonts w:cs="Calibri"/>
                <w:color w:val="000000"/>
                <w:sz w:val="22"/>
                <w:szCs w:val="22"/>
                <w:lang w:val="en-IN" w:eastAsia="en-IN"/>
              </w:rPr>
              <w:t>LaGaBoost</w:t>
            </w:r>
            <w:proofErr w:type="spellEnd"/>
            <w:r w:rsidRPr="00173853">
              <w:rPr>
                <w:rFonts w:cs="Calibri"/>
                <w:color w:val="000000"/>
                <w:sz w:val="22"/>
                <w:szCs w:val="22"/>
                <w:lang w:val="en-IN" w:eastAsia="en-IN"/>
              </w:rPr>
              <w:t>: frailty-integrated tree boosting for multi-period defaults</w:t>
            </w:r>
          </w:p>
        </w:tc>
        <w:tc>
          <w:tcPr>
            <w:tcW w:w="2681" w:type="dxa"/>
            <w:noWrap/>
            <w:hideMark/>
          </w:tcPr>
          <w:p w14:paraId="605C243B" w14:textId="77777777" w:rsidR="00572B41" w:rsidRPr="00173853" w:rsidRDefault="00572B41" w:rsidP="00173853">
            <w:pPr>
              <w:rPr>
                <w:rFonts w:cs="Calibri"/>
                <w:color w:val="000000"/>
                <w:sz w:val="22"/>
                <w:szCs w:val="22"/>
                <w:lang w:val="en-IN" w:eastAsia="en-IN"/>
              </w:rPr>
            </w:pPr>
            <w:proofErr w:type="spellStart"/>
            <w:r w:rsidRPr="00173853">
              <w:rPr>
                <w:rFonts w:cs="Calibri"/>
                <w:color w:val="000000"/>
                <w:sz w:val="22"/>
                <w:szCs w:val="22"/>
                <w:lang w:val="en-IN" w:eastAsia="en-IN"/>
              </w:rPr>
              <w:t>LaGaBoost</w:t>
            </w:r>
            <w:proofErr w:type="spellEnd"/>
            <w:r w:rsidRPr="00173853">
              <w:rPr>
                <w:rFonts w:cs="Calibri"/>
                <w:color w:val="000000"/>
                <w:sz w:val="22"/>
                <w:szCs w:val="22"/>
                <w:lang w:val="en-IN" w:eastAsia="en-IN"/>
              </w:rPr>
              <w:t xml:space="preserve"> (Tree Boosting + Latent Frailty)</w:t>
            </w:r>
          </w:p>
        </w:tc>
        <w:tc>
          <w:tcPr>
            <w:tcW w:w="2596" w:type="dxa"/>
            <w:noWrap/>
            <w:hideMark/>
          </w:tcPr>
          <w:p w14:paraId="49E6E232"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Corporate default datasets across multiple periods</w:t>
            </w:r>
          </w:p>
        </w:tc>
        <w:tc>
          <w:tcPr>
            <w:tcW w:w="3338" w:type="dxa"/>
            <w:noWrap/>
            <w:hideMark/>
          </w:tcPr>
          <w:p w14:paraId="39806E2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Higher AUC for long horizons; better portfolio tail risk prediction</w:t>
            </w:r>
          </w:p>
        </w:tc>
      </w:tr>
      <w:tr w:rsidR="006D1116" w14:paraId="71FDE4F5" w14:textId="77777777">
        <w:trPr>
          <w:trHeight w:val="293"/>
        </w:trPr>
        <w:tc>
          <w:tcPr>
            <w:tcW w:w="1526" w:type="dxa"/>
            <w:shd w:val="clear" w:color="auto" w:fill="F2F2F2"/>
            <w:noWrap/>
            <w:hideMark/>
          </w:tcPr>
          <w:p w14:paraId="295F4348"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Kumar et al.</w:t>
            </w:r>
          </w:p>
        </w:tc>
        <w:tc>
          <w:tcPr>
            <w:tcW w:w="2835" w:type="dxa"/>
            <w:shd w:val="clear" w:color="auto" w:fill="F2F2F2"/>
            <w:noWrap/>
            <w:hideMark/>
          </w:tcPr>
          <w:p w14:paraId="3E4FC793"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Compared ML models for mortgage loan risk prediction</w:t>
            </w:r>
          </w:p>
        </w:tc>
        <w:tc>
          <w:tcPr>
            <w:tcW w:w="2681" w:type="dxa"/>
            <w:shd w:val="clear" w:color="auto" w:fill="F2F2F2"/>
            <w:noWrap/>
            <w:hideMark/>
          </w:tcPr>
          <w:p w14:paraId="15A81C5C"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Logistic Regression, Decision Tree, Gradient Boosting</w:t>
            </w:r>
          </w:p>
        </w:tc>
        <w:tc>
          <w:tcPr>
            <w:tcW w:w="2596" w:type="dxa"/>
            <w:shd w:val="clear" w:color="auto" w:fill="F2F2F2"/>
            <w:noWrap/>
            <w:hideMark/>
          </w:tcPr>
          <w:p w14:paraId="6D54B39C"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Mortgage loan dataset (case study)</w:t>
            </w:r>
          </w:p>
        </w:tc>
        <w:tc>
          <w:tcPr>
            <w:tcW w:w="3338" w:type="dxa"/>
            <w:shd w:val="clear" w:color="auto" w:fill="F2F2F2"/>
            <w:noWrap/>
            <w:hideMark/>
          </w:tcPr>
          <w:p w14:paraId="657B5EBB"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Gradient Boosting performed best in commercial insight extraction</w:t>
            </w:r>
          </w:p>
        </w:tc>
      </w:tr>
      <w:tr w:rsidR="006D1116" w14:paraId="609EF7CB" w14:textId="77777777">
        <w:trPr>
          <w:trHeight w:val="293"/>
        </w:trPr>
        <w:tc>
          <w:tcPr>
            <w:tcW w:w="1526" w:type="dxa"/>
            <w:noWrap/>
            <w:hideMark/>
          </w:tcPr>
          <w:p w14:paraId="34457421" w14:textId="77777777" w:rsidR="00572B41" w:rsidRPr="00173853" w:rsidRDefault="00572B41" w:rsidP="00173853">
            <w:pPr>
              <w:rPr>
                <w:rFonts w:cs="Calibri"/>
                <w:color w:val="000000"/>
                <w:sz w:val="22"/>
                <w:szCs w:val="22"/>
                <w:lang w:val="en-IN" w:eastAsia="en-IN"/>
              </w:rPr>
            </w:pPr>
            <w:proofErr w:type="spellStart"/>
            <w:r w:rsidRPr="00173853">
              <w:rPr>
                <w:rFonts w:cs="Calibri"/>
                <w:color w:val="000000"/>
                <w:sz w:val="22"/>
                <w:szCs w:val="22"/>
                <w:lang w:val="en-IN" w:eastAsia="en-IN"/>
              </w:rPr>
              <w:t>Khandani</w:t>
            </w:r>
            <w:proofErr w:type="spellEnd"/>
            <w:r w:rsidRPr="00173853">
              <w:rPr>
                <w:rFonts w:cs="Calibri"/>
                <w:color w:val="000000"/>
                <w:sz w:val="22"/>
                <w:szCs w:val="22"/>
                <w:lang w:val="en-IN" w:eastAsia="en-IN"/>
              </w:rPr>
              <w:t xml:space="preserve"> et al.</w:t>
            </w:r>
          </w:p>
        </w:tc>
        <w:tc>
          <w:tcPr>
            <w:tcW w:w="2835" w:type="dxa"/>
            <w:noWrap/>
            <w:hideMark/>
          </w:tcPr>
          <w:p w14:paraId="710B7408"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Built ML models from credit bureau and transaction data to predict delinquencies</w:t>
            </w:r>
          </w:p>
        </w:tc>
        <w:tc>
          <w:tcPr>
            <w:tcW w:w="2681" w:type="dxa"/>
            <w:noWrap/>
            <w:hideMark/>
          </w:tcPr>
          <w:p w14:paraId="5F6F4713"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Nonparametric ML (ensemble models)</w:t>
            </w:r>
          </w:p>
        </w:tc>
        <w:tc>
          <w:tcPr>
            <w:tcW w:w="2596" w:type="dxa"/>
            <w:noWrap/>
            <w:hideMark/>
          </w:tcPr>
          <w:p w14:paraId="4B067A98" w14:textId="05197DEE"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2005</w:t>
            </w:r>
            <w:r w:rsidR="00ED1F97">
              <w:rPr>
                <w:rFonts w:cs="Calibri"/>
                <w:color w:val="000000"/>
                <w:sz w:val="22"/>
                <w:szCs w:val="22"/>
                <w:lang w:val="en-IN" w:eastAsia="en-IN"/>
              </w:rPr>
              <w:t>-</w:t>
            </w:r>
            <w:r w:rsidRPr="00173853">
              <w:rPr>
                <w:rFonts w:cs="Calibri"/>
                <w:color w:val="000000"/>
                <w:sz w:val="22"/>
                <w:szCs w:val="22"/>
                <w:lang w:val="en-IN" w:eastAsia="en-IN"/>
              </w:rPr>
              <w:t>2009 customer transactions and bureau data</w:t>
            </w:r>
          </w:p>
        </w:tc>
        <w:tc>
          <w:tcPr>
            <w:tcW w:w="3338" w:type="dxa"/>
            <w:noWrap/>
            <w:hideMark/>
          </w:tcPr>
          <w:p w14:paraId="5299F920"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85% RÂ²; 6â</w:t>
            </w:r>
            <w:proofErr w:type="gramStart"/>
            <w:r w:rsidRPr="00173853">
              <w:rPr>
                <w:rFonts w:cs="Calibri"/>
                <w:color w:val="000000"/>
                <w:sz w:val="22"/>
                <w:szCs w:val="22"/>
                <w:lang w:val="en-IN" w:eastAsia="en-IN"/>
              </w:rPr>
              <w:t>€“</w:t>
            </w:r>
            <w:proofErr w:type="gramEnd"/>
            <w:r w:rsidRPr="00173853">
              <w:rPr>
                <w:rFonts w:cs="Calibri"/>
                <w:color w:val="000000"/>
                <w:sz w:val="22"/>
                <w:szCs w:val="22"/>
                <w:lang w:val="en-IN" w:eastAsia="en-IN"/>
              </w:rPr>
              <w:t>25% savings via early credit line adjustments</w:t>
            </w:r>
          </w:p>
        </w:tc>
      </w:tr>
      <w:tr w:rsidR="006D1116" w14:paraId="6D6693B3" w14:textId="77777777">
        <w:trPr>
          <w:trHeight w:val="293"/>
        </w:trPr>
        <w:tc>
          <w:tcPr>
            <w:tcW w:w="1526" w:type="dxa"/>
            <w:shd w:val="clear" w:color="auto" w:fill="F2F2F2"/>
            <w:noWrap/>
            <w:hideMark/>
          </w:tcPr>
          <w:p w14:paraId="4D951377"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de Lange et al.</w:t>
            </w:r>
          </w:p>
        </w:tc>
        <w:tc>
          <w:tcPr>
            <w:tcW w:w="2835" w:type="dxa"/>
            <w:shd w:val="clear" w:color="auto" w:fill="F2F2F2"/>
            <w:noWrap/>
            <w:hideMark/>
          </w:tcPr>
          <w:p w14:paraId="2C7AFD19"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 xml:space="preserve">Applied XAI (SHAP) to </w:t>
            </w:r>
            <w:proofErr w:type="spellStart"/>
            <w:r w:rsidRPr="00173853">
              <w:rPr>
                <w:rFonts w:cs="Calibri"/>
                <w:color w:val="000000"/>
                <w:sz w:val="22"/>
                <w:szCs w:val="22"/>
                <w:lang w:val="en-IN" w:eastAsia="en-IN"/>
              </w:rPr>
              <w:t>LightGBM</w:t>
            </w:r>
            <w:proofErr w:type="spellEnd"/>
            <w:r w:rsidRPr="00173853">
              <w:rPr>
                <w:rFonts w:cs="Calibri"/>
                <w:color w:val="000000"/>
                <w:sz w:val="22"/>
                <w:szCs w:val="22"/>
                <w:lang w:val="en-IN" w:eastAsia="en-IN"/>
              </w:rPr>
              <w:t xml:space="preserve"> for explainable credit scoring</w:t>
            </w:r>
          </w:p>
        </w:tc>
        <w:tc>
          <w:tcPr>
            <w:tcW w:w="2681" w:type="dxa"/>
            <w:shd w:val="clear" w:color="auto" w:fill="F2F2F2"/>
            <w:noWrap/>
            <w:hideMark/>
          </w:tcPr>
          <w:p w14:paraId="054C61B5" w14:textId="77777777" w:rsidR="00572B41" w:rsidRPr="00173853" w:rsidRDefault="00572B41" w:rsidP="00173853">
            <w:pPr>
              <w:rPr>
                <w:rFonts w:cs="Calibri"/>
                <w:color w:val="000000"/>
                <w:sz w:val="22"/>
                <w:szCs w:val="22"/>
                <w:lang w:val="en-IN" w:eastAsia="en-IN"/>
              </w:rPr>
            </w:pPr>
            <w:proofErr w:type="spellStart"/>
            <w:r w:rsidRPr="00173853">
              <w:rPr>
                <w:rFonts w:cs="Calibri"/>
                <w:color w:val="000000"/>
                <w:sz w:val="22"/>
                <w:szCs w:val="22"/>
                <w:lang w:val="en-IN" w:eastAsia="en-IN"/>
              </w:rPr>
              <w:t>LightGBM</w:t>
            </w:r>
            <w:proofErr w:type="spellEnd"/>
            <w:r w:rsidRPr="00173853">
              <w:rPr>
                <w:rFonts w:cs="Calibri"/>
                <w:color w:val="000000"/>
                <w:sz w:val="22"/>
                <w:szCs w:val="22"/>
                <w:lang w:val="en-IN" w:eastAsia="en-IN"/>
              </w:rPr>
              <w:t xml:space="preserve"> with SHAP vs. Logistic Regression</w:t>
            </w:r>
          </w:p>
        </w:tc>
        <w:tc>
          <w:tcPr>
            <w:tcW w:w="2596" w:type="dxa"/>
            <w:shd w:val="clear" w:color="auto" w:fill="F2F2F2"/>
            <w:noWrap/>
            <w:hideMark/>
          </w:tcPr>
          <w:p w14:paraId="5E4D0404"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13,969 unsecured loan customer records (Norwegian bank)</w:t>
            </w:r>
          </w:p>
        </w:tc>
        <w:tc>
          <w:tcPr>
            <w:tcW w:w="3338" w:type="dxa"/>
            <w:shd w:val="clear" w:color="auto" w:fill="F2F2F2"/>
            <w:noWrap/>
            <w:hideMark/>
          </w:tcPr>
          <w:p w14:paraId="4B9FEE2F" w14:textId="77777777" w:rsidR="00572B41" w:rsidRPr="00173853" w:rsidRDefault="00572B41" w:rsidP="00173853">
            <w:pPr>
              <w:rPr>
                <w:rFonts w:cs="Calibri"/>
                <w:color w:val="000000"/>
                <w:sz w:val="22"/>
                <w:szCs w:val="22"/>
                <w:lang w:val="en-IN" w:eastAsia="en-IN"/>
              </w:rPr>
            </w:pPr>
            <w:r w:rsidRPr="00173853">
              <w:rPr>
                <w:rFonts w:cs="Calibri"/>
                <w:color w:val="000000"/>
                <w:sz w:val="22"/>
                <w:szCs w:val="22"/>
                <w:lang w:val="en-IN" w:eastAsia="en-IN"/>
              </w:rPr>
              <w:t>Better prediction and variable-level explainability vs. traditional models</w:t>
            </w:r>
          </w:p>
        </w:tc>
      </w:tr>
    </w:tbl>
    <w:p w14:paraId="27BC9FED" w14:textId="63450F3D" w:rsidR="00173853" w:rsidRDefault="00173853" w:rsidP="00173853">
      <w:pPr>
        <w:tabs>
          <w:tab w:val="left" w:pos="142"/>
        </w:tabs>
        <w:rPr>
          <w:rFonts w:ascii="Times New Roman" w:hAnsi="Times New Roman"/>
        </w:rPr>
      </w:pPr>
    </w:p>
    <w:p w14:paraId="3D34D9BE" w14:textId="34F3EBD2" w:rsidR="00173853" w:rsidRPr="00173853" w:rsidRDefault="00173853" w:rsidP="00173853">
      <w:pPr>
        <w:tabs>
          <w:tab w:val="left" w:pos="3108"/>
        </w:tabs>
        <w:rPr>
          <w:rFonts w:ascii="Times New Roman" w:hAnsi="Times New Roman"/>
        </w:rPr>
        <w:sectPr w:rsidR="00173853" w:rsidRPr="00173853" w:rsidSect="001F093B">
          <w:endnotePr>
            <w:numFmt w:val="decimal"/>
          </w:endnotePr>
          <w:pgSz w:w="15840" w:h="12240" w:orient="landscape" w:code="1"/>
          <w:pgMar w:top="1258" w:right="1440" w:bottom="1440" w:left="1440" w:header="709" w:footer="709" w:gutter="0"/>
          <w:cols w:space="708"/>
          <w:docGrid w:linePitch="326"/>
        </w:sectPr>
      </w:pPr>
    </w:p>
    <w:p w14:paraId="0D16E623" w14:textId="0426F2C3" w:rsidR="003B7373" w:rsidRDefault="003B7373" w:rsidP="00285FE6">
      <w:pPr>
        <w:pStyle w:val="Heading1"/>
      </w:pPr>
      <w:bookmarkStart w:id="4" w:name="Contribution_of_the_proposed_d"/>
      <w:bookmarkEnd w:id="3"/>
      <w:r w:rsidRPr="003B7373">
        <w:lastRenderedPageBreak/>
        <w:t xml:space="preserve">Objectives and Contributions </w:t>
      </w:r>
      <w:proofErr w:type="gramStart"/>
      <w:r w:rsidR="00E72889">
        <w:t>of</w:t>
      </w:r>
      <w:proofErr w:type="gramEnd"/>
      <w:r w:rsidRPr="003B7373">
        <w:t xml:space="preserve"> the Study</w:t>
      </w:r>
    </w:p>
    <w:p w14:paraId="6E99C482" w14:textId="1F5AEE74"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 xml:space="preserve">Credit risk remains the largest component of capital requirements under Basel 3.1. However, prevailing credit scoring models primarily estimate the probability of default (PD) at the time of onboarding, without dynamically linking these outputs to Basel-compliant Risk-Weighted Asset (RWA) computations. This disconnect prevents banks from capturing the real-time capital impact of credit decisions and leads to batch-based risk reporting that </w:t>
      </w:r>
      <w:proofErr w:type="gramStart"/>
      <w:r w:rsidRPr="00300F1E">
        <w:rPr>
          <w:rFonts w:ascii="Times New Roman" w:hAnsi="Times New Roman"/>
        </w:rPr>
        <w:t>lags behind</w:t>
      </w:r>
      <w:proofErr w:type="gramEnd"/>
      <w:r w:rsidRPr="00300F1E">
        <w:rPr>
          <w:rFonts w:ascii="Times New Roman" w:hAnsi="Times New Roman"/>
        </w:rPr>
        <w:t xml:space="preserve"> operational needs.</w:t>
      </w:r>
    </w:p>
    <w:p w14:paraId="5F47AFF7" w14:textId="18FDED2D"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 xml:space="preserve">This research aims to address these limitations by designing a real-time, explainable credit risk engine that integrates predictive AI/ML models, generative AI (GenAI), and a LangGraph-based orchestration framework. The solution will predict PD, LGD, and EAD at the point of decision using structured and unstructured data sources—including bureau records, financial statements, ESG disclosures, and market news. Predictive modeling techniques such as </w:t>
      </w:r>
      <w:r w:rsidR="008F3CA4">
        <w:rPr>
          <w:rFonts w:ascii="Times New Roman" w:hAnsi="Times New Roman"/>
        </w:rPr>
        <w:t xml:space="preserve">Random Forest, </w:t>
      </w:r>
      <w:proofErr w:type="spellStart"/>
      <w:r w:rsidRPr="00300F1E">
        <w:rPr>
          <w:rFonts w:ascii="Times New Roman" w:hAnsi="Times New Roman"/>
        </w:rPr>
        <w:t>XGBoost</w:t>
      </w:r>
      <w:proofErr w:type="spellEnd"/>
      <w:r w:rsidRPr="00300F1E">
        <w:rPr>
          <w:rFonts w:ascii="Times New Roman" w:hAnsi="Times New Roman"/>
        </w:rPr>
        <w:t xml:space="preserve">, </w:t>
      </w:r>
      <w:proofErr w:type="spellStart"/>
      <w:r w:rsidRPr="00300F1E">
        <w:rPr>
          <w:rFonts w:ascii="Times New Roman" w:hAnsi="Times New Roman"/>
        </w:rPr>
        <w:t>CatBoost</w:t>
      </w:r>
      <w:proofErr w:type="spellEnd"/>
      <w:r w:rsidRPr="00300F1E">
        <w:rPr>
          <w:rFonts w:ascii="Times New Roman" w:hAnsi="Times New Roman"/>
        </w:rPr>
        <w:t>, and deep learning architectures will be employed to capture non-linear borrower behavior. Fairness-aware algorithms and SHAP-based interpretability methods will ensure that model decisions are transparent, bias-mitigated, and explainable.</w:t>
      </w:r>
    </w:p>
    <w:p w14:paraId="34660AB7" w14:textId="4A6F509B"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In parallel, the system will leverage Generative AI techniques to operationalize complex Basel 3.1 regulatory text. This includes using Retrieval-Augmented Generation (RAG) to ground responses in precise regulatory clauses, alongside experiments with instruction-tuned LLMs (e.g., GPT-4, Mistral-7B, LLaMA2</w:t>
      </w:r>
      <w:r w:rsidR="008F3CA4">
        <w:rPr>
          <w:rFonts w:ascii="Times New Roman" w:hAnsi="Times New Roman"/>
        </w:rPr>
        <w:t>, Claude</w:t>
      </w:r>
      <w:r w:rsidRPr="00300F1E">
        <w:rPr>
          <w:rFonts w:ascii="Times New Roman" w:hAnsi="Times New Roman"/>
        </w:rPr>
        <w:t>) to directly reason over text. The solution will evaluate trade-offs between prompting strategies, domain-specific fine-tuning, and zero-shot inference, balancing explainability, accuracy, and computational efficiency.</w:t>
      </w:r>
    </w:p>
    <w:p w14:paraId="5F99263F" w14:textId="540E9323"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lastRenderedPageBreak/>
        <w:t>To support portfolio-level decision-making, the system will interface with COREP/FINREP regulatory data, enabling relationship managers (RMs) to visualize how new exposures affect CET1 ratios and sectoral or geographic risk limits. A dedicated explainability layer will present model drivers using SHAP or LIME, enhanced by GenAI-based summarization and counterfactual simulations, allowing RMs to understand and act on model outputs with confidence.</w:t>
      </w:r>
    </w:p>
    <w:p w14:paraId="40A08EA8" w14:textId="6E644A85"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 xml:space="preserve">The solution will also embed Agentic AI capabilities to introduce autonomous, self-regulating behavior across the risk pipeline. These agents will continuously </w:t>
      </w:r>
      <w:proofErr w:type="gramStart"/>
      <w:r w:rsidRPr="00300F1E">
        <w:rPr>
          <w:rFonts w:ascii="Times New Roman" w:hAnsi="Times New Roman"/>
        </w:rPr>
        <w:t>monitor for</w:t>
      </w:r>
      <w:proofErr w:type="gramEnd"/>
      <w:r w:rsidRPr="00300F1E">
        <w:rPr>
          <w:rFonts w:ascii="Times New Roman" w:hAnsi="Times New Roman"/>
        </w:rPr>
        <w:t xml:space="preserve"> data drift, regulatory changes, and model degradation, and will autonomously trigger retraining, re-parsing of updated rules, or workflow reconfiguration using LangGraph logic graphs. Over time, this layer is expected to enable closed-loop learning, proactive compliance alignment, and reduced operational dependency on manual interventions—turning AI from a static model into a responsive, adaptive decision-support system.</w:t>
      </w:r>
    </w:p>
    <w:p w14:paraId="57A7F316" w14:textId="3BEDDEC6"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 xml:space="preserve">Built on a modular LangGraph-based architecture, each functional component—data ingestion, scoring, RWA computation, explainability, and dashboard APIs—will operate as an independent yet interoperable node. Document parsing will leverage strategies such as sliding windows, semantic chunking, and recursive text splitting (e.g., using </w:t>
      </w:r>
      <w:proofErr w:type="spellStart"/>
      <w:r w:rsidRPr="00300F1E">
        <w:rPr>
          <w:rFonts w:ascii="Times New Roman" w:hAnsi="Times New Roman"/>
        </w:rPr>
        <w:t>SentenceTransformers</w:t>
      </w:r>
      <w:proofErr w:type="spellEnd"/>
      <w:r w:rsidRPr="00300F1E">
        <w:rPr>
          <w:rFonts w:ascii="Times New Roman" w:hAnsi="Times New Roman"/>
        </w:rPr>
        <w:t>) to maximize contextual accuracy and minimize hallucination risks. The design ensures system scalability, production-readiness, and secure integration within banking IT infrastructures.</w:t>
      </w:r>
    </w:p>
    <w:p w14:paraId="61256EB4" w14:textId="77777777" w:rsidR="00300F1E" w:rsidRPr="00300F1E" w:rsidRDefault="00300F1E" w:rsidP="00300F1E">
      <w:pPr>
        <w:spacing w:line="480" w:lineRule="auto"/>
        <w:ind w:firstLine="720"/>
        <w:jc w:val="both"/>
        <w:rPr>
          <w:rFonts w:ascii="Times New Roman" w:hAnsi="Times New Roman"/>
        </w:rPr>
      </w:pPr>
      <w:r w:rsidRPr="00300F1E">
        <w:rPr>
          <w:rFonts w:ascii="Times New Roman" w:hAnsi="Times New Roman"/>
        </w:rPr>
        <w:t>The expected contributions of this dissertation are fivefold:</w:t>
      </w:r>
    </w:p>
    <w:p w14:paraId="7414D5D1" w14:textId="77777777" w:rsidR="00300F1E" w:rsidRPr="00300F1E" w:rsidRDefault="00300F1E" w:rsidP="00300F1E">
      <w:pPr>
        <w:numPr>
          <w:ilvl w:val="0"/>
          <w:numId w:val="18"/>
        </w:numPr>
        <w:spacing w:line="480" w:lineRule="auto"/>
        <w:jc w:val="both"/>
        <w:rPr>
          <w:rFonts w:ascii="Times New Roman" w:hAnsi="Times New Roman"/>
        </w:rPr>
      </w:pPr>
      <w:r w:rsidRPr="00300F1E">
        <w:rPr>
          <w:rFonts w:ascii="Times New Roman" w:hAnsi="Times New Roman"/>
        </w:rPr>
        <w:t>Development of a real-time credit risk engine that integrates Basel-compliant RWA calculations into credit decisioning at the point of onboarding.</w:t>
      </w:r>
    </w:p>
    <w:p w14:paraId="7AF198FA" w14:textId="77777777" w:rsidR="00300F1E" w:rsidRPr="00300F1E" w:rsidRDefault="00300F1E" w:rsidP="00300F1E">
      <w:pPr>
        <w:numPr>
          <w:ilvl w:val="0"/>
          <w:numId w:val="18"/>
        </w:numPr>
        <w:spacing w:line="480" w:lineRule="auto"/>
        <w:jc w:val="both"/>
        <w:rPr>
          <w:rFonts w:ascii="Times New Roman" w:hAnsi="Times New Roman"/>
        </w:rPr>
      </w:pPr>
      <w:r w:rsidRPr="00300F1E">
        <w:rPr>
          <w:rFonts w:ascii="Times New Roman" w:hAnsi="Times New Roman"/>
        </w:rPr>
        <w:lastRenderedPageBreak/>
        <w:t>Design of an explainability framework for AI/ML models that meets regulatory standards for transparency, auditability, and counterfactual reasoning.</w:t>
      </w:r>
    </w:p>
    <w:p w14:paraId="453D7ECA" w14:textId="77777777" w:rsidR="00300F1E" w:rsidRPr="00300F1E" w:rsidRDefault="00300F1E" w:rsidP="00300F1E">
      <w:pPr>
        <w:numPr>
          <w:ilvl w:val="0"/>
          <w:numId w:val="18"/>
        </w:numPr>
        <w:spacing w:line="480" w:lineRule="auto"/>
        <w:jc w:val="both"/>
        <w:rPr>
          <w:rFonts w:ascii="Times New Roman" w:hAnsi="Times New Roman"/>
        </w:rPr>
      </w:pPr>
      <w:r w:rsidRPr="00300F1E">
        <w:rPr>
          <w:rFonts w:ascii="Times New Roman" w:hAnsi="Times New Roman"/>
        </w:rPr>
        <w:t>Demonstration of GenAI use cases in converting Basel 3.1 regulatory text into executable compliance logic using RAG, prompt engineering, and model fine-tuning.</w:t>
      </w:r>
    </w:p>
    <w:p w14:paraId="246E3B7A" w14:textId="77777777" w:rsidR="00300F1E" w:rsidRPr="00300F1E" w:rsidRDefault="00300F1E" w:rsidP="00300F1E">
      <w:pPr>
        <w:numPr>
          <w:ilvl w:val="0"/>
          <w:numId w:val="18"/>
        </w:numPr>
        <w:spacing w:line="480" w:lineRule="auto"/>
        <w:jc w:val="both"/>
        <w:rPr>
          <w:rFonts w:ascii="Times New Roman" w:hAnsi="Times New Roman"/>
        </w:rPr>
      </w:pPr>
      <w:r w:rsidRPr="00300F1E">
        <w:rPr>
          <w:rFonts w:ascii="Times New Roman" w:hAnsi="Times New Roman"/>
        </w:rPr>
        <w:t>Proposal of a LangGraph-based orchestration blueprint for scalable and modular AI deployment in regulated financial environments.</w:t>
      </w:r>
    </w:p>
    <w:p w14:paraId="316CCCEB" w14:textId="13CC179D" w:rsidR="00300F1E" w:rsidRPr="00300F1E" w:rsidRDefault="00300F1E" w:rsidP="00300F1E">
      <w:pPr>
        <w:numPr>
          <w:ilvl w:val="0"/>
          <w:numId w:val="18"/>
        </w:numPr>
        <w:spacing w:line="480" w:lineRule="auto"/>
        <w:jc w:val="both"/>
        <w:rPr>
          <w:rFonts w:ascii="Times New Roman" w:hAnsi="Times New Roman"/>
        </w:rPr>
      </w:pPr>
      <w:r w:rsidRPr="00300F1E">
        <w:rPr>
          <w:rFonts w:ascii="Times New Roman" w:hAnsi="Times New Roman"/>
        </w:rPr>
        <w:t>Exploration of Agentic AI techniques to enable autonomous monitoring, learning, and optimization across the end-to-end credit risk and capital assessment lifecycle.</w:t>
      </w:r>
    </w:p>
    <w:p w14:paraId="6A99F7DD" w14:textId="77777777" w:rsidR="00945380" w:rsidRPr="00782BD3" w:rsidRDefault="00945380" w:rsidP="00E4791D">
      <w:pPr>
        <w:pStyle w:val="Heading1"/>
      </w:pPr>
      <w:bookmarkStart w:id="5" w:name="Research_Questions"/>
      <w:bookmarkEnd w:id="4"/>
      <w:r w:rsidRPr="00782BD3">
        <w:t>Research Questions</w:t>
      </w:r>
    </w:p>
    <w:p w14:paraId="2FC6D1D9"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How can AI/ML models for Probability of Default (PD), Loss Given Default (LGD), and Exposure at Default (EAD) be made explainable and auditable in compliance with Basel 3.1 guidelines?</w:t>
      </w:r>
    </w:p>
    <w:p w14:paraId="796D2F45"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Can Generative AI (Large Language Models) be applied to parse Basel 3.1 regulatory text and automatically translate it into executable logic for RWA computation?</w:t>
      </w:r>
    </w:p>
    <w:p w14:paraId="6CBB682B"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How can portfolio-level capital impact be embedded into point-of-decision credit risk assessment frameworks?</w:t>
      </w:r>
    </w:p>
    <w:p w14:paraId="6C982E6F"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What role can unstructured data—such as financial disclosures, ESG reports, and market news—play in enhancing early-warning signals for credit deterioration?</w:t>
      </w:r>
    </w:p>
    <w:p w14:paraId="253A390F"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How can the proposed AI-based credit risk solution be orchestrated using LangGraph and deployed securely within a bank’s infrastructure?</w:t>
      </w:r>
    </w:p>
    <w:p w14:paraId="45ABBB1B" w14:textId="77777777" w:rsidR="00945380" w:rsidRPr="00E4791D" w:rsidRDefault="00945380" w:rsidP="00E4791D">
      <w:pPr>
        <w:pStyle w:val="ListParagraph"/>
        <w:numPr>
          <w:ilvl w:val="0"/>
          <w:numId w:val="16"/>
        </w:numPr>
        <w:spacing w:line="480" w:lineRule="auto"/>
        <w:jc w:val="both"/>
        <w:rPr>
          <w:rFonts w:ascii="Times New Roman" w:hAnsi="Times New Roman"/>
        </w:rPr>
      </w:pPr>
      <w:r w:rsidRPr="00E4791D">
        <w:rPr>
          <w:rFonts w:ascii="Times New Roman" w:hAnsi="Times New Roman"/>
        </w:rPr>
        <w:t>How can Agentic AI capabilities be integrated to enable autonomous learning, monitoring, and optimization of credit risk and capital assessment workflows over time?</w:t>
      </w:r>
    </w:p>
    <w:p w14:paraId="3DE05FB4" w14:textId="48E36809" w:rsidR="003F1842" w:rsidRPr="003F1842" w:rsidRDefault="00513CCB" w:rsidP="003F1842">
      <w:pPr>
        <w:pStyle w:val="Heading1"/>
      </w:pPr>
      <w:bookmarkStart w:id="6" w:name="Expected_Outcomes"/>
      <w:bookmarkEnd w:id="5"/>
      <w:r w:rsidRPr="00782BD3">
        <w:lastRenderedPageBreak/>
        <w:t>Proposed Methodology and Database</w:t>
      </w:r>
    </w:p>
    <w:p w14:paraId="63C4424C"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 xml:space="preserve">The proposed solution will be structured across six interconnected modules. The first module, the AI/ML Credit Risk Prediction Layer, will ingest structured data to assess borrower-level creditworthiness. Publicly available inputs such as sample financial statements from RBI bulletins, anonymized borrower profiles from academic studies, and curated synthetic datasets will serve as the foundation for training and validation. These will be used to build predictive models—including </w:t>
      </w:r>
      <w:proofErr w:type="spellStart"/>
      <w:r w:rsidRPr="003F1842">
        <w:rPr>
          <w:rFonts w:ascii="Times New Roman" w:hAnsi="Times New Roman"/>
        </w:rPr>
        <w:t>XGBoost</w:t>
      </w:r>
      <w:proofErr w:type="spellEnd"/>
      <w:r w:rsidRPr="003F1842">
        <w:rPr>
          <w:rFonts w:ascii="Times New Roman" w:hAnsi="Times New Roman"/>
        </w:rPr>
        <w:t xml:space="preserve">, </w:t>
      </w:r>
      <w:proofErr w:type="spellStart"/>
      <w:r w:rsidRPr="003F1842">
        <w:rPr>
          <w:rFonts w:ascii="Times New Roman" w:hAnsi="Times New Roman"/>
        </w:rPr>
        <w:t>CatBoost</w:t>
      </w:r>
      <w:proofErr w:type="spellEnd"/>
      <w:r w:rsidRPr="003F1842">
        <w:rPr>
          <w:rFonts w:ascii="Times New Roman" w:hAnsi="Times New Roman"/>
        </w:rPr>
        <w:t>, and deep learning architectures—to generate Probability of Default (PD), Loss Given Default (LGD), Exposure at Default (EAD), and composite credit scores.</w:t>
      </w:r>
    </w:p>
    <w:p w14:paraId="7B304981"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The second module, the RWA and Capital Impact Engine, will operationalize Basel 3.1 guidelines, aligned with Indian regulatory interpretations. Using large language models (LLMs) and LangGraph orchestration, the module will simulate the computation of Risk-Weighted Assets (RWA) and their impact on Common Equity Tier 1 (CET1) ratios. This allows credit risk assessment models to incorporate capital sensitivity in line with real-world supervisory requirements.</w:t>
      </w:r>
    </w:p>
    <w:p w14:paraId="0680C949"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The third module, the Portfolio Context Interface, will simulate portfolio-level views by aggregating synthetic borrower data. This module will illustrate how the addition of new exposures could influence capital allocation, diversification, and concentration—without relying on any confidential or proprietary datasets. Visualization outputs will mimic those used by bank risk teams, purely for academic and experimental demonstration.</w:t>
      </w:r>
    </w:p>
    <w:p w14:paraId="15B6ACE5"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 xml:space="preserve">The fourth module, Explainability and Counterfactuals, will ensure transparency and interpretability of AI/ML outputs. The system will use SHAP, LIME, and counterfactual simulation techniques, supported by generative AI-based natural language generation, to explain </w:t>
      </w:r>
      <w:r w:rsidRPr="003F1842">
        <w:rPr>
          <w:rFonts w:ascii="Times New Roman" w:hAnsi="Times New Roman"/>
        </w:rPr>
        <w:lastRenderedPageBreak/>
        <w:t>model decisions. Users will be able to assess how changes in borrower inputs (e.g., collateral, loan tenor) could influence credit scores or RWA treatment.</w:t>
      </w:r>
    </w:p>
    <w:p w14:paraId="1C138996"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The fifth module, the LangGraph-Orchestrated Pipeline, will integrate all components—data processing, scoring, RWA computation, and explanation—into a modular architecture. Each stage will be implemented as an independent LangGraph node, supporting reproducibility and maintainability within academic infrastructure.</w:t>
      </w:r>
    </w:p>
    <w:p w14:paraId="34920267" w14:textId="77777777" w:rsidR="003F1842" w:rsidRPr="003F1842" w:rsidRDefault="003F1842" w:rsidP="003F1842">
      <w:pPr>
        <w:spacing w:line="480" w:lineRule="auto"/>
        <w:ind w:firstLine="720"/>
        <w:jc w:val="both"/>
        <w:rPr>
          <w:rFonts w:ascii="Times New Roman" w:hAnsi="Times New Roman"/>
        </w:rPr>
      </w:pPr>
      <w:r w:rsidRPr="003F1842">
        <w:rPr>
          <w:rFonts w:ascii="Times New Roman" w:hAnsi="Times New Roman"/>
        </w:rPr>
        <w:t>The sixth module, the Agentic AI Execution Layer, will embed autonomous agents to monitor simulated operational signals—such as data drift, model degradation, or changes in regulatory text. These agents will autonomously initiate retraining, regulatory re-parsing, or pipeline updates using LangGraph logic, enabling long-term adaptation and research extensibility.</w:t>
      </w:r>
    </w:p>
    <w:p w14:paraId="60730B1F" w14:textId="77777777" w:rsidR="003F1842" w:rsidRPr="003F1842" w:rsidRDefault="003F1842" w:rsidP="000A67AC">
      <w:pPr>
        <w:spacing w:line="480" w:lineRule="auto"/>
        <w:jc w:val="both"/>
        <w:rPr>
          <w:rFonts w:ascii="Times New Roman" w:hAnsi="Times New Roman"/>
        </w:rPr>
      </w:pPr>
      <w:r w:rsidRPr="003F1842">
        <w:rPr>
          <w:rFonts w:ascii="Times New Roman" w:hAnsi="Times New Roman"/>
        </w:rPr>
        <w:t>From a methodological perspective, the study will rely entirely on:</w:t>
      </w:r>
    </w:p>
    <w:p w14:paraId="387E9F12" w14:textId="77777777" w:rsidR="003F1842" w:rsidRPr="003F1842" w:rsidRDefault="003F1842" w:rsidP="000A67AC">
      <w:pPr>
        <w:numPr>
          <w:ilvl w:val="0"/>
          <w:numId w:val="22"/>
        </w:numPr>
        <w:spacing w:line="480" w:lineRule="auto"/>
        <w:jc w:val="both"/>
        <w:rPr>
          <w:rFonts w:ascii="Times New Roman" w:hAnsi="Times New Roman"/>
        </w:rPr>
      </w:pPr>
      <w:r w:rsidRPr="003F1842">
        <w:rPr>
          <w:rFonts w:ascii="Times New Roman" w:hAnsi="Times New Roman"/>
        </w:rPr>
        <w:t xml:space="preserve">Publicly available resources such as the Basel 3.1 rulebook, RBI Master Circulars, and published academic case </w:t>
      </w:r>
      <w:proofErr w:type="gramStart"/>
      <w:r w:rsidRPr="003F1842">
        <w:rPr>
          <w:rFonts w:ascii="Times New Roman" w:hAnsi="Times New Roman"/>
        </w:rPr>
        <w:t>datasets;</w:t>
      </w:r>
      <w:proofErr w:type="gramEnd"/>
    </w:p>
    <w:p w14:paraId="6CA94436" w14:textId="77777777" w:rsidR="003F1842" w:rsidRPr="003F1842" w:rsidRDefault="003F1842" w:rsidP="000A67AC">
      <w:pPr>
        <w:numPr>
          <w:ilvl w:val="0"/>
          <w:numId w:val="22"/>
        </w:numPr>
        <w:spacing w:line="480" w:lineRule="auto"/>
        <w:jc w:val="both"/>
        <w:rPr>
          <w:rFonts w:ascii="Times New Roman" w:hAnsi="Times New Roman"/>
        </w:rPr>
      </w:pPr>
      <w:r w:rsidRPr="003F1842">
        <w:rPr>
          <w:rFonts w:ascii="Times New Roman" w:hAnsi="Times New Roman"/>
        </w:rPr>
        <w:t xml:space="preserve">Synthetic datasets generated using generative AI techniques, designed to replicate realistic borrower profiles without exposing any confidential </w:t>
      </w:r>
      <w:proofErr w:type="gramStart"/>
      <w:r w:rsidRPr="003F1842">
        <w:rPr>
          <w:rFonts w:ascii="Times New Roman" w:hAnsi="Times New Roman"/>
        </w:rPr>
        <w:t>data;</w:t>
      </w:r>
      <w:proofErr w:type="gramEnd"/>
    </w:p>
    <w:p w14:paraId="34AAC12E" w14:textId="77777777" w:rsidR="003F1842" w:rsidRPr="003F1842" w:rsidRDefault="003F1842" w:rsidP="000A67AC">
      <w:pPr>
        <w:numPr>
          <w:ilvl w:val="0"/>
          <w:numId w:val="22"/>
        </w:numPr>
        <w:spacing w:line="480" w:lineRule="auto"/>
        <w:jc w:val="both"/>
        <w:rPr>
          <w:rFonts w:ascii="Times New Roman" w:hAnsi="Times New Roman"/>
        </w:rPr>
      </w:pPr>
      <w:r w:rsidRPr="003F1842">
        <w:rPr>
          <w:rFonts w:ascii="Times New Roman" w:hAnsi="Times New Roman"/>
        </w:rPr>
        <w:t>Public domain financial structures and taxonomy from sample disclosures (e.g., in SEBI/RBI-published reports) to support mapping and testing of credit scoring models.</w:t>
      </w:r>
    </w:p>
    <w:p w14:paraId="5F62F119" w14:textId="77777777" w:rsidR="000967E1" w:rsidRDefault="003F1842" w:rsidP="003F1842">
      <w:pPr>
        <w:spacing w:line="480" w:lineRule="auto"/>
        <w:ind w:firstLine="720"/>
        <w:jc w:val="both"/>
        <w:rPr>
          <w:rFonts w:ascii="Times New Roman" w:hAnsi="Times New Roman"/>
        </w:rPr>
        <w:sectPr w:rsidR="000967E1" w:rsidSect="001F093B">
          <w:endnotePr>
            <w:numFmt w:val="decimal"/>
          </w:endnotePr>
          <w:pgSz w:w="12240" w:h="15840" w:code="1"/>
          <w:pgMar w:top="1440" w:right="1440" w:bottom="1440" w:left="1440" w:header="709" w:footer="709" w:gutter="0"/>
          <w:cols w:space="708"/>
          <w:docGrid w:linePitch="326"/>
        </w:sectPr>
      </w:pPr>
      <w:r w:rsidRPr="003F1842">
        <w:rPr>
          <w:rFonts w:ascii="Times New Roman" w:hAnsi="Times New Roman"/>
        </w:rPr>
        <w:t>The AI/ML techniques will include gradient boosting, deep learning, fairness-aware modeling, and generative AI for text-to-logic conversion. Deployment will be simulated using Docker and Kubernetes, with a focus on modularity, reproducibility, and regulatory transparency in a non-production, academic environment.</w:t>
      </w:r>
    </w:p>
    <w:p w14:paraId="3F65F860" w14:textId="1D9C3A8D" w:rsidR="008B62A5" w:rsidRPr="00D6356F" w:rsidRDefault="00D6356F" w:rsidP="00E52F43">
      <w:pPr>
        <w:spacing w:line="480" w:lineRule="auto"/>
        <w:rPr>
          <w:rFonts w:ascii="Times New Roman" w:hAnsi="Times New Roman"/>
          <w:b/>
          <w:bCs/>
          <w:noProof/>
          <w:u w:val="single"/>
        </w:rPr>
      </w:pPr>
      <w:r w:rsidRPr="00D6356F">
        <w:rPr>
          <w:rFonts w:ascii="Times New Roman" w:hAnsi="Times New Roman"/>
          <w:b/>
          <w:bCs/>
          <w:noProof/>
          <w:u w:val="single"/>
        </w:rPr>
        <w:lastRenderedPageBreak/>
        <w:t>End-to-End System Architecture – Inputs, Process Flow, and Outputs</w:t>
      </w:r>
      <w:r w:rsidR="008B62A5" w:rsidRPr="00D6356F">
        <w:rPr>
          <w:rFonts w:ascii="Times New Roman" w:hAnsi="Times New Roman"/>
          <w:b/>
          <w:bCs/>
          <w:noProof/>
          <w:u w:val="single"/>
        </w:rPr>
        <w:t xml:space="preserve"> </w:t>
      </w:r>
    </w:p>
    <w:p w14:paraId="20565A75" w14:textId="53D221C2" w:rsidR="00B50F42" w:rsidRPr="00471A6A" w:rsidRDefault="00AE787F" w:rsidP="00E52F43">
      <w:pPr>
        <w:spacing w:line="480" w:lineRule="auto"/>
        <w:rPr>
          <w:rFonts w:ascii="Times New Roman" w:hAnsi="Times New Roman"/>
          <w:b/>
          <w:bCs/>
          <w:u w:val="single"/>
        </w:rPr>
      </w:pPr>
      <w:r>
        <w:rPr>
          <w:rFonts w:ascii="Times New Roman" w:hAnsi="Times New Roman"/>
          <w:noProof/>
        </w:rPr>
        <w:pict w14:anchorId="5C66C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5pt;height:356.5pt;visibility:visible;mso-wrap-style:square">
            <v:imagedata r:id="rId14" o:title=""/>
          </v:shape>
        </w:pict>
      </w:r>
    </w:p>
    <w:p w14:paraId="3B8641C9" w14:textId="73D4999E" w:rsidR="00F90F39" w:rsidRDefault="004E645C" w:rsidP="00C42101">
      <w:pPr>
        <w:spacing w:line="480" w:lineRule="auto"/>
        <w:jc w:val="both"/>
        <w:rPr>
          <w:rFonts w:ascii="Times New Roman" w:hAnsi="Times New Roman"/>
          <w:b/>
          <w:bCs/>
          <w:u w:val="single"/>
        </w:rPr>
      </w:pPr>
      <w:r>
        <w:rPr>
          <w:rFonts w:ascii="Times New Roman" w:hAnsi="Times New Roman"/>
          <w:b/>
          <w:bCs/>
          <w:u w:val="single"/>
        </w:rPr>
        <w:br w:type="page"/>
      </w:r>
      <w:r w:rsidR="00D6356F" w:rsidRPr="00D6356F">
        <w:rPr>
          <w:rFonts w:ascii="Times New Roman" w:hAnsi="Times New Roman"/>
          <w:b/>
          <w:bCs/>
          <w:u w:val="single"/>
        </w:rPr>
        <w:lastRenderedPageBreak/>
        <w:t>Functional Overview of Proposed Modular Architecture</w:t>
      </w:r>
    </w:p>
    <w:tbl>
      <w:tblPr>
        <w:tblpPr w:leftFromText="180" w:rightFromText="180" w:vertAnchor="page" w:horzAnchor="margin" w:tblpY="2161"/>
        <w:tblW w:w="1275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20"/>
        <w:gridCol w:w="2434"/>
        <w:gridCol w:w="3400"/>
        <w:gridCol w:w="2693"/>
        <w:gridCol w:w="3006"/>
      </w:tblGrid>
      <w:tr w:rsidR="00A754C0" w14:paraId="3C63C63D" w14:textId="77777777" w:rsidTr="00A754C0">
        <w:trPr>
          <w:trHeight w:val="290"/>
        </w:trPr>
        <w:tc>
          <w:tcPr>
            <w:tcW w:w="1220" w:type="dxa"/>
            <w:hideMark/>
          </w:tcPr>
          <w:p w14:paraId="2BF3E295" w14:textId="77777777" w:rsidR="00A754C0" w:rsidRPr="004A360C" w:rsidRDefault="00A754C0" w:rsidP="00A754C0">
            <w:pPr>
              <w:jc w:val="center"/>
              <w:rPr>
                <w:rFonts w:cs="Calibri"/>
                <w:b/>
                <w:bCs/>
                <w:sz w:val="22"/>
                <w:szCs w:val="22"/>
                <w:lang w:val="en-IN" w:eastAsia="en-IN"/>
              </w:rPr>
            </w:pPr>
            <w:r w:rsidRPr="004A360C">
              <w:rPr>
                <w:rFonts w:cs="Calibri"/>
                <w:b/>
                <w:bCs/>
                <w:sz w:val="22"/>
                <w:szCs w:val="22"/>
                <w:lang w:val="en-IN" w:eastAsia="en-IN"/>
              </w:rPr>
              <w:t>Module No.</w:t>
            </w:r>
          </w:p>
        </w:tc>
        <w:tc>
          <w:tcPr>
            <w:tcW w:w="2434" w:type="dxa"/>
            <w:hideMark/>
          </w:tcPr>
          <w:p w14:paraId="464827E6" w14:textId="77777777" w:rsidR="00A754C0" w:rsidRPr="004A360C" w:rsidRDefault="00A754C0" w:rsidP="00A754C0">
            <w:pPr>
              <w:jc w:val="center"/>
              <w:rPr>
                <w:rFonts w:cs="Calibri"/>
                <w:b/>
                <w:bCs/>
                <w:sz w:val="22"/>
                <w:szCs w:val="22"/>
                <w:lang w:val="en-IN" w:eastAsia="en-IN"/>
              </w:rPr>
            </w:pPr>
            <w:r w:rsidRPr="004A360C">
              <w:rPr>
                <w:rFonts w:cs="Calibri"/>
                <w:b/>
                <w:bCs/>
                <w:sz w:val="22"/>
                <w:szCs w:val="22"/>
                <w:lang w:val="en-IN" w:eastAsia="en-IN"/>
              </w:rPr>
              <w:t>Module Name</w:t>
            </w:r>
          </w:p>
        </w:tc>
        <w:tc>
          <w:tcPr>
            <w:tcW w:w="3400" w:type="dxa"/>
            <w:hideMark/>
          </w:tcPr>
          <w:p w14:paraId="592F7E1E" w14:textId="77777777" w:rsidR="00A754C0" w:rsidRPr="004A360C" w:rsidRDefault="00A754C0" w:rsidP="00A754C0">
            <w:pPr>
              <w:jc w:val="center"/>
              <w:rPr>
                <w:rFonts w:cs="Calibri"/>
                <w:b/>
                <w:bCs/>
                <w:sz w:val="22"/>
                <w:szCs w:val="22"/>
                <w:lang w:val="en-IN" w:eastAsia="en-IN"/>
              </w:rPr>
            </w:pPr>
            <w:r w:rsidRPr="004A360C">
              <w:rPr>
                <w:rFonts w:cs="Calibri"/>
                <w:b/>
                <w:bCs/>
                <w:sz w:val="22"/>
                <w:szCs w:val="22"/>
                <w:lang w:val="en-IN" w:eastAsia="en-IN"/>
              </w:rPr>
              <w:t>Purpose</w:t>
            </w:r>
          </w:p>
        </w:tc>
        <w:tc>
          <w:tcPr>
            <w:tcW w:w="2693" w:type="dxa"/>
            <w:hideMark/>
          </w:tcPr>
          <w:p w14:paraId="0E061D64" w14:textId="77777777" w:rsidR="00A754C0" w:rsidRPr="004A360C" w:rsidRDefault="00A754C0" w:rsidP="00A754C0">
            <w:pPr>
              <w:jc w:val="center"/>
              <w:rPr>
                <w:rFonts w:cs="Calibri"/>
                <w:b/>
                <w:bCs/>
                <w:sz w:val="22"/>
                <w:szCs w:val="22"/>
                <w:lang w:val="en-IN" w:eastAsia="en-IN"/>
              </w:rPr>
            </w:pPr>
            <w:r w:rsidRPr="004A360C">
              <w:rPr>
                <w:rFonts w:cs="Calibri"/>
                <w:b/>
                <w:bCs/>
                <w:sz w:val="22"/>
                <w:szCs w:val="22"/>
                <w:lang w:val="en-IN" w:eastAsia="en-IN"/>
              </w:rPr>
              <w:t>Key Techniques / Tools</w:t>
            </w:r>
          </w:p>
        </w:tc>
        <w:tc>
          <w:tcPr>
            <w:tcW w:w="3006" w:type="dxa"/>
            <w:hideMark/>
          </w:tcPr>
          <w:p w14:paraId="1BA24CAA" w14:textId="77777777" w:rsidR="00A754C0" w:rsidRPr="004A360C" w:rsidRDefault="00A754C0" w:rsidP="00A754C0">
            <w:pPr>
              <w:jc w:val="center"/>
              <w:rPr>
                <w:rFonts w:cs="Calibri"/>
                <w:b/>
                <w:bCs/>
                <w:sz w:val="22"/>
                <w:szCs w:val="22"/>
                <w:lang w:val="en-IN" w:eastAsia="en-IN"/>
              </w:rPr>
            </w:pPr>
            <w:r w:rsidRPr="004A360C">
              <w:rPr>
                <w:rFonts w:cs="Calibri"/>
                <w:b/>
                <w:bCs/>
                <w:sz w:val="22"/>
                <w:szCs w:val="22"/>
                <w:lang w:val="en-IN" w:eastAsia="en-IN"/>
              </w:rPr>
              <w:t>Data Sources</w:t>
            </w:r>
          </w:p>
        </w:tc>
      </w:tr>
      <w:tr w:rsidR="00A754C0" w14:paraId="47B9A51D" w14:textId="77777777" w:rsidTr="00A754C0">
        <w:trPr>
          <w:trHeight w:val="580"/>
        </w:trPr>
        <w:tc>
          <w:tcPr>
            <w:tcW w:w="1220" w:type="dxa"/>
            <w:shd w:val="clear" w:color="auto" w:fill="F2F2F2"/>
            <w:hideMark/>
          </w:tcPr>
          <w:p w14:paraId="5AB8D9A4"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1</w:t>
            </w:r>
          </w:p>
        </w:tc>
        <w:tc>
          <w:tcPr>
            <w:tcW w:w="2434" w:type="dxa"/>
            <w:shd w:val="clear" w:color="auto" w:fill="F2F2F2"/>
            <w:hideMark/>
          </w:tcPr>
          <w:p w14:paraId="00824D5C"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AI/ML Credit Risk Prediction Layer</w:t>
            </w:r>
          </w:p>
        </w:tc>
        <w:tc>
          <w:tcPr>
            <w:tcW w:w="3400" w:type="dxa"/>
            <w:shd w:val="clear" w:color="auto" w:fill="F2F2F2"/>
            <w:hideMark/>
          </w:tcPr>
          <w:p w14:paraId="21DE81AA"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Assess borrower-level creditworthiness using structured public and synthetic data.</w:t>
            </w:r>
          </w:p>
        </w:tc>
        <w:tc>
          <w:tcPr>
            <w:tcW w:w="2693" w:type="dxa"/>
            <w:shd w:val="clear" w:color="auto" w:fill="F2F2F2"/>
            <w:hideMark/>
          </w:tcPr>
          <w:p w14:paraId="702115EC" w14:textId="77777777" w:rsidR="00A754C0" w:rsidRPr="004A360C" w:rsidRDefault="00A754C0" w:rsidP="00A754C0">
            <w:pPr>
              <w:rPr>
                <w:rFonts w:cs="Calibri"/>
                <w:color w:val="000000"/>
                <w:sz w:val="22"/>
                <w:szCs w:val="22"/>
                <w:lang w:val="en-IN" w:eastAsia="en-IN"/>
              </w:rPr>
            </w:pPr>
            <w:proofErr w:type="spellStart"/>
            <w:r w:rsidRPr="004A360C">
              <w:rPr>
                <w:rFonts w:cs="Calibri"/>
                <w:color w:val="000000"/>
                <w:sz w:val="22"/>
                <w:szCs w:val="22"/>
                <w:lang w:val="en-IN" w:eastAsia="en-IN"/>
              </w:rPr>
              <w:t>XGBoost</w:t>
            </w:r>
            <w:proofErr w:type="spellEnd"/>
            <w:r w:rsidRPr="004A360C">
              <w:rPr>
                <w:rFonts w:cs="Calibri"/>
                <w:color w:val="000000"/>
                <w:sz w:val="22"/>
                <w:szCs w:val="22"/>
                <w:lang w:val="en-IN" w:eastAsia="en-IN"/>
              </w:rPr>
              <w:t xml:space="preserve">, </w:t>
            </w:r>
            <w:proofErr w:type="spellStart"/>
            <w:r w:rsidRPr="004A360C">
              <w:rPr>
                <w:rFonts w:cs="Calibri"/>
                <w:color w:val="000000"/>
                <w:sz w:val="22"/>
                <w:szCs w:val="22"/>
                <w:lang w:val="en-IN" w:eastAsia="en-IN"/>
              </w:rPr>
              <w:t>CatBoost</w:t>
            </w:r>
            <w:proofErr w:type="spellEnd"/>
            <w:r w:rsidRPr="004A360C">
              <w:rPr>
                <w:rFonts w:cs="Calibri"/>
                <w:color w:val="000000"/>
                <w:sz w:val="22"/>
                <w:szCs w:val="22"/>
                <w:lang w:val="en-IN" w:eastAsia="en-IN"/>
              </w:rPr>
              <w:t>, Deep Learning</w:t>
            </w:r>
          </w:p>
        </w:tc>
        <w:tc>
          <w:tcPr>
            <w:tcW w:w="3006" w:type="dxa"/>
            <w:shd w:val="clear" w:color="auto" w:fill="F2F2F2"/>
            <w:hideMark/>
          </w:tcPr>
          <w:p w14:paraId="4052E8CC"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RBI bulletins, anonymized academic borrower data, synthetic datasets</w:t>
            </w:r>
          </w:p>
        </w:tc>
      </w:tr>
      <w:tr w:rsidR="00A754C0" w14:paraId="5AED200B" w14:textId="77777777" w:rsidTr="00A754C0">
        <w:trPr>
          <w:trHeight w:val="580"/>
        </w:trPr>
        <w:tc>
          <w:tcPr>
            <w:tcW w:w="1220" w:type="dxa"/>
            <w:hideMark/>
          </w:tcPr>
          <w:p w14:paraId="38001C8E"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2</w:t>
            </w:r>
          </w:p>
        </w:tc>
        <w:tc>
          <w:tcPr>
            <w:tcW w:w="2434" w:type="dxa"/>
            <w:hideMark/>
          </w:tcPr>
          <w:p w14:paraId="77545750"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RWA and Capital Impact Engine</w:t>
            </w:r>
          </w:p>
        </w:tc>
        <w:tc>
          <w:tcPr>
            <w:tcW w:w="3400" w:type="dxa"/>
            <w:hideMark/>
          </w:tcPr>
          <w:p w14:paraId="79A68F32"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Simulate Basel 3.1-compliant RWA and CET1 impact for Indian banking regulations.</w:t>
            </w:r>
          </w:p>
        </w:tc>
        <w:tc>
          <w:tcPr>
            <w:tcW w:w="2693" w:type="dxa"/>
            <w:hideMark/>
          </w:tcPr>
          <w:p w14:paraId="05D06A2D"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LLMs, LangGraph orchestration, executable regulatory logic</w:t>
            </w:r>
          </w:p>
        </w:tc>
        <w:tc>
          <w:tcPr>
            <w:tcW w:w="3006" w:type="dxa"/>
            <w:hideMark/>
          </w:tcPr>
          <w:p w14:paraId="27860150"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Basel 3.1 rulebook, RBI circulars (as academic reference)</w:t>
            </w:r>
          </w:p>
        </w:tc>
      </w:tr>
      <w:tr w:rsidR="00A754C0" w14:paraId="57F74AC3" w14:textId="77777777" w:rsidTr="00A754C0">
        <w:trPr>
          <w:trHeight w:val="580"/>
        </w:trPr>
        <w:tc>
          <w:tcPr>
            <w:tcW w:w="1220" w:type="dxa"/>
            <w:shd w:val="clear" w:color="auto" w:fill="F2F2F2"/>
            <w:hideMark/>
          </w:tcPr>
          <w:p w14:paraId="55F338DC"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3</w:t>
            </w:r>
          </w:p>
        </w:tc>
        <w:tc>
          <w:tcPr>
            <w:tcW w:w="2434" w:type="dxa"/>
            <w:shd w:val="clear" w:color="auto" w:fill="F2F2F2"/>
            <w:hideMark/>
          </w:tcPr>
          <w:p w14:paraId="6ED93B37"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Portfolio Context Interface</w:t>
            </w:r>
          </w:p>
        </w:tc>
        <w:tc>
          <w:tcPr>
            <w:tcW w:w="3400" w:type="dxa"/>
            <w:shd w:val="clear" w:color="auto" w:fill="F2F2F2"/>
            <w:hideMark/>
          </w:tcPr>
          <w:p w14:paraId="1EC1B162"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Provide a portfolio-level simulation of capital allocation and concentration risk.</w:t>
            </w:r>
          </w:p>
        </w:tc>
        <w:tc>
          <w:tcPr>
            <w:tcW w:w="2693" w:type="dxa"/>
            <w:shd w:val="clear" w:color="auto" w:fill="F2F2F2"/>
            <w:hideMark/>
          </w:tcPr>
          <w:p w14:paraId="07BEAE95"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Aggregation logic, simulated dashboards</w:t>
            </w:r>
          </w:p>
        </w:tc>
        <w:tc>
          <w:tcPr>
            <w:tcW w:w="3006" w:type="dxa"/>
            <w:shd w:val="clear" w:color="auto" w:fill="F2F2F2"/>
            <w:hideMark/>
          </w:tcPr>
          <w:p w14:paraId="393C4386"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Aggregated synthetic borrower profiles</w:t>
            </w:r>
          </w:p>
        </w:tc>
      </w:tr>
      <w:tr w:rsidR="00A754C0" w14:paraId="6D3A6D0B" w14:textId="77777777" w:rsidTr="00A754C0">
        <w:trPr>
          <w:trHeight w:val="580"/>
        </w:trPr>
        <w:tc>
          <w:tcPr>
            <w:tcW w:w="1220" w:type="dxa"/>
            <w:hideMark/>
          </w:tcPr>
          <w:p w14:paraId="44FC07EF"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4</w:t>
            </w:r>
          </w:p>
        </w:tc>
        <w:tc>
          <w:tcPr>
            <w:tcW w:w="2434" w:type="dxa"/>
            <w:hideMark/>
          </w:tcPr>
          <w:p w14:paraId="13C947A6"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Explainability and Counterfactuals</w:t>
            </w:r>
          </w:p>
        </w:tc>
        <w:tc>
          <w:tcPr>
            <w:tcW w:w="3400" w:type="dxa"/>
            <w:hideMark/>
          </w:tcPr>
          <w:p w14:paraId="2BCE6D65"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Ensure interpretability of model outputs and simulate decision scenarios.</w:t>
            </w:r>
          </w:p>
        </w:tc>
        <w:tc>
          <w:tcPr>
            <w:tcW w:w="2693" w:type="dxa"/>
            <w:hideMark/>
          </w:tcPr>
          <w:p w14:paraId="2947771C"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SHAP, LIME, Counterfactual Simulation, GenAI-based Natural Language Summarizer</w:t>
            </w:r>
          </w:p>
        </w:tc>
        <w:tc>
          <w:tcPr>
            <w:tcW w:w="3006" w:type="dxa"/>
            <w:hideMark/>
          </w:tcPr>
          <w:p w14:paraId="35B14896"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Derived from previous module outputs</w:t>
            </w:r>
          </w:p>
        </w:tc>
      </w:tr>
      <w:tr w:rsidR="00A754C0" w14:paraId="2BC1DBB9" w14:textId="77777777" w:rsidTr="00A754C0">
        <w:trPr>
          <w:trHeight w:val="580"/>
        </w:trPr>
        <w:tc>
          <w:tcPr>
            <w:tcW w:w="1220" w:type="dxa"/>
            <w:shd w:val="clear" w:color="auto" w:fill="F2F2F2"/>
            <w:hideMark/>
          </w:tcPr>
          <w:p w14:paraId="757634EE"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5</w:t>
            </w:r>
          </w:p>
        </w:tc>
        <w:tc>
          <w:tcPr>
            <w:tcW w:w="2434" w:type="dxa"/>
            <w:shd w:val="clear" w:color="auto" w:fill="F2F2F2"/>
            <w:hideMark/>
          </w:tcPr>
          <w:p w14:paraId="52D98B11"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LangGraph-Orchestrated Pipeline</w:t>
            </w:r>
          </w:p>
        </w:tc>
        <w:tc>
          <w:tcPr>
            <w:tcW w:w="3400" w:type="dxa"/>
            <w:shd w:val="clear" w:color="auto" w:fill="F2F2F2"/>
            <w:hideMark/>
          </w:tcPr>
          <w:p w14:paraId="7EB8E7B5"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Integrate all functional modules into a cohesive, scalable, academic-ready architecture.</w:t>
            </w:r>
          </w:p>
        </w:tc>
        <w:tc>
          <w:tcPr>
            <w:tcW w:w="2693" w:type="dxa"/>
            <w:shd w:val="clear" w:color="auto" w:fill="F2F2F2"/>
            <w:hideMark/>
          </w:tcPr>
          <w:p w14:paraId="169E1779"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LangGraph, modular node implementation</w:t>
            </w:r>
          </w:p>
        </w:tc>
        <w:tc>
          <w:tcPr>
            <w:tcW w:w="3006" w:type="dxa"/>
            <w:shd w:val="clear" w:color="auto" w:fill="F2F2F2"/>
            <w:hideMark/>
          </w:tcPr>
          <w:p w14:paraId="49F7353A"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Interconnections across Modules 1–4</w:t>
            </w:r>
          </w:p>
        </w:tc>
      </w:tr>
      <w:tr w:rsidR="00A754C0" w14:paraId="7594A296" w14:textId="77777777" w:rsidTr="00A754C0">
        <w:trPr>
          <w:trHeight w:val="580"/>
        </w:trPr>
        <w:tc>
          <w:tcPr>
            <w:tcW w:w="1220" w:type="dxa"/>
            <w:hideMark/>
          </w:tcPr>
          <w:p w14:paraId="47170007" w14:textId="77777777" w:rsidR="00A754C0" w:rsidRPr="004A360C" w:rsidRDefault="00A754C0" w:rsidP="00A754C0">
            <w:pPr>
              <w:jc w:val="center"/>
              <w:rPr>
                <w:rFonts w:cs="Calibri"/>
                <w:b/>
                <w:bCs/>
                <w:color w:val="000000"/>
                <w:sz w:val="22"/>
                <w:szCs w:val="22"/>
                <w:lang w:val="en-IN" w:eastAsia="en-IN"/>
              </w:rPr>
            </w:pPr>
            <w:r w:rsidRPr="004A360C">
              <w:rPr>
                <w:rFonts w:cs="Calibri"/>
                <w:b/>
                <w:bCs/>
                <w:color w:val="000000"/>
                <w:sz w:val="22"/>
                <w:szCs w:val="22"/>
                <w:lang w:val="en-IN" w:eastAsia="en-IN"/>
              </w:rPr>
              <w:t>6</w:t>
            </w:r>
          </w:p>
        </w:tc>
        <w:tc>
          <w:tcPr>
            <w:tcW w:w="2434" w:type="dxa"/>
            <w:hideMark/>
          </w:tcPr>
          <w:p w14:paraId="5868F2BE"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Agentic AI Execution Layer</w:t>
            </w:r>
          </w:p>
        </w:tc>
        <w:tc>
          <w:tcPr>
            <w:tcW w:w="3400" w:type="dxa"/>
            <w:hideMark/>
          </w:tcPr>
          <w:p w14:paraId="4D3559EF"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Enable autonomous monitoring, retraining, and pipeline adjustment in response to simulated signals.</w:t>
            </w:r>
          </w:p>
        </w:tc>
        <w:tc>
          <w:tcPr>
            <w:tcW w:w="2693" w:type="dxa"/>
            <w:hideMark/>
          </w:tcPr>
          <w:p w14:paraId="12C809C8"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Autonomous Agents, LangGraph, retraining triggers</w:t>
            </w:r>
          </w:p>
        </w:tc>
        <w:tc>
          <w:tcPr>
            <w:tcW w:w="3006" w:type="dxa"/>
            <w:hideMark/>
          </w:tcPr>
          <w:p w14:paraId="1F2BFCF9" w14:textId="77777777" w:rsidR="00A754C0" w:rsidRPr="004A360C" w:rsidRDefault="00A754C0" w:rsidP="00A754C0">
            <w:pPr>
              <w:rPr>
                <w:rFonts w:cs="Calibri"/>
                <w:color w:val="000000"/>
                <w:sz w:val="22"/>
                <w:szCs w:val="22"/>
                <w:lang w:val="en-IN" w:eastAsia="en-IN"/>
              </w:rPr>
            </w:pPr>
            <w:r w:rsidRPr="004A360C">
              <w:rPr>
                <w:rFonts w:cs="Calibri"/>
                <w:color w:val="000000"/>
                <w:sz w:val="22"/>
                <w:szCs w:val="22"/>
                <w:lang w:val="en-IN" w:eastAsia="en-IN"/>
              </w:rPr>
              <w:t>Simulated events (e.g., data drift, regulatory text changes, model degradation)</w:t>
            </w:r>
          </w:p>
        </w:tc>
      </w:tr>
    </w:tbl>
    <w:p w14:paraId="7B6B8E97" w14:textId="661BA3B3" w:rsidR="004E645C" w:rsidRDefault="004E645C" w:rsidP="00C42101">
      <w:pPr>
        <w:spacing w:line="480" w:lineRule="auto"/>
        <w:jc w:val="both"/>
        <w:rPr>
          <w:rFonts w:ascii="Times New Roman" w:hAnsi="Times New Roman"/>
          <w:b/>
          <w:bCs/>
          <w:u w:val="single"/>
        </w:rPr>
      </w:pPr>
    </w:p>
    <w:p w14:paraId="5E2BD806" w14:textId="5861E018" w:rsidR="004E645C" w:rsidRPr="00C42101" w:rsidRDefault="004E645C" w:rsidP="00C42101">
      <w:pPr>
        <w:spacing w:line="480" w:lineRule="auto"/>
        <w:jc w:val="both"/>
        <w:rPr>
          <w:rFonts w:ascii="Times New Roman" w:hAnsi="Times New Roman"/>
          <w:b/>
          <w:bCs/>
          <w:u w:val="single"/>
        </w:rPr>
        <w:sectPr w:rsidR="004E645C" w:rsidRPr="00C42101" w:rsidSect="00046D12">
          <w:endnotePr>
            <w:numFmt w:val="decimal"/>
          </w:endnotePr>
          <w:pgSz w:w="15840" w:h="12240" w:orient="landscape" w:code="1"/>
          <w:pgMar w:top="1440" w:right="1440" w:bottom="1440" w:left="1440" w:header="709" w:footer="709" w:gutter="0"/>
          <w:cols w:space="708"/>
          <w:docGrid w:linePitch="326"/>
        </w:sectPr>
      </w:pPr>
    </w:p>
    <w:p w14:paraId="4F6E84B5" w14:textId="77777777" w:rsidR="00B50F42" w:rsidRPr="003F1842" w:rsidRDefault="00B50F42" w:rsidP="003F1842">
      <w:pPr>
        <w:spacing w:line="480" w:lineRule="auto"/>
        <w:ind w:firstLine="720"/>
        <w:jc w:val="both"/>
        <w:rPr>
          <w:rFonts w:ascii="Times New Roman" w:hAnsi="Times New Roman"/>
        </w:rPr>
      </w:pPr>
    </w:p>
    <w:bookmarkEnd w:id="6"/>
    <w:p w14:paraId="1CAE810E" w14:textId="77777777" w:rsidR="008723BE" w:rsidRPr="00782BD3" w:rsidRDefault="008723BE" w:rsidP="00D21680">
      <w:pPr>
        <w:pStyle w:val="Heading1"/>
      </w:pPr>
      <w:r w:rsidRPr="00782BD3">
        <w:t>Expected Outcomes</w:t>
      </w:r>
    </w:p>
    <w:p w14:paraId="6D99B180" w14:textId="77777777" w:rsidR="008723BE" w:rsidRPr="00782BD3" w:rsidRDefault="008723BE" w:rsidP="004A2821">
      <w:pPr>
        <w:spacing w:line="480" w:lineRule="auto"/>
        <w:ind w:firstLine="720"/>
        <w:jc w:val="both"/>
        <w:rPr>
          <w:rFonts w:ascii="Times New Roman" w:hAnsi="Times New Roman"/>
        </w:rPr>
      </w:pPr>
      <w:r w:rsidRPr="00782BD3">
        <w:rPr>
          <w:rFonts w:ascii="Times New Roman" w:hAnsi="Times New Roman"/>
        </w:rPr>
        <w:t>This research aims to develop a real-time credit risk engine that directly links client onboarding decisions with Basel-compliant Risk-Weighted Asset (RWA) computations. This integration will allow financial institutions to assess forward-looking capital impacts from the outset of the customer lifecycle, thereby aligning day-to-day credit origination with regulatory expectations related to capital adequacy, risk sensitivity, and supervisory oversight.</w:t>
      </w:r>
    </w:p>
    <w:p w14:paraId="3C3B7D47" w14:textId="77777777" w:rsidR="008723BE" w:rsidRPr="00782BD3" w:rsidRDefault="008723BE" w:rsidP="004A2821">
      <w:pPr>
        <w:spacing w:line="480" w:lineRule="auto"/>
        <w:ind w:firstLine="720"/>
        <w:jc w:val="both"/>
        <w:rPr>
          <w:rFonts w:ascii="Times New Roman" w:hAnsi="Times New Roman"/>
        </w:rPr>
      </w:pPr>
      <w:r w:rsidRPr="00782BD3">
        <w:rPr>
          <w:rFonts w:ascii="Times New Roman" w:hAnsi="Times New Roman"/>
        </w:rPr>
        <w:t>A second outcome involves the formulation of an explainability framework for AI and machine learning models applied to credit risk assessment. Designed to meet regulatory standards for transparency and accountability, this framework will enhance model interpretability without compromising analytical depth. It is expected to support regulatory validation processes and foster institutional trust in AI-enabled risk models.</w:t>
      </w:r>
    </w:p>
    <w:p w14:paraId="5141D759" w14:textId="77777777" w:rsidR="008723BE" w:rsidRPr="00782BD3" w:rsidRDefault="008723BE" w:rsidP="004A2821">
      <w:pPr>
        <w:spacing w:line="480" w:lineRule="auto"/>
        <w:ind w:firstLine="720"/>
        <w:jc w:val="both"/>
        <w:rPr>
          <w:rFonts w:ascii="Times New Roman" w:hAnsi="Times New Roman"/>
        </w:rPr>
      </w:pPr>
      <w:r w:rsidRPr="00782BD3">
        <w:rPr>
          <w:rFonts w:ascii="Times New Roman" w:hAnsi="Times New Roman"/>
        </w:rPr>
        <w:t>The study will also demonstrate the application of generative AI to automate critical components of regulatory reporting, with a focus on RWA calculations. By embedding audit trails and validation checkpoints into GenAI-enabled workflows, the solution aims to reduce manual compliance burdens while improving accuracy, traceability, and operational efficiency.</w:t>
      </w:r>
    </w:p>
    <w:p w14:paraId="65EF40E7" w14:textId="77777777" w:rsidR="008723BE" w:rsidRPr="00782BD3" w:rsidRDefault="008723BE" w:rsidP="004A2821">
      <w:pPr>
        <w:spacing w:line="480" w:lineRule="auto"/>
        <w:ind w:firstLine="720"/>
        <w:jc w:val="both"/>
        <w:rPr>
          <w:rFonts w:ascii="Times New Roman" w:hAnsi="Times New Roman"/>
        </w:rPr>
      </w:pPr>
      <w:r w:rsidRPr="00782BD3">
        <w:rPr>
          <w:rFonts w:ascii="Times New Roman" w:hAnsi="Times New Roman"/>
        </w:rPr>
        <w:t>In addition, the research will produce a LangGraph-based orchestration blueprint that showcases a modular and scalable architecture for deploying AI systems in financial institutions. This blueprint will emphasize interoperability, operational readiness, and seamless integration across credit, compliance, and risk domains—providing a viable pathway for enterprise-level implementation.</w:t>
      </w:r>
    </w:p>
    <w:p w14:paraId="2699DA60" w14:textId="77777777" w:rsidR="008723BE" w:rsidRDefault="008723BE" w:rsidP="004A2821">
      <w:pPr>
        <w:spacing w:line="480" w:lineRule="auto"/>
        <w:ind w:firstLine="720"/>
        <w:jc w:val="both"/>
        <w:rPr>
          <w:rFonts w:ascii="Times New Roman" w:hAnsi="Times New Roman"/>
        </w:rPr>
      </w:pPr>
      <w:r w:rsidRPr="00782BD3">
        <w:rPr>
          <w:rFonts w:ascii="Times New Roman" w:hAnsi="Times New Roman"/>
        </w:rPr>
        <w:t xml:space="preserve">To support benchmarking and promote replicability, the project will release a curated set of open-source synthetic datasets and evaluation metrics specifically designed to measure </w:t>
      </w:r>
      <w:r w:rsidRPr="00782BD3">
        <w:rPr>
          <w:rFonts w:ascii="Times New Roman" w:hAnsi="Times New Roman"/>
        </w:rPr>
        <w:lastRenderedPageBreak/>
        <w:t>incremental capital impact. These resources will facilitate further experimentation, enable comparative assessment of AI solutions, and contribute to the broader research ecosystem focused on regulatory technology and explainable AI.</w:t>
      </w:r>
    </w:p>
    <w:p w14:paraId="34C142DA" w14:textId="7523CB35" w:rsidR="00D21680" w:rsidRDefault="00D21680" w:rsidP="00D21680">
      <w:pPr>
        <w:pStyle w:val="Heading1"/>
      </w:pPr>
      <w:r>
        <w:t>References</w:t>
      </w:r>
    </w:p>
    <w:p w14:paraId="04041490" w14:textId="77777777" w:rsidR="00046D12" w:rsidRPr="00046D12" w:rsidRDefault="001B4AAA" w:rsidP="00046D12">
      <w:pPr>
        <w:pStyle w:val="Bibliography"/>
        <w:rPr>
          <w:rFonts w:ascii="Times New Roman" w:hAnsi="Times New Roman"/>
        </w:rPr>
      </w:pPr>
      <w:r>
        <w:fldChar w:fldCharType="begin"/>
      </w:r>
      <w:r w:rsidR="00046D12">
        <w:instrText xml:space="preserve"> ADDIN ZOTERO_BIBL {"uncited":[],"omitted":[],"custom":[]} CSL_BIBLIOGRAPHY </w:instrText>
      </w:r>
      <w:r>
        <w:fldChar w:fldCharType="separate"/>
      </w:r>
      <w:r w:rsidR="00046D12" w:rsidRPr="00046D12">
        <w:rPr>
          <w:rFonts w:ascii="Times New Roman" w:hAnsi="Times New Roman"/>
        </w:rPr>
        <w:t xml:space="preserve">Anguren, R., Jiménez, G., &amp; Peydró, J.-L. (2024). Bank capital requirements and risk-taking: Evidence from basel III. </w:t>
      </w:r>
      <w:r w:rsidR="00046D12" w:rsidRPr="00046D12">
        <w:rPr>
          <w:rFonts w:ascii="Times New Roman" w:hAnsi="Times New Roman"/>
          <w:i/>
          <w:iCs/>
        </w:rPr>
        <w:t>Journal of Financial Stability</w:t>
      </w:r>
      <w:r w:rsidR="00046D12" w:rsidRPr="00046D12">
        <w:rPr>
          <w:rFonts w:ascii="Times New Roman" w:hAnsi="Times New Roman"/>
        </w:rPr>
        <w:t xml:space="preserve">, </w:t>
      </w:r>
      <w:r w:rsidR="00046D12" w:rsidRPr="00046D12">
        <w:rPr>
          <w:rFonts w:ascii="Times New Roman" w:hAnsi="Times New Roman"/>
          <w:i/>
          <w:iCs/>
        </w:rPr>
        <w:t>74</w:t>
      </w:r>
      <w:r w:rsidR="00046D12" w:rsidRPr="00046D12">
        <w:rPr>
          <w:rFonts w:ascii="Times New Roman" w:hAnsi="Times New Roman"/>
        </w:rPr>
        <w:t>, 101292. https://doi.org/10.1016/j.jfs.2024.101292</w:t>
      </w:r>
    </w:p>
    <w:p w14:paraId="2B95801A"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Aracil, E., Nájera-Sánchez, J.-J., &amp; Forcadell, F. J. (2021). Sustainable banking: A literature review and integrative framework. </w:t>
      </w:r>
      <w:r w:rsidRPr="00046D12">
        <w:rPr>
          <w:rFonts w:ascii="Times New Roman" w:hAnsi="Times New Roman"/>
          <w:i/>
          <w:iCs/>
        </w:rPr>
        <w:t>Finance Research Letters</w:t>
      </w:r>
      <w:r w:rsidRPr="00046D12">
        <w:rPr>
          <w:rFonts w:ascii="Times New Roman" w:hAnsi="Times New Roman"/>
        </w:rPr>
        <w:t xml:space="preserve">, </w:t>
      </w:r>
      <w:r w:rsidRPr="00046D12">
        <w:rPr>
          <w:rFonts w:ascii="Times New Roman" w:hAnsi="Times New Roman"/>
          <w:i/>
          <w:iCs/>
        </w:rPr>
        <w:t>42</w:t>
      </w:r>
      <w:r w:rsidRPr="00046D12">
        <w:rPr>
          <w:rFonts w:ascii="Times New Roman" w:hAnsi="Times New Roman"/>
        </w:rPr>
        <w:t>, 101932. https://doi.org/10.1016/j.frl.2021.101932</w:t>
      </w:r>
    </w:p>
    <w:p w14:paraId="21602A3B"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Bank für Internationalen Zahlungsausgleich &amp; Basel Committee on Banking Supervision (Eds.). (2022). </w:t>
      </w:r>
      <w:r w:rsidRPr="00046D12">
        <w:rPr>
          <w:rFonts w:ascii="Times New Roman" w:hAnsi="Times New Roman"/>
          <w:i/>
          <w:iCs/>
        </w:rPr>
        <w:t>Evaluation of the impact and efficacy of the Basel III reforms</w:t>
      </w:r>
      <w:r w:rsidRPr="00046D12">
        <w:rPr>
          <w:rFonts w:ascii="Times New Roman" w:hAnsi="Times New Roman"/>
        </w:rPr>
        <w:t>. Bank for International Settlements.</w:t>
      </w:r>
    </w:p>
    <w:p w14:paraId="0140E989"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Bashir, A., Salman, A., Itani, R., &amp; Faccia, A. (2025). Assessing Basel Capital Regulations: Exploring the Risk and Efficiency Relationship in Emerging Economies. </w:t>
      </w:r>
      <w:r w:rsidRPr="00046D12">
        <w:rPr>
          <w:rFonts w:ascii="Times New Roman" w:hAnsi="Times New Roman"/>
          <w:i/>
          <w:iCs/>
        </w:rPr>
        <w:t>Journal of Risk and Financial Management</w:t>
      </w:r>
      <w:r w:rsidRPr="00046D12">
        <w:rPr>
          <w:rFonts w:ascii="Times New Roman" w:hAnsi="Times New Roman"/>
        </w:rPr>
        <w:t xml:space="preserve">, </w:t>
      </w:r>
      <w:r w:rsidRPr="00046D12">
        <w:rPr>
          <w:rFonts w:ascii="Times New Roman" w:hAnsi="Times New Roman"/>
          <w:i/>
          <w:iCs/>
        </w:rPr>
        <w:t>18</w:t>
      </w:r>
      <w:r w:rsidRPr="00046D12">
        <w:rPr>
          <w:rFonts w:ascii="Times New Roman" w:hAnsi="Times New Roman"/>
        </w:rPr>
        <w:t>(1), Article 1. https://doi.org/10.3390/jrfm18010036</w:t>
      </w:r>
    </w:p>
    <w:p w14:paraId="324BE6EA"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Cao, Z., &amp; Feinstein, Z. (2024). </w:t>
      </w:r>
      <w:r w:rsidRPr="00046D12">
        <w:rPr>
          <w:rFonts w:ascii="Times New Roman" w:hAnsi="Times New Roman"/>
          <w:i/>
          <w:iCs/>
        </w:rPr>
        <w:t>Large Language Model in Financial Regulatory Interpretation</w:t>
      </w:r>
      <w:r w:rsidRPr="00046D12">
        <w:rPr>
          <w:rFonts w:ascii="Times New Roman" w:hAnsi="Times New Roman"/>
        </w:rPr>
        <w:t xml:space="preserve"> (No. arXiv:2405.06808). arXiv. https://doi.org/10.48550/arXiv.2405.06808</w:t>
      </w:r>
    </w:p>
    <w:p w14:paraId="24E6770D"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De Lange, P. E., Melsom, B., Vennerød, C. B., &amp; Westgaard, S. (2022). Explainable AI for Credit Assessment in Banks. </w:t>
      </w:r>
      <w:r w:rsidRPr="00046D12">
        <w:rPr>
          <w:rFonts w:ascii="Times New Roman" w:hAnsi="Times New Roman"/>
          <w:i/>
          <w:iCs/>
        </w:rPr>
        <w:t>Journal of Risk and Financial Management</w:t>
      </w:r>
      <w:r w:rsidRPr="00046D12">
        <w:rPr>
          <w:rFonts w:ascii="Times New Roman" w:hAnsi="Times New Roman"/>
        </w:rPr>
        <w:t xml:space="preserve">, </w:t>
      </w:r>
      <w:r w:rsidRPr="00046D12">
        <w:rPr>
          <w:rFonts w:ascii="Times New Roman" w:hAnsi="Times New Roman"/>
          <w:i/>
          <w:iCs/>
        </w:rPr>
        <w:t>15</w:t>
      </w:r>
      <w:r w:rsidRPr="00046D12">
        <w:rPr>
          <w:rFonts w:ascii="Times New Roman" w:hAnsi="Times New Roman"/>
        </w:rPr>
        <w:t>(12), 556. https://doi.org/10.3390/jrfm15120556</w:t>
      </w:r>
    </w:p>
    <w:p w14:paraId="3871FD1C"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Fazlija, B., Ibraimi, M., Forouzandeh, A., &amp; Fazlija, A. (2025). </w:t>
      </w:r>
      <w:r w:rsidRPr="00046D12">
        <w:rPr>
          <w:rFonts w:ascii="Times New Roman" w:hAnsi="Times New Roman"/>
          <w:i/>
          <w:iCs/>
        </w:rPr>
        <w:t>Implementing Financial Regulations Using Large Language Models</w:t>
      </w:r>
      <w:r w:rsidRPr="00046D12">
        <w:rPr>
          <w:rFonts w:ascii="Times New Roman" w:hAnsi="Times New Roman"/>
        </w:rPr>
        <w:t>. SSRN. https://doi.org/10.2139/ssrn.5010694</w:t>
      </w:r>
    </w:p>
    <w:p w14:paraId="0807F307" w14:textId="77777777" w:rsidR="00046D12" w:rsidRPr="00046D12" w:rsidRDefault="00046D12" w:rsidP="00046D12">
      <w:pPr>
        <w:pStyle w:val="Bibliography"/>
        <w:rPr>
          <w:rFonts w:ascii="Times New Roman" w:hAnsi="Times New Roman"/>
        </w:rPr>
      </w:pPr>
      <w:r w:rsidRPr="00046D12">
        <w:rPr>
          <w:rFonts w:ascii="Times New Roman" w:hAnsi="Times New Roman"/>
        </w:rPr>
        <w:lastRenderedPageBreak/>
        <w:t xml:space="preserve">Haeri, A., Vitrano, J., &amp; Ghelichi, M. (2025). </w:t>
      </w:r>
      <w:r w:rsidRPr="00046D12">
        <w:rPr>
          <w:rFonts w:ascii="Times New Roman" w:hAnsi="Times New Roman"/>
          <w:i/>
          <w:iCs/>
        </w:rPr>
        <w:t>Generative AI Enhanced Financial Risk Management Information Retrieval</w:t>
      </w:r>
      <w:r w:rsidRPr="00046D12">
        <w:rPr>
          <w:rFonts w:ascii="Times New Roman" w:hAnsi="Times New Roman"/>
        </w:rPr>
        <w:t xml:space="preserve"> (No. arXiv:2504.06293). arXiv. https://doi.org/10.48550/arXiv.2504.06293</w:t>
      </w:r>
    </w:p>
    <w:p w14:paraId="3403193A"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II, M. J. B., &amp; Katz, D. M. (2017). </w:t>
      </w:r>
      <w:r w:rsidRPr="00046D12">
        <w:rPr>
          <w:rFonts w:ascii="Times New Roman" w:hAnsi="Times New Roman"/>
          <w:i/>
          <w:iCs/>
        </w:rPr>
        <w:t>Measuring the temperature and diversity of the U.S. regulatory ecosystem</w:t>
      </w:r>
      <w:r w:rsidRPr="00046D12">
        <w:rPr>
          <w:rFonts w:ascii="Times New Roman" w:hAnsi="Times New Roman"/>
        </w:rPr>
        <w:t xml:space="preserve"> (No. arXiv:1612.09244). arXiv. https://doi.org/10.48550/arXiv.1612.09244</w:t>
      </w:r>
    </w:p>
    <w:p w14:paraId="75EB9D0F"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Jones, E., &amp; Zeitz, A. O. (2017). The Limits of Globalizing Basel Banking Standards. </w:t>
      </w:r>
      <w:r w:rsidRPr="00046D12">
        <w:rPr>
          <w:rFonts w:ascii="Times New Roman" w:hAnsi="Times New Roman"/>
          <w:i/>
          <w:iCs/>
        </w:rPr>
        <w:t>Journal of Financial Regulation</w:t>
      </w:r>
      <w:r w:rsidRPr="00046D12">
        <w:rPr>
          <w:rFonts w:ascii="Times New Roman" w:hAnsi="Times New Roman"/>
        </w:rPr>
        <w:t xml:space="preserve">, </w:t>
      </w:r>
      <w:r w:rsidRPr="00046D12">
        <w:rPr>
          <w:rFonts w:ascii="Times New Roman" w:hAnsi="Times New Roman"/>
          <w:i/>
          <w:iCs/>
        </w:rPr>
        <w:t>3</w:t>
      </w:r>
      <w:r w:rsidRPr="00046D12">
        <w:rPr>
          <w:rFonts w:ascii="Times New Roman" w:hAnsi="Times New Roman"/>
        </w:rPr>
        <w:t>(1), 89–124. https://doi.org/10.1093/jfr/fjx001</w:t>
      </w:r>
    </w:p>
    <w:p w14:paraId="6AF5443A"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Joshi, S. (n.d.). </w:t>
      </w:r>
      <w:r w:rsidRPr="00046D12">
        <w:rPr>
          <w:rFonts w:ascii="Times New Roman" w:hAnsi="Times New Roman"/>
          <w:i/>
          <w:iCs/>
        </w:rPr>
        <w:t>Review of Gen AI Models for Financial Risk Management: Architectural Frameworks and Implementation Strategies</w:t>
      </w:r>
      <w:r w:rsidRPr="00046D12">
        <w:rPr>
          <w:rFonts w:ascii="Times New Roman" w:hAnsi="Times New Roman"/>
        </w:rPr>
        <w:t>.</w:t>
      </w:r>
    </w:p>
    <w:p w14:paraId="5E4767F8"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Junge, G., &amp; Kugler, P. (2018). Optimal equity capital requirements for large Swiss banks. </w:t>
      </w:r>
      <w:r w:rsidRPr="00046D12">
        <w:rPr>
          <w:rFonts w:ascii="Times New Roman" w:hAnsi="Times New Roman"/>
          <w:i/>
          <w:iCs/>
        </w:rPr>
        <w:t>Swiss Journal of Economics and Statistics</w:t>
      </w:r>
      <w:r w:rsidRPr="00046D12">
        <w:rPr>
          <w:rFonts w:ascii="Times New Roman" w:hAnsi="Times New Roman"/>
        </w:rPr>
        <w:t xml:space="preserve">, </w:t>
      </w:r>
      <w:r w:rsidRPr="00046D12">
        <w:rPr>
          <w:rFonts w:ascii="Times New Roman" w:hAnsi="Times New Roman"/>
          <w:i/>
          <w:iCs/>
        </w:rPr>
        <w:t>154</w:t>
      </w:r>
      <w:r w:rsidRPr="00046D12">
        <w:rPr>
          <w:rFonts w:ascii="Times New Roman" w:hAnsi="Times New Roman"/>
        </w:rPr>
        <w:t>(1), 22. https://doi.org/10.1186/s41937-018-0025-z</w:t>
      </w:r>
    </w:p>
    <w:p w14:paraId="746C7B85"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Khandani, A. E., Kim, A. J., &amp; Lo, A. W. (2010). Consumer credit-risk models via machine-learning algorithms. </w:t>
      </w:r>
      <w:r w:rsidRPr="00046D12">
        <w:rPr>
          <w:rFonts w:ascii="Times New Roman" w:hAnsi="Times New Roman"/>
          <w:i/>
          <w:iCs/>
        </w:rPr>
        <w:t>Journal of Banking &amp; Finance</w:t>
      </w:r>
      <w:r w:rsidRPr="00046D12">
        <w:rPr>
          <w:rFonts w:ascii="Times New Roman" w:hAnsi="Times New Roman"/>
        </w:rPr>
        <w:t xml:space="preserve">, </w:t>
      </w:r>
      <w:r w:rsidRPr="00046D12">
        <w:rPr>
          <w:rFonts w:ascii="Times New Roman" w:hAnsi="Times New Roman"/>
          <w:i/>
          <w:iCs/>
        </w:rPr>
        <w:t>34</w:t>
      </w:r>
      <w:r w:rsidRPr="00046D12">
        <w:rPr>
          <w:rFonts w:ascii="Times New Roman" w:hAnsi="Times New Roman"/>
        </w:rPr>
        <w:t>(11), 2767–2787. https://doi.org/10.1016/j.jbankfin.2010.06.001</w:t>
      </w:r>
    </w:p>
    <w:p w14:paraId="00CB82C6" w14:textId="77777777" w:rsidR="00046D12" w:rsidRPr="00046D12" w:rsidRDefault="00046D12" w:rsidP="00046D12">
      <w:pPr>
        <w:pStyle w:val="Bibliography"/>
        <w:rPr>
          <w:rFonts w:ascii="Times New Roman" w:hAnsi="Times New Roman"/>
        </w:rPr>
      </w:pPr>
      <w:r w:rsidRPr="00046D12">
        <w:rPr>
          <w:rFonts w:ascii="Times New Roman" w:hAnsi="Times New Roman"/>
        </w:rPr>
        <w:t xml:space="preserve">Kumar, V., Saheb, S. S., Preeti, Ghayas, A., Kumari, S., Chandel, J. K., Pandey, S. K., &amp; Kumar, S. (2023). AI-Based Hybrid Models for Predicting Loan Risk in the Banking Sector. </w:t>
      </w:r>
      <w:r w:rsidRPr="00046D12">
        <w:rPr>
          <w:rFonts w:ascii="Times New Roman" w:hAnsi="Times New Roman"/>
          <w:i/>
          <w:iCs/>
        </w:rPr>
        <w:t>Big Data Mining and Analytics</w:t>
      </w:r>
      <w:r w:rsidRPr="00046D12">
        <w:rPr>
          <w:rFonts w:ascii="Times New Roman" w:hAnsi="Times New Roman"/>
        </w:rPr>
        <w:t xml:space="preserve">, </w:t>
      </w:r>
      <w:r w:rsidRPr="00046D12">
        <w:rPr>
          <w:rFonts w:ascii="Times New Roman" w:hAnsi="Times New Roman"/>
          <w:i/>
          <w:iCs/>
        </w:rPr>
        <w:t>6</w:t>
      </w:r>
      <w:r w:rsidRPr="00046D12">
        <w:rPr>
          <w:rFonts w:ascii="Times New Roman" w:hAnsi="Times New Roman"/>
        </w:rPr>
        <w:t>(4), 478–490. https://doi.org/10.26599/BDMA.2022.9020037</w:t>
      </w:r>
    </w:p>
    <w:p w14:paraId="31DF5304" w14:textId="24A97CB5" w:rsidR="009C1D15" w:rsidRPr="00782BD3" w:rsidRDefault="00046D12" w:rsidP="00046D12">
      <w:pPr>
        <w:pStyle w:val="Bibliography"/>
        <w:rPr>
          <w:rFonts w:ascii="Times New Roman" w:hAnsi="Times New Roman"/>
        </w:rPr>
      </w:pPr>
      <w:r w:rsidRPr="00046D12">
        <w:rPr>
          <w:rFonts w:ascii="Times New Roman" w:hAnsi="Times New Roman"/>
        </w:rPr>
        <w:t xml:space="preserve">Sigrist, F., &amp; Leuenberger, N. (2023). Machine learning for corporate default risk: Multi-period prediction, frailty correlation, loan portfolios, and tail probabilities. </w:t>
      </w:r>
      <w:r w:rsidRPr="00046D12">
        <w:rPr>
          <w:rFonts w:ascii="Times New Roman" w:hAnsi="Times New Roman"/>
          <w:i/>
          <w:iCs/>
        </w:rPr>
        <w:t>European Journal of Operational Research</w:t>
      </w:r>
      <w:r w:rsidRPr="00046D12">
        <w:rPr>
          <w:rFonts w:ascii="Times New Roman" w:hAnsi="Times New Roman"/>
        </w:rPr>
        <w:t xml:space="preserve">, </w:t>
      </w:r>
      <w:r w:rsidRPr="00046D12">
        <w:rPr>
          <w:rFonts w:ascii="Times New Roman" w:hAnsi="Times New Roman"/>
          <w:i/>
          <w:iCs/>
        </w:rPr>
        <w:t>305</w:t>
      </w:r>
      <w:r w:rsidRPr="00046D12">
        <w:rPr>
          <w:rFonts w:ascii="Times New Roman" w:hAnsi="Times New Roman"/>
        </w:rPr>
        <w:t>(3), 1390–1406. https://doi.org/10.1016/j.ejor.2022.06.035</w:t>
      </w:r>
      <w:r w:rsidR="001B4AAA">
        <w:rPr>
          <w:rFonts w:ascii="Times New Roman" w:hAnsi="Times New Roman"/>
        </w:rPr>
        <w:fldChar w:fldCharType="end"/>
      </w:r>
    </w:p>
    <w:sectPr w:rsidR="009C1D15" w:rsidRPr="00782BD3" w:rsidSect="00046D12">
      <w:endnotePr>
        <w:numFmt w:val="decimal"/>
      </w:endnotePr>
      <w:pgSz w:w="12240" w:h="15840" w:code="1"/>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F533F" w14:textId="77777777" w:rsidR="009023A3" w:rsidRDefault="009023A3">
      <w:r>
        <w:separator/>
      </w:r>
    </w:p>
  </w:endnote>
  <w:endnote w:type="continuationSeparator" w:id="0">
    <w:p w14:paraId="5E4DF937" w14:textId="77777777" w:rsidR="009023A3" w:rsidRDefault="0090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79AE4" w14:textId="77777777" w:rsidR="00814C84" w:rsidRDefault="00814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3A17" w14:textId="77777777" w:rsidR="00700F0C" w:rsidRDefault="00052ECB">
    <w:pPr>
      <w:widowControl w:val="0"/>
      <w:autoSpaceDE w:val="0"/>
      <w:autoSpaceDN w:val="0"/>
      <w:adjustRightInd w:val="0"/>
      <w:jc w:val="center"/>
      <w:rPr>
        <w:rFonts w:ascii="Candara" w:hAnsi="Candara" w:cs="Candara"/>
      </w:rPr>
    </w:pPr>
    <w:r>
      <w:rPr>
        <w:rFonts w:ascii="Candara" w:hAnsi="Candara" w:cs="Candara"/>
      </w:rPr>
      <w:fldChar w:fldCharType="begin"/>
    </w:r>
    <w:r>
      <w:rPr>
        <w:rFonts w:ascii="Candara" w:hAnsi="Candara" w:cs="Candara"/>
      </w:rPr>
      <w:instrText>PAGE</w:instrText>
    </w:r>
    <w:r>
      <w:rPr>
        <w:rFonts w:ascii="Candara" w:hAnsi="Candara" w:cs="Candara"/>
      </w:rPr>
      <w:fldChar w:fldCharType="separate"/>
    </w:r>
    <w:r>
      <w:rPr>
        <w:rFonts w:ascii="Candara" w:hAnsi="Candara" w:cs="Candara"/>
      </w:rPr>
      <w:t>XXX</w:t>
    </w:r>
    <w:r>
      <w:rPr>
        <w:rFonts w:ascii="Candara" w:hAnsi="Candara" w:cs="Candar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42DE1" w14:textId="77777777" w:rsidR="00814C84" w:rsidRDefault="00814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35BDC" w14:textId="77777777" w:rsidR="009023A3" w:rsidRDefault="009023A3">
      <w:r>
        <w:separator/>
      </w:r>
    </w:p>
  </w:footnote>
  <w:footnote w:type="continuationSeparator" w:id="0">
    <w:p w14:paraId="592002E1" w14:textId="77777777" w:rsidR="009023A3" w:rsidRDefault="00902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EE4A" w14:textId="77777777" w:rsidR="00814C84" w:rsidRDefault="00814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B4FD" w14:textId="77777777" w:rsidR="009E2668" w:rsidRDefault="009E2668">
    <w:pPr>
      <w:pStyle w:val="Header"/>
      <w:jc w:val="right"/>
    </w:pPr>
    <w:r>
      <w:fldChar w:fldCharType="begin"/>
    </w:r>
    <w:r>
      <w:instrText xml:space="preserve"> PAGE   \* MERGEFORMAT </w:instrText>
    </w:r>
    <w:r>
      <w:fldChar w:fldCharType="separate"/>
    </w:r>
    <w:r>
      <w:rPr>
        <w:noProof/>
      </w:rPr>
      <w:t>2</w:t>
    </w:r>
    <w:r>
      <w:rPr>
        <w:noProof/>
      </w:rPr>
      <w:fldChar w:fldCharType="end"/>
    </w:r>
  </w:p>
  <w:p w14:paraId="53E43A16" w14:textId="77777777" w:rsidR="00700F0C" w:rsidRDefault="00700F0C">
    <w:pPr>
      <w:widowControl w:val="0"/>
      <w:autoSpaceDE w:val="0"/>
      <w:autoSpaceDN w:val="0"/>
      <w:adjustRightInd w:val="0"/>
      <w:rPr>
        <w:rFonts w:ascii="Courier New" w:hAnsi="Courier New" w:cs="Courier Ne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E5FE3" w14:textId="77777777" w:rsidR="00814C84" w:rsidRDefault="00814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58A5CA2">
      <w:start w:val="1"/>
      <w:numFmt w:val="decimal"/>
      <w:lvlText w:val="%1."/>
      <w:lvlJc w:val="left"/>
      <w:pPr>
        <w:ind w:left="720" w:hanging="500"/>
      </w:pPr>
      <w:rPr>
        <w:rFonts w:ascii="Times New Roman" w:hAnsi="Times New Roman"/>
        <w:b w:val="0"/>
        <w:i w:val="0"/>
        <w:sz w:val="22"/>
      </w:rPr>
    </w:lvl>
    <w:lvl w:ilvl="1" w:tplc="3B847FC8">
      <w:start w:val="1"/>
      <w:numFmt w:val="decimal"/>
      <w:lvlText w:val=""/>
      <w:lvlJc w:val="left"/>
    </w:lvl>
    <w:lvl w:ilvl="2" w:tplc="94BA4E52">
      <w:start w:val="1"/>
      <w:numFmt w:val="decimal"/>
      <w:lvlText w:val=""/>
      <w:lvlJc w:val="left"/>
    </w:lvl>
    <w:lvl w:ilvl="3" w:tplc="FCC6CFFE">
      <w:start w:val="1"/>
      <w:numFmt w:val="decimal"/>
      <w:lvlText w:val=""/>
      <w:lvlJc w:val="left"/>
    </w:lvl>
    <w:lvl w:ilvl="4" w:tplc="F672299A">
      <w:start w:val="1"/>
      <w:numFmt w:val="decimal"/>
      <w:lvlText w:val=""/>
      <w:lvlJc w:val="left"/>
    </w:lvl>
    <w:lvl w:ilvl="5" w:tplc="43F2237E">
      <w:start w:val="1"/>
      <w:numFmt w:val="decimal"/>
      <w:lvlText w:val=""/>
      <w:lvlJc w:val="left"/>
    </w:lvl>
    <w:lvl w:ilvl="6" w:tplc="DFC04D88">
      <w:start w:val="1"/>
      <w:numFmt w:val="decimal"/>
      <w:lvlText w:val=""/>
      <w:lvlJc w:val="left"/>
    </w:lvl>
    <w:lvl w:ilvl="7" w:tplc="D8D87508">
      <w:start w:val="1"/>
      <w:numFmt w:val="decimal"/>
      <w:lvlText w:val=""/>
      <w:lvlJc w:val="left"/>
    </w:lvl>
    <w:lvl w:ilvl="8" w:tplc="4B9C1008">
      <w:start w:val="1"/>
      <w:numFmt w:val="decimal"/>
      <w:lvlText w:val=""/>
      <w:lvlJc w:val="left"/>
    </w:lvl>
  </w:abstractNum>
  <w:abstractNum w:abstractNumId="1" w15:restartNumberingAfterBreak="0">
    <w:nsid w:val="02DC70DA"/>
    <w:multiLevelType w:val="hybridMultilevel"/>
    <w:tmpl w:val="7B7244B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412FC6"/>
    <w:multiLevelType w:val="hybridMultilevel"/>
    <w:tmpl w:val="0720941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0EF4429"/>
    <w:multiLevelType w:val="multilevel"/>
    <w:tmpl w:val="32B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9465B"/>
    <w:multiLevelType w:val="multilevel"/>
    <w:tmpl w:val="94E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81ACA"/>
    <w:multiLevelType w:val="hybridMultilevel"/>
    <w:tmpl w:val="C7440F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BB304E"/>
    <w:multiLevelType w:val="hybridMultilevel"/>
    <w:tmpl w:val="AE0A3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4055F0"/>
    <w:multiLevelType w:val="multilevel"/>
    <w:tmpl w:val="421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74314"/>
    <w:multiLevelType w:val="hybridMultilevel"/>
    <w:tmpl w:val="1E30637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8AA6995"/>
    <w:multiLevelType w:val="multilevel"/>
    <w:tmpl w:val="A67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85F75"/>
    <w:multiLevelType w:val="multilevel"/>
    <w:tmpl w:val="AD7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24AA6"/>
    <w:multiLevelType w:val="multilevel"/>
    <w:tmpl w:val="149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24B45"/>
    <w:multiLevelType w:val="multilevel"/>
    <w:tmpl w:val="DA5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D19B1"/>
    <w:multiLevelType w:val="multilevel"/>
    <w:tmpl w:val="AAB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85CCA"/>
    <w:multiLevelType w:val="multilevel"/>
    <w:tmpl w:val="F6D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3830"/>
    <w:multiLevelType w:val="multilevel"/>
    <w:tmpl w:val="A4E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27E14"/>
    <w:multiLevelType w:val="hybridMultilevel"/>
    <w:tmpl w:val="9DDC84D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FCE7AE2"/>
    <w:multiLevelType w:val="hybridMultilevel"/>
    <w:tmpl w:val="E53847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28C37DE"/>
    <w:multiLevelType w:val="hybridMultilevel"/>
    <w:tmpl w:val="ECA63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4BD3A08"/>
    <w:multiLevelType w:val="multilevel"/>
    <w:tmpl w:val="F1B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E52E5"/>
    <w:multiLevelType w:val="multilevel"/>
    <w:tmpl w:val="D91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84F59"/>
    <w:multiLevelType w:val="multilevel"/>
    <w:tmpl w:val="88E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702508">
    <w:abstractNumId w:val="0"/>
  </w:num>
  <w:num w:numId="2" w16cid:durableId="467088919">
    <w:abstractNumId w:val="14"/>
  </w:num>
  <w:num w:numId="3" w16cid:durableId="99372885">
    <w:abstractNumId w:val="9"/>
  </w:num>
  <w:num w:numId="4" w16cid:durableId="1753316332">
    <w:abstractNumId w:val="7"/>
  </w:num>
  <w:num w:numId="5" w16cid:durableId="362248002">
    <w:abstractNumId w:val="10"/>
  </w:num>
  <w:num w:numId="6" w16cid:durableId="1494493164">
    <w:abstractNumId w:val="20"/>
  </w:num>
  <w:num w:numId="7" w16cid:durableId="1792741630">
    <w:abstractNumId w:val="13"/>
  </w:num>
  <w:num w:numId="8" w16cid:durableId="116799627">
    <w:abstractNumId w:val="3"/>
  </w:num>
  <w:num w:numId="9" w16cid:durableId="1374503939">
    <w:abstractNumId w:val="19"/>
  </w:num>
  <w:num w:numId="10" w16cid:durableId="1285846671">
    <w:abstractNumId w:val="21"/>
  </w:num>
  <w:num w:numId="11" w16cid:durableId="421728133">
    <w:abstractNumId w:val="4"/>
  </w:num>
  <w:num w:numId="12" w16cid:durableId="546844020">
    <w:abstractNumId w:val="18"/>
  </w:num>
  <w:num w:numId="13" w16cid:durableId="604382216">
    <w:abstractNumId w:val="8"/>
  </w:num>
  <w:num w:numId="14" w16cid:durableId="860245625">
    <w:abstractNumId w:val="1"/>
  </w:num>
  <w:num w:numId="15" w16cid:durableId="1106078461">
    <w:abstractNumId w:val="6"/>
  </w:num>
  <w:num w:numId="16" w16cid:durableId="1927809204">
    <w:abstractNumId w:val="2"/>
  </w:num>
  <w:num w:numId="17" w16cid:durableId="113669916">
    <w:abstractNumId w:val="16"/>
  </w:num>
  <w:num w:numId="18" w16cid:durableId="1313946118">
    <w:abstractNumId w:val="5"/>
  </w:num>
  <w:num w:numId="19" w16cid:durableId="1722630213">
    <w:abstractNumId w:val="15"/>
  </w:num>
  <w:num w:numId="20" w16cid:durableId="164637276">
    <w:abstractNumId w:val="11"/>
  </w:num>
  <w:num w:numId="21" w16cid:durableId="697780745">
    <w:abstractNumId w:val="12"/>
  </w:num>
  <w:num w:numId="22" w16cid:durableId="187669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0F0C"/>
    <w:rsid w:val="00046D12"/>
    <w:rsid w:val="00052ECB"/>
    <w:rsid w:val="00084D5C"/>
    <w:rsid w:val="000967E1"/>
    <w:rsid w:val="000974C0"/>
    <w:rsid w:val="000A67AC"/>
    <w:rsid w:val="000B58A5"/>
    <w:rsid w:val="000C16B5"/>
    <w:rsid w:val="000C7119"/>
    <w:rsid w:val="000F022D"/>
    <w:rsid w:val="001108EF"/>
    <w:rsid w:val="00131DAF"/>
    <w:rsid w:val="00173853"/>
    <w:rsid w:val="001A6DD1"/>
    <w:rsid w:val="001B1930"/>
    <w:rsid w:val="001B4AAA"/>
    <w:rsid w:val="001F093B"/>
    <w:rsid w:val="00204B83"/>
    <w:rsid w:val="00255DF2"/>
    <w:rsid w:val="002563E7"/>
    <w:rsid w:val="00285FE6"/>
    <w:rsid w:val="002B6572"/>
    <w:rsid w:val="00300F1E"/>
    <w:rsid w:val="003567CE"/>
    <w:rsid w:val="003A4831"/>
    <w:rsid w:val="003A5CD4"/>
    <w:rsid w:val="003B213E"/>
    <w:rsid w:val="003B7373"/>
    <w:rsid w:val="003B76A0"/>
    <w:rsid w:val="003F1842"/>
    <w:rsid w:val="00461A5D"/>
    <w:rsid w:val="00462D92"/>
    <w:rsid w:val="0046587C"/>
    <w:rsid w:val="00471A6A"/>
    <w:rsid w:val="00477AA9"/>
    <w:rsid w:val="00494833"/>
    <w:rsid w:val="004A2821"/>
    <w:rsid w:val="004A360C"/>
    <w:rsid w:val="004D06AC"/>
    <w:rsid w:val="004E645C"/>
    <w:rsid w:val="0051203A"/>
    <w:rsid w:val="00513CCB"/>
    <w:rsid w:val="00544872"/>
    <w:rsid w:val="00572B41"/>
    <w:rsid w:val="005810C5"/>
    <w:rsid w:val="00596346"/>
    <w:rsid w:val="005A2B23"/>
    <w:rsid w:val="005B0DA6"/>
    <w:rsid w:val="005D6235"/>
    <w:rsid w:val="0062637A"/>
    <w:rsid w:val="00661663"/>
    <w:rsid w:val="00670091"/>
    <w:rsid w:val="0069416C"/>
    <w:rsid w:val="006D1116"/>
    <w:rsid w:val="006F6378"/>
    <w:rsid w:val="006F689E"/>
    <w:rsid w:val="00700F0C"/>
    <w:rsid w:val="0073324F"/>
    <w:rsid w:val="007550FB"/>
    <w:rsid w:val="00776E55"/>
    <w:rsid w:val="00782BD3"/>
    <w:rsid w:val="007C4BAB"/>
    <w:rsid w:val="00814C84"/>
    <w:rsid w:val="00825401"/>
    <w:rsid w:val="00843B8D"/>
    <w:rsid w:val="0086668C"/>
    <w:rsid w:val="008715E5"/>
    <w:rsid w:val="008723BE"/>
    <w:rsid w:val="008853A1"/>
    <w:rsid w:val="008B1A53"/>
    <w:rsid w:val="008B62A5"/>
    <w:rsid w:val="008C48E7"/>
    <w:rsid w:val="008C53B8"/>
    <w:rsid w:val="008E1CD9"/>
    <w:rsid w:val="008F122B"/>
    <w:rsid w:val="008F3CA4"/>
    <w:rsid w:val="008F5ED2"/>
    <w:rsid w:val="009023A3"/>
    <w:rsid w:val="00931929"/>
    <w:rsid w:val="00945380"/>
    <w:rsid w:val="00957F1C"/>
    <w:rsid w:val="00960B5C"/>
    <w:rsid w:val="009C1D15"/>
    <w:rsid w:val="009D5C1F"/>
    <w:rsid w:val="009E2668"/>
    <w:rsid w:val="009E3069"/>
    <w:rsid w:val="00A5129A"/>
    <w:rsid w:val="00A754C0"/>
    <w:rsid w:val="00A95B55"/>
    <w:rsid w:val="00AE787F"/>
    <w:rsid w:val="00B37816"/>
    <w:rsid w:val="00B40E8A"/>
    <w:rsid w:val="00B45103"/>
    <w:rsid w:val="00B50F42"/>
    <w:rsid w:val="00B829EE"/>
    <w:rsid w:val="00BC71BD"/>
    <w:rsid w:val="00BD0749"/>
    <w:rsid w:val="00C42101"/>
    <w:rsid w:val="00C559D8"/>
    <w:rsid w:val="00C9583E"/>
    <w:rsid w:val="00CF0C23"/>
    <w:rsid w:val="00D0683F"/>
    <w:rsid w:val="00D11EAE"/>
    <w:rsid w:val="00D21680"/>
    <w:rsid w:val="00D242CE"/>
    <w:rsid w:val="00D6356F"/>
    <w:rsid w:val="00D66907"/>
    <w:rsid w:val="00D80F23"/>
    <w:rsid w:val="00DD32CC"/>
    <w:rsid w:val="00E13E1B"/>
    <w:rsid w:val="00E226D9"/>
    <w:rsid w:val="00E2594F"/>
    <w:rsid w:val="00E26837"/>
    <w:rsid w:val="00E4791D"/>
    <w:rsid w:val="00E52F43"/>
    <w:rsid w:val="00E72393"/>
    <w:rsid w:val="00E72889"/>
    <w:rsid w:val="00E9339E"/>
    <w:rsid w:val="00EA5B58"/>
    <w:rsid w:val="00ED1F97"/>
    <w:rsid w:val="00EE16EB"/>
    <w:rsid w:val="00F45F6B"/>
    <w:rsid w:val="00F856D8"/>
    <w:rsid w:val="00F90F39"/>
    <w:rsid w:val="00FC5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3E439DF"/>
  <w15:docId w15:val="{806F5C8D-CE99-4638-B9E1-DA53C88F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paragraph" w:styleId="Heading1">
    <w:name w:val="heading 1"/>
    <w:basedOn w:val="Normal"/>
    <w:next w:val="Normal"/>
    <w:link w:val="Heading1Char"/>
    <w:uiPriority w:val="9"/>
    <w:qFormat/>
    <w:rsid w:val="00285FE6"/>
    <w:pPr>
      <w:keepNext/>
      <w:spacing w:before="240" w:after="60" w:line="480" w:lineRule="auto"/>
      <w:outlineLvl w:val="0"/>
    </w:pPr>
    <w:rPr>
      <w:rFonts w:ascii="Times New Roman" w:hAnsi="Times New Roman"/>
      <w:b/>
      <w:bCs/>
      <w:kern w:val="32"/>
      <w:sz w:val="28"/>
      <w:szCs w:val="32"/>
    </w:rPr>
  </w:style>
  <w:style w:type="paragraph" w:styleId="Heading3">
    <w:name w:val="heading 3"/>
    <w:basedOn w:val="Normal"/>
    <w:next w:val="Normal"/>
    <w:link w:val="Heading3Char"/>
    <w:uiPriority w:val="9"/>
    <w:semiHidden/>
    <w:unhideWhenUsed/>
    <w:qFormat/>
    <w:rsid w:val="00300F1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C84"/>
    <w:pPr>
      <w:tabs>
        <w:tab w:val="center" w:pos="4513"/>
        <w:tab w:val="right" w:pos="9026"/>
      </w:tabs>
    </w:pPr>
  </w:style>
  <w:style w:type="character" w:customStyle="1" w:styleId="HeaderChar">
    <w:name w:val="Header Char"/>
    <w:link w:val="Header"/>
    <w:uiPriority w:val="99"/>
    <w:rsid w:val="00814C84"/>
    <w:rPr>
      <w:sz w:val="24"/>
      <w:szCs w:val="24"/>
    </w:rPr>
  </w:style>
  <w:style w:type="paragraph" w:styleId="Footer">
    <w:name w:val="footer"/>
    <w:basedOn w:val="Normal"/>
    <w:link w:val="FooterChar"/>
    <w:uiPriority w:val="99"/>
    <w:unhideWhenUsed/>
    <w:rsid w:val="00814C84"/>
    <w:pPr>
      <w:tabs>
        <w:tab w:val="center" w:pos="4513"/>
        <w:tab w:val="right" w:pos="9026"/>
      </w:tabs>
    </w:pPr>
  </w:style>
  <w:style w:type="character" w:customStyle="1" w:styleId="FooterChar">
    <w:name w:val="Footer Char"/>
    <w:link w:val="Footer"/>
    <w:uiPriority w:val="99"/>
    <w:rsid w:val="00814C84"/>
    <w:rPr>
      <w:sz w:val="24"/>
      <w:szCs w:val="24"/>
    </w:rPr>
  </w:style>
  <w:style w:type="character" w:customStyle="1" w:styleId="Heading1Char">
    <w:name w:val="Heading 1 Char"/>
    <w:link w:val="Heading1"/>
    <w:uiPriority w:val="9"/>
    <w:rsid w:val="00285FE6"/>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285FE6"/>
    <w:pPr>
      <w:keepLines/>
      <w:spacing w:after="0" w:line="259" w:lineRule="auto"/>
      <w:outlineLvl w:val="9"/>
    </w:pPr>
    <w:rPr>
      <w:rFonts w:ascii="Aptos Display" w:hAnsi="Aptos Display"/>
      <w:b w:val="0"/>
      <w:bCs w:val="0"/>
      <w:color w:val="0F4761"/>
      <w:kern w:val="0"/>
      <w:sz w:val="32"/>
    </w:rPr>
  </w:style>
  <w:style w:type="paragraph" w:styleId="TOC1">
    <w:name w:val="toc 1"/>
    <w:basedOn w:val="Normal"/>
    <w:next w:val="Normal"/>
    <w:autoRedefine/>
    <w:uiPriority w:val="39"/>
    <w:unhideWhenUsed/>
    <w:rsid w:val="00285FE6"/>
  </w:style>
  <w:style w:type="character" w:styleId="Hyperlink">
    <w:name w:val="Hyperlink"/>
    <w:uiPriority w:val="99"/>
    <w:unhideWhenUsed/>
    <w:rsid w:val="00285FE6"/>
    <w:rPr>
      <w:color w:val="467886"/>
      <w:u w:val="single"/>
    </w:rPr>
  </w:style>
  <w:style w:type="paragraph" w:styleId="ListParagraph">
    <w:name w:val="List Paragraph"/>
    <w:basedOn w:val="Normal"/>
    <w:uiPriority w:val="34"/>
    <w:qFormat/>
    <w:rsid w:val="00285FE6"/>
    <w:pPr>
      <w:ind w:left="720"/>
    </w:pPr>
  </w:style>
  <w:style w:type="character" w:styleId="UnresolvedMention">
    <w:name w:val="Unresolved Mention"/>
    <w:uiPriority w:val="99"/>
    <w:semiHidden/>
    <w:unhideWhenUsed/>
    <w:rsid w:val="000C16B5"/>
    <w:rPr>
      <w:color w:val="605E5C"/>
      <w:shd w:val="clear" w:color="auto" w:fill="E1DFDD"/>
    </w:rPr>
  </w:style>
  <w:style w:type="character" w:customStyle="1" w:styleId="Heading3Char">
    <w:name w:val="Heading 3 Char"/>
    <w:link w:val="Heading3"/>
    <w:uiPriority w:val="9"/>
    <w:semiHidden/>
    <w:rsid w:val="00300F1E"/>
    <w:rPr>
      <w:rFonts w:ascii="Cambria" w:eastAsia="Times New Roman" w:hAnsi="Cambria" w:cs="Times New Roman"/>
      <w:b/>
      <w:bCs/>
      <w:sz w:val="26"/>
      <w:szCs w:val="26"/>
      <w:lang w:val="en-US" w:eastAsia="en-US"/>
    </w:rPr>
  </w:style>
  <w:style w:type="table" w:styleId="PlainTable1">
    <w:name w:val="Plain Table 1"/>
    <w:basedOn w:val="TableNormal"/>
    <w:uiPriority w:val="41"/>
    <w:rsid w:val="004A360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ibliography">
    <w:name w:val="Bibliography"/>
    <w:basedOn w:val="Normal"/>
    <w:next w:val="Normal"/>
    <w:uiPriority w:val="37"/>
    <w:unhideWhenUsed/>
    <w:rsid w:val="001B4AAA"/>
    <w:pPr>
      <w:spacing w:line="480" w:lineRule="auto"/>
      <w:ind w:left="720" w:hanging="720"/>
    </w:pPr>
  </w:style>
  <w:style w:type="paragraph" w:styleId="Title">
    <w:name w:val="Title"/>
    <w:basedOn w:val="Normal"/>
    <w:next w:val="Normal"/>
    <w:link w:val="TitleChar"/>
    <w:uiPriority w:val="10"/>
    <w:qFormat/>
    <w:rsid w:val="000B58A5"/>
    <w:pPr>
      <w:spacing w:before="360" w:after="3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0B58A5"/>
    <w:rPr>
      <w:rFonts w:asciiTheme="majorHAnsi" w:eastAsiaTheme="majorEastAsia" w:hAnsiTheme="majorHAnsi" w:cstheme="majorBidi"/>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C848-0E1D-49F7-BD87-E3F53C95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3493</Words>
  <Characters>56134</Characters>
  <Application>Microsoft Office Word</Application>
  <DocSecurity>0</DocSecurity>
  <Lines>467</Lines>
  <Paragraphs>119</Paragraphs>
  <ScaleCrop>false</ScaleCrop>
  <Company/>
  <LinksUpToDate>false</LinksUpToDate>
  <CharactersWithSpaces>59508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1_Aug_Synopsis</dc:title>
  <dc:creator>&lt;$template_firstName&gt; &lt;$template_lastName&gt;</dc:creator>
  <cp:lastModifiedBy>Ravi Jain_7A</cp:lastModifiedBy>
  <cp:revision>39</cp:revision>
  <cp:lastPrinted>2025-08-03T23:48:00Z</cp:lastPrinted>
  <dcterms:created xsi:type="dcterms:W3CDTF">2025-08-04T00:01:00Z</dcterms:created>
  <dcterms:modified xsi:type="dcterms:W3CDTF">2025-08-06T15:38:00Z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id="y1xidiyt"/&gt;&lt;style id="http://www.zotero.org/styles/apa" locale="en-US" hasBibliography="1" bibliographyStyleHasBeenSet="1"/&gt;&lt;prefs&gt;&lt;pref name="fieldType" value="Field"/&gt;&lt;/prefs&gt;&lt;/data&gt;</vt:lpwstr>
  </property>
</Properties>
</file>