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 Case Slides – Speaker Notes</w:t>
      </w:r>
    </w:p>
    <w:p>
      <w:pPr>
        <w:pStyle w:val="Heading1"/>
      </w:pPr>
      <w:r>
        <w:t>Use Case 1: Digital Wallet Growth &amp; Acquiring (EU/UK)</w:t>
      </w:r>
    </w:p>
    <w:p>
      <w:r>
        <w:t>Key Points:</w:t>
      </w:r>
    </w:p>
    <w:p>
      <w:r>
        <w:t>- Agent automates wallet onboarding &amp; risk profiling</w:t>
      </w:r>
    </w:p>
    <w:p>
      <w:r>
        <w:t>- Personalized prompts based on wallet usage patterns</w:t>
      </w:r>
    </w:p>
    <w:p>
      <w:r>
        <w:t>- MCP to issuing/acquiring APIs; answers cite evidence</w:t>
      </w:r>
    </w:p>
    <w:p>
      <w:r>
        <w:t>Speaker Notes:</w:t>
      </w:r>
    </w:p>
    <w:p>
      <w:r>
        <w:t>Wallet adoption is accelerating in Europe. The agent validates KYC, checks device/app signals, and drafts a personalized onboarding decision with citations. MCP enforces scoped API access and full audit.</w:t>
      </w:r>
    </w:p>
    <w:p>
      <w:pPr>
        <w:pStyle w:val="Heading1"/>
      </w:pPr>
      <w:r>
        <w:t>Use Case 2: Instant Payments Compliance (EU)</w:t>
      </w:r>
    </w:p>
    <w:p>
      <w:r>
        <w:t>Key Points:</w:t>
      </w:r>
    </w:p>
    <w:p>
      <w:r>
        <w:t>- MCP mediates checks against SEPA/instant payment policies</w:t>
      </w:r>
    </w:p>
    <w:p>
      <w:r>
        <w:t>- Agent flags exceptions and routes to HITL approval</w:t>
      </w:r>
    </w:p>
    <w:p>
      <w:r>
        <w:t>- Full audit trail for regulators (who/what/when/why)</w:t>
      </w:r>
    </w:p>
    <w:p>
      <w:r>
        <w:t>Speaker Notes:</w:t>
      </w:r>
    </w:p>
    <w:p>
      <w:r>
        <w:t>Use MCP to connect models to compliance rules and payment systems. The agent auto-checks rules, escalates edge cases to human approvers, and records explainability notes.</w:t>
      </w:r>
    </w:p>
    <w:p>
      <w:pPr>
        <w:pStyle w:val="Heading1"/>
      </w:pPr>
      <w:r>
        <w:t>Use Case 3: IT Ops &amp; Self‑Service Devices (Pan‑Europe)</w:t>
      </w:r>
    </w:p>
    <w:p>
      <w:r>
        <w:t>Key Points:</w:t>
      </w:r>
    </w:p>
    <w:p>
      <w:r>
        <w:t>- Agent monitors device telemetry &amp; payment failures</w:t>
      </w:r>
    </w:p>
    <w:p>
      <w:r>
        <w:t>- Auto‑remediates known issues; escalates unknowns</w:t>
      </w:r>
    </w:p>
    <w:p>
      <w:r>
        <w:t>- Operational dashboard with evidence and success rate</w:t>
      </w:r>
    </w:p>
    <w:p>
      <w:r>
        <w:t>Speaker Notes:</w:t>
      </w:r>
    </w:p>
    <w:p>
      <w:r>
        <w:t>Tie to self-service deployments. The agent correlates logs/metrics, applies runbooks for quick fixes, and opens tickets for complex incidents—with MCP auditability.</w:t>
      </w:r>
    </w:p>
    <w:p>
      <w:pPr>
        <w:pStyle w:val="Heading1"/>
      </w:pPr>
      <w:r>
        <w:t>Use Case 4: Revenue Leakage Detection (Eurozone Bank)</w:t>
      </w:r>
    </w:p>
    <w:p>
      <w:r>
        <w:t>Key Points:</w:t>
      </w:r>
    </w:p>
    <w:p>
      <w:r>
        <w:t>- Context‑driven RAG finds anomalies in fees &amp; waivers</w:t>
      </w:r>
    </w:p>
    <w:p>
      <w:r>
        <w:t>- Agent drafts findings with citations and confidence</w:t>
      </w:r>
    </w:p>
    <w:p>
      <w:r>
        <w:t>- Managers approve recovery actions (HITL)</w:t>
      </w:r>
    </w:p>
    <w:p>
      <w:r>
        <w:t>Speaker Notes:</w:t>
      </w:r>
    </w:p>
    <w:p>
      <w:r>
        <w:t>Reference public revenue optimization wins. Show an agent creating a weekly leakage report, citing accounts/transactions and indicating confidence.</w:t>
      </w:r>
    </w:p>
    <w:p>
      <w:pPr>
        <w:pStyle w:val="Heading1"/>
      </w:pPr>
      <w:r>
        <w:t>Use Case 5: Risk &amp; Compliance Governance (EMEA)</w:t>
      </w:r>
    </w:p>
    <w:p>
      <w:r>
        <w:t>Key Points:</w:t>
      </w:r>
    </w:p>
    <w:p>
      <w:r>
        <w:t>- Agents embed policy prompts + context packs (GDPR/AML)</w:t>
      </w:r>
    </w:p>
    <w:p>
      <w:r>
        <w:t>- MCP access scopes + per‑tool audit logs</w:t>
      </w:r>
    </w:p>
    <w:p>
      <w:r>
        <w:t>- Playbooks for DPIA &amp; model risk assessments</w:t>
      </w:r>
    </w:p>
    <w:p>
      <w:r>
        <w:t>Speaker Notes:</w:t>
      </w:r>
    </w:p>
    <w:p>
      <w:r>
        <w:t>Wrap-up governance: prompts include policy reminders; context packs hold approved snippets; MCP controls access; DPIA templates ensure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