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Metrics &amp; Impact Addendum</w:t>
      </w:r>
    </w:p>
    <w:p>
      <w:r>
        <w:t>To quantify the impact of AI‑assisted engineering within our teams, the following results were recorded across multiple projects:</w:t>
      </w:r>
    </w:p>
    <w:p>
      <w:r>
        <w:t>• **20‑30 % reduction in code‑to‑deployment time** by automating code generation and GitLab review steps.</w:t>
        <w:br/>
        <w:t>• **2 developer days saved per sprint** through AI‑assisted change‑request automation.</w:t>
        <w:br/>
        <w:t>• **40 % fewer manual documentation queries** thanks to the Confluence AI crawler.</w:t>
        <w:br/>
        <w:t>• **Consistent security compliance** with zero hard‑coded secrets detected post‑deployment across three major releases.</w:t>
        <w:br/>
        <w:t>• **Improved stakeholder visibility** via automated audit logs and EVAL summaries in release reports.</w:t>
      </w:r>
    </w:p>
    <w:p>
      <w:r>
        <w:t>These metrics demonstrate that structured AI adoption drives tangible value without compromising governance or quality. They can be embedded in the Executive Section of the Hybrid Framework or referenced in quarterly leadership reviews.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