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AI‑Driven Software Engineering Framework for Enterprise Teams — Executive Edition</w:t>
      </w:r>
    </w:p>
    <w:p>
      <w:r>
        <w:t>**By P Y — Senior IT Analyst &amp; Architect (Internal Publication)**</w:t>
      </w:r>
    </w:p>
    <w:p>
      <w:r>
        <w:t>Over the last year, I’ve seen how Artificial Intelligence is reshaping enterprise software engineering — not through magic, but through disciplined, real-world application. Our teams experimented with OpenAI Codex, GitHub Copilot, and internal AI agents to streamline code generation, GitLab reviews, change‑request automation, and even intelligent Confluence search. The results were transformative — faster delivery, stronger governance, and better collaboration.</w:t>
      </w:r>
    </w:p>
    <w:p>
      <w:pPr>
        <w:pStyle w:val="Heading2"/>
      </w:pPr>
      <w:r>
        <w:t>1  Architecture First — Not Code</w:t>
      </w:r>
    </w:p>
    <w:p>
      <w:r>
        <w:t>We learned early that AI thrives on structure. Starting from Jira stories with clear system boundaries, APIs, and data flows made Codex produce cleaner scaffolds and consistent logic. Without architecture, AI improvises — and that’s not what production systems need.</w:t>
      </w:r>
    </w:p>
    <w:p>
      <w:pPr>
        <w:pStyle w:val="Heading2"/>
      </w:pPr>
      <w:r>
        <w:t>2  Modularity and Versioning</w:t>
      </w:r>
    </w:p>
    <w:p>
      <w:r>
        <w:t>Breaking large modules into smaller services improved both human and AI reasoning. Naming each iteration (like auth_service_v2) helped track progress, enable quick rollbacks, and reduce cognitive load during code reviews.</w:t>
      </w:r>
    </w:p>
    <w:p>
      <w:pPr>
        <w:pStyle w:val="Heading2"/>
      </w:pPr>
      <w:r>
        <w:t>3  From QA to EVAL</w:t>
      </w:r>
    </w:p>
    <w:p>
      <w:r>
        <w:t>For traditional applications, QA → Staging → Prod is standard. But for AI‑driven workflows, we introduced an intermediate gate — **Evaluation (EVAL)**. These automated and human tests assess accuracy, bias, latency, and safety before any model or agent reaches production.</w:t>
      </w:r>
    </w:p>
    <w:p>
      <w:pPr>
        <w:pStyle w:val="Heading2"/>
      </w:pPr>
      <w:r>
        <w:t>4  Governance and Trust</w:t>
      </w:r>
    </w:p>
    <w:p>
      <w:r>
        <w:t>Governance wasn’t a blocker — it became a backbone. Prompt redaction, audit logs, and least‑privilege access built leadership confidence. Security reviews are now built into our AI pipelines rather than retrofitted later.</w:t>
      </w:r>
    </w:p>
    <w:p>
      <w:pPr>
        <w:pStyle w:val="Heading2"/>
      </w:pPr>
      <w:r>
        <w:t>5  Culture Shift</w:t>
      </w:r>
    </w:p>
    <w:p>
      <w:r>
        <w:t>AI didn’t replace developers or managers — it amplified those who knew how to guide it. We evolved from writing code line‑by‑line to designing **intelligent workflows**. The architect’s mindset became the differentiator.</w:t>
      </w:r>
    </w:p>
    <w:p>
      <w:r>
        <w:t>In short, enterprise AI success isn’t about bigger models — it’s about better habits: structure, governance, and clarity.</w:t>
      </w:r>
    </w:p>
    <w:p>
      <w:r>
        <w:br w:type="page"/>
      </w:r>
    </w:p>
    <w:p>
      <w:pPr>
        <w:pStyle w:val="Heading1"/>
      </w:pPr>
      <w:r>
        <w:t>Technical Appendix — Applying the Framework</w:t>
      </w:r>
    </w:p>
    <w:p>
      <w:r>
        <w:t>The following appendix distills the original 18‑point framework into a concise reference for architects and senior engineers. It describes the concrete engineering practices, standards, and artifacts we adopted across projects.</w:t>
      </w:r>
    </w:p>
    <w:p>
      <w:pPr>
        <w:pStyle w:val="Heading2"/>
      </w:pPr>
      <w:r>
        <w:t>1  Architectural Blueprint</w:t>
      </w:r>
    </w:p>
    <w:p>
      <w:r>
        <w:t>Each initiative begins with a documented blueprint containing system boundaries, API contracts, data flows, and security controls. Artifacts such as `/architecture.md`, `/system_design.md`, and `/context.md` create continuity across sessions and tools.</w:t>
      </w:r>
    </w:p>
    <w:p>
      <w:pPr>
        <w:pStyle w:val="Heading2"/>
      </w:pPr>
      <w:r>
        <w:t>2  Documentation as AI Memory</w:t>
      </w:r>
    </w:p>
    <w:p>
      <w:r>
        <w:t>AI lacks persistence — our documentation fills that gap. We maintain Architecture Decision Records (ADR), API maps, data dictionaries, and runbooks to preserve reasoning and context. Good AI explanations are captured for future reference.</w:t>
      </w:r>
    </w:p>
    <w:p>
      <w:pPr>
        <w:pStyle w:val="Heading2"/>
      </w:pPr>
      <w:r>
        <w:t>3  Testing Strategy</w:t>
      </w:r>
    </w:p>
    <w:p>
      <w:r>
        <w:t>Testing remains the safety net of AI‑assisted development. We use unit, integration, load, and security testing for software, and add prompt regression and model evaluation for AI workflows. EVAL pipelines mirror QA gates to verify accuracy, bias, and performance.</w:t>
      </w:r>
    </w:p>
    <w:p>
      <w:pPr>
        <w:pStyle w:val="Heading2"/>
      </w:pPr>
      <w:r>
        <w:t>4  DevOps &amp; Infrastructure as Code</w:t>
      </w:r>
    </w:p>
    <w:p>
      <w:r>
        <w:t>GitOps, Terraform, and Bicep templates ensure consistent deployments. Pipelines integrate security scans, drift detection, and OpenTelemetry tracing to create observable, auditable releases. AI agents help generate configurations and validate policy compliance.</w:t>
      </w:r>
    </w:p>
    <w:p>
      <w:pPr>
        <w:pStyle w:val="Heading2"/>
      </w:pPr>
      <w:r>
        <w:t>5  Governance &amp; Compliance</w:t>
      </w:r>
    </w:p>
    <w:p>
      <w:r>
        <w:t>All generated code and models undergo compliance reviews for PII protection, data residency, and logging standards. No hard‑coded secrets, role‑based access for tools, and automated audit trails keep our AI aligned with corporate policies.</w:t>
      </w:r>
    </w:p>
    <w:p>
      <w:pPr>
        <w:pStyle w:val="Heading2"/>
      </w:pPr>
      <w:r>
        <w:t>6  Networking &amp; Cloud Architecture</w:t>
      </w:r>
    </w:p>
    <w:p>
      <w:r>
        <w:t>AI supports cloud design by suggesting optimized VPC topologies, zero‑trust network rules, and multi‑region failover. Architects validate and approve final designs ensuring resilience and compliance with enterprise standards.</w:t>
      </w:r>
    </w:p>
    <w:p>
      <w:pPr>
        <w:pStyle w:val="Heading2"/>
      </w:pPr>
      <w:r>
        <w:t>7  Database Engineering &amp; Data Quality</w:t>
      </w:r>
    </w:p>
    <w:p>
      <w:r>
        <w:t>RDBMS and vector stores are handled with equal discipline. AI helps generate ERDs, migrations, and test data. All queries are bench‑tested for latency and indexed for governance. Synthetic datasets support safe non‑production testing.</w:t>
      </w:r>
    </w:p>
    <w:p>
      <w:pPr>
        <w:pStyle w:val="Heading2"/>
      </w:pPr>
      <w:r>
        <w:t>8  Continuous Knowledge Capture</w:t>
      </w:r>
    </w:p>
    <w:p>
      <w:r>
        <w:t>After each major iteration, we update context files, change logs, and design summaries. This practice prevents knowledge loss when projects or teams transition, making AI collaboration repeatable and auditable.</w:t>
      </w:r>
    </w:p>
    <w:p>
      <w:pPr>
        <w:pStyle w:val="Heading2"/>
      </w:pPr>
      <w:r>
        <w:t>9  AI Supervision Model</w:t>
      </w:r>
    </w:p>
    <w:p>
      <w:r>
        <w:t>We follow a three‑layer AI pattern — Builder AI for generation, Reviewer AI for quality checks, and Architect AI for design validation. This mirrors human engineering hierarchies and improves traceability and confidence in AI‑generated assets.</w:t>
      </w:r>
    </w:p>
    <w:p>
      <w:pPr>
        <w:pStyle w:val="Heading2"/>
      </w:pPr>
      <w:r>
        <w:t>10  Key Outcomes</w:t>
      </w:r>
    </w:p>
    <w:p>
      <w:r>
        <w:t>By applying this framework, we achieved repeatable AI integration across development and operations: accelerated delivery by 20–30%, reduced manual change‑request cycles, and increased visibility into AI decision flows for leadership.</w:t>
      </w:r>
    </w:p>
    <w:p>
      <w:r>
        <w:t>This appendix is not just a technical manual — it represents our collective shift toward AI‑augmented engineering excellence.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