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8c6f86ddd07d4818a81b06becc0958330f7f20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</w:t>
      </w:r>
      <w:r>
        <w:t xml:space="preserve"> </w:t>
      </w:r>
      <w:r>
        <w:t xml:space="preserve">“has-already-run”</w:t>
      </w:r>
      <w:r>
        <w:t xml:space="preserve"> </w:t>
      </w:r>
      <w:r>
        <w:t xml:space="preserve">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7638e1a02198614508f583347b2011f0bc1926"/>
    <w:p>
      <w:pPr>
        <w:pStyle w:val="Heading1"/>
      </w:pPr>
      <w:r>
        <w:t xml:space="preserve">Group E —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+ UUID v7 backfill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b63927ae</w:t>
      </w:r>
      <w:r>
        <w:t xml:space="preserve">,</w:t>
      </w:r>
      <w:r>
        <w:t xml:space="preserve"> </w:t>
      </w:r>
      <w:r>
        <w:rPr>
          <w:rStyle w:val="VerbatimChar"/>
        </w:rPr>
        <w:t xml:space="preserve">0b93b3aa</w:t>
      </w:r>
      <w:r>
        <w:t xml:space="preserve">,</w:t>
      </w:r>
      <w:r>
        <w:t xml:space="preserve"> </w:t>
      </w:r>
      <w:r>
        <w:rPr>
          <w:rStyle w:val="VerbatimChar"/>
        </w:rPr>
        <w:t xml:space="preserve">602d7220</w:t>
      </w:r>
    </w:p>
    <w:bookmarkStart w:id="34" w:name="what-was-built-5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second one-shot SQL migration of Phase 1: every record in the three</w:t>
      </w:r>
      <w:r>
        <w:t xml:space="preserve"> </w:t>
      </w:r>
      <w:r>
        <w:t xml:space="preserve">primary stratigraphic tables gets a stable opaque identifier so that, in</w:t>
      </w:r>
      <w:r>
        <w:t xml:space="preserve"> </w:t>
      </w:r>
      <w:r>
        <w:t xml:space="preserve">later phases, the s3Dgraphy bridge can use it as the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foreign key</w:t>
      </w:r>
      <w:r>
        <w:t xml:space="preserve"> </w:t>
      </w:r>
      <w:r>
        <w:t xml:space="preserve">on the property-graph side. Per Reference Document v0.1 §3</w:t>
      </w:r>
      <w:r>
        <w:t xml:space="preserve"> </w:t>
      </w:r>
      <w:r>
        <w:rPr>
          <w:i/>
          <w:iCs/>
        </w:rPr>
        <w:t xml:space="preserve">“Identity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aligned”</w:t>
      </w:r>
      <w:r>
        <w:t xml:space="preserve">, the PyArchInit per-record UID and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will be the same value with two names; this migration creates the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§5.7). Monotonic per-process via a threading lock; when two calls fall within the same millisecond, the second increments the random portion to keep ordering. Will be replaced with</w:t>
            </w:r>
            <w:r>
              <w:t xml:space="preserve"> </w:t>
            </w:r>
            <w:r>
              <w:rPr>
                <w:rStyle w:val="VerbatimChar"/>
              </w:rPr>
              <w:t xml:space="preserve">uuid.uuid7()</w:t>
            </w:r>
            <w:r>
              <w:t xml:space="preserve"> </w:t>
            </w:r>
            <w:r>
              <w:t xml:space="preserve">once the project minimum bumps to Python 3.14+.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scripts/migrations/_2026_05_node_uuid_backfill_lib.py</w:t>
            </w:r>
          </w:p>
        </w:tc>
        <w:tc>
          <w:tcPr/>
          <w:p>
            <w:pPr>
              <w:pStyle w:val="Compact"/>
            </w:pPr>
            <w:r>
              <w:t xml:space="preserve">Pure-logic library.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lists the three target tables (</w:t>
            </w:r>
            <w:r>
              <w:rPr>
                <w:rStyle w:val="VerbatimChar"/>
              </w:rPr>
              <w:t xml:space="preserve">us_table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inventario_materiali_table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add_columns(db)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if missing and creates a partial unique index</w:t>
            </w:r>
            <w:r>
              <w:t xml:space="preserve"> </w:t>
            </w:r>
            <w:r>
              <w:rPr>
                <w:rStyle w:val="VerbatimChar"/>
              </w:rPr>
              <w:t xml:space="preserve">WHERE node_uuid IS NOT NULL</w:t>
            </w:r>
            <w:r>
              <w:t xml:space="preserve"> </w:t>
            </w:r>
            <w:r>
              <w:t xml:space="preserve">on each table — the partial predicate lets multiple NULL rows coexist during a partial-failure recovery.</w:t>
            </w:r>
            <w:r>
              <w:t xml:space="preserve"> </w:t>
            </w:r>
            <w:r>
              <w:rPr>
                <w:rStyle w:val="VerbatimChar"/>
              </w:rPr>
              <w:t xml:space="preserve">backfill_uuids(db)</w:t>
            </w:r>
            <w:r>
              <w:t xml:space="preserve"> </w:t>
            </w:r>
            <w:r>
              <w:t xml:space="preserve">assigns</w:t>
            </w:r>
            <w:r>
              <w:t xml:space="preserve"> </w:t>
            </w:r>
            <w:r>
              <w:rPr>
                <w:rStyle w:val="VerbatimChar"/>
              </w:rPr>
              <w:t xml:space="preserve">uuid7()</w:t>
            </w:r>
            <w:r>
              <w:t xml:space="preserve"> </w:t>
            </w:r>
            <w:r>
              <w:t xml:space="preserve">to every NULL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; returns a per-table count of rows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CLI front-end.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reports either</w:t>
            </w:r>
            <w:r>
              <w:t xml:space="preserve"> </w:t>
            </w:r>
            <w:r>
              <w:t xml:space="preserve">“needs ALTER TABLE + backfill (no col)”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 row(s) need backfill”</w:t>
            </w:r>
            <w:r>
              <w:t xml:space="preserve"> </w:t>
            </w:r>
            <w:r>
              <w:t xml:space="preserve">per table without mutating.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an explicit backup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Second entry in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: file picker → confirmation dialog showing the three target tables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 </w:t>
            </w:r>
            <w:r>
              <w:t xml:space="preserve">→ result dialog with backup path + per-table counts. Same idempotency guard as the vocab-alignment entry.</w:t>
            </w:r>
          </w:p>
        </w:tc>
      </w:tr>
    </w:tbl>
    <w:bookmarkEnd w:id="34"/>
    <w:bookmarkStart w:id="35" w:name="what-was-tested-5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 </w:t>
      </w:r>
      <w:r>
        <w:t xml:space="preserve">cover the generator: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instance, version field is 7, variant is RFC</w:t>
      </w:r>
      <w:r>
        <w:t xml:space="preserve"> </w:t>
      </w:r>
      <w:r>
        <w:t xml:space="preserve">4122 (10xx in byte 8), 1024 successive UUIDs are monotonically</w:t>
      </w:r>
      <w:r>
        <w:t xml:space="preserve"> </w:t>
      </w:r>
      <w:r>
        <w:t xml:space="preserve">ordered, the embedded timestamp falls within ±1 ms of wall clock.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 </w:t>
      </w:r>
      <w:r>
        <w:t xml:space="preserve">cover the migration: column added on each of the three tables, a</w:t>
      </w:r>
      <w:r>
        <w:t xml:space="preserve"> </w:t>
      </w:r>
      <w:r>
        <w:t xml:space="preserve">unique index named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survives the run, a second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run is a no-op (column count stays 1), backfill assigns</w:t>
      </w:r>
      <w:r>
        <w:t xml:space="preserve"> </w:t>
      </w:r>
      <w:r>
        <w:t xml:space="preserve">UUID v7 (canonical 36-char form, version 7 character at index 14,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xxxxxxxx-xxxx-7xxx-yxxx-xxxxxxxxxxxx</w:t>
      </w:r>
      <w:r>
        <w:t xml:space="preserve">), and a second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run returns counts of zero.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 dry-run on the real Volterra database</w:t>
      </w:r>
      <w:r>
        <w:t xml:space="preserve">: the CLI reports</w:t>
      </w:r>
      <w:r>
        <w:t xml:space="preserve"> </w:t>
      </w:r>
      <w:r>
        <w:rPr>
          <w:rStyle w:val="VerbatimChar"/>
        </w:rPr>
        <w:t xml:space="preserve">needs ALTER TABLE + backfill (no col)</w:t>
      </w:r>
      <w:r>
        <w:t xml:space="preserve"> </w:t>
      </w:r>
      <w:r>
        <w:t xml:space="preserve">for all three target tables —</w:t>
      </w:r>
      <w:r>
        <w:t xml:space="preserve"> </w:t>
      </w:r>
      <w:r>
        <w:t xml:space="preserve">none currently carry a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column. The migration is safe to</w:t>
      </w:r>
      <w:r>
        <w:t xml:space="preserve"> </w:t>
      </w:r>
      <w:r>
        <w:t xml:space="preserve">run; user has yet to authorise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 passed in 0.38 s</w:t>
      </w:r>
      <w:r>
        <w:t xml:space="preserve"> </w:t>
      </w:r>
      <w:r>
        <w:t xml:space="preserve">(29 sync + 12</w:t>
      </w:r>
      <w:r>
        <w:t xml:space="preserve"> </w:t>
      </w:r>
      <w:r>
        <w:t xml:space="preserve">migrations). Test count breakdown: 5 vocab_types + 14</w:t>
      </w:r>
      <w:r>
        <w:t xml:space="preserve"> </w:t>
      </w:r>
      <w:r>
        <w:t xml:space="preserve">vocab_provider_core + 2 vocab_provider_smoke + 5 i18n compat + 5</w:t>
      </w:r>
      <w:r>
        <w:t xml:space="preserve"> </w:t>
      </w:r>
      <w:r>
        <w:t xml:space="preserve">uuid7 + 3 migration common + 5 us_vocabulary_alignment + 4</w:t>
      </w:r>
      <w:r>
        <w:t xml:space="preserve"> </w:t>
      </w:r>
      <w:r>
        <w:t xml:space="preserve">node_uuid_backfill = 41.</w:t>
      </w:r>
    </w:p>
    <w:bookmarkEnd w:id="35"/>
    <w:bookmarkStart w:id="36" w:name="decisions-taken-5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Local UUID v7 instead of a third-party dependency.</w:t>
      </w:r>
      <w:r>
        <w:t xml:space="preserve"> </w:t>
      </w:r>
      <w:r>
        <w:t xml:space="preserve">Python’s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module gains</w:t>
      </w:r>
      <w:r>
        <w:t xml:space="preserve"> </w:t>
      </w:r>
      <w:r>
        <w:rPr>
          <w:rStyle w:val="VerbatimChar"/>
        </w:rPr>
        <w:t xml:space="preserve">uuid7()</w:t>
      </w:r>
      <w:r>
        <w:t xml:space="preserve"> </w:t>
      </w:r>
      <w:r>
        <w:t xml:space="preserve">only at 3.14 (currently</w:t>
      </w:r>
      <w:r>
        <w:t xml:space="preserve"> </w:t>
      </w:r>
      <w:r>
        <w:t xml:space="preserve">unreleased at the time of this work); the project still has to</w:t>
      </w:r>
      <w:r>
        <w:t xml:space="preserve"> </w:t>
      </w:r>
      <w:r>
        <w:t xml:space="preserve">support QGIS Python 3.9+. A 30-line in-repo implementation is</w:t>
      </w:r>
      <w:r>
        <w:t xml:space="preserve"> </w:t>
      </w:r>
      <w:r>
        <w:t xml:space="preserve">cheaper than adding a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package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routing it through the runtime installer. The public API is just</w:t>
      </w:r>
      <w:r>
        <w:t xml:space="preserve"> </w:t>
      </w:r>
      <w:r>
        <w:rPr>
          <w:rStyle w:val="VerbatimChar"/>
        </w:rPr>
        <w:t xml:space="preserve">uuid7() -&gt; uuid.UUID</w:t>
      </w:r>
      <w:r>
        <w:t xml:space="preserve"> </w:t>
      </w:r>
      <w:r>
        <w:t xml:space="preserve">so the swap to stdlib later is a one-line</w:t>
      </w:r>
      <w:r>
        <w:t xml:space="preserve"> </w:t>
      </w:r>
      <w:r>
        <w:t xml:space="preserve">import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Partial unique index instead of plain unique.</w:t>
      </w:r>
      <w:r>
        <w:t xml:space="preserve"> </w:t>
      </w:r>
      <w:r>
        <w:t xml:space="preserve">The index is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CREATE UNIQUE INDEX … WHERE node_uuid IS NOT NULL</w:t>
      </w:r>
      <w:r>
        <w:t xml:space="preserve">. This</w:t>
      </w:r>
      <w:r>
        <w:t xml:space="preserve"> </w:t>
      </w:r>
      <w:r>
        <w:t xml:space="preserve">matters during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recovery scenarios: if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succeeded but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failed midway, the partially</w:t>
      </w:r>
      <w:r>
        <w:t xml:space="preserve"> </w:t>
      </w:r>
      <w:r>
        <w:t xml:space="preserve">populated table has many NULL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rows — a plain unique</w:t>
      </w:r>
      <w:r>
        <w:t xml:space="preserve"> </w:t>
      </w:r>
      <w:r>
        <w:t xml:space="preserve">index would reject those because a single NULL is fine but two</w:t>
      </w:r>
      <w:r>
        <w:t xml:space="preserve"> </w:t>
      </w:r>
      <w:r>
        <w:t xml:space="preserve">NULLs are not under the SQLite default. The partial predicate</w:t>
      </w:r>
      <w:r>
        <w:t xml:space="preserve"> </w:t>
      </w:r>
      <w:r>
        <w:t xml:space="preserve">excludes NULLs from the uniqueness check, so a re-run picks up</w:t>
      </w:r>
      <w:r>
        <w:t xml:space="preserve"> </w:t>
      </w:r>
      <w:r>
        <w:t xml:space="preserve">where the previous one left off without dropping the index.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Three target tables only.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excluded per spec §4.5 last paragraph — burial records are out of</w:t>
      </w:r>
      <w:r>
        <w:t xml:space="preserve"> </w:t>
      </w:r>
      <w:r>
        <w:t xml:space="preserve">scope for the bridge in Phase 1.</w:t>
      </w:r>
      <w:r>
        <w:t xml:space="preserve"> </w:t>
      </w:r>
      <w:r>
        <w:rPr>
          <w:rStyle w:val="VerbatimChar"/>
        </w:rPr>
        <w:t xml:space="preserve">site_table</w:t>
      </w:r>
      <w:r>
        <w:t xml:space="preserve"> </w:t>
      </w:r>
      <w:r>
        <w:t xml:space="preserve">is also excluded</w:t>
      </w:r>
      <w:r>
        <w:t xml:space="preserve"> </w:t>
      </w:r>
      <w:r>
        <w:t xml:space="preserve">because site-level metadata maps to a different family of s3Dgraphy</w:t>
      </w:r>
      <w:r>
        <w:t xml:space="preserve"> </w:t>
      </w:r>
      <w:r>
        <w:t xml:space="preserve">nodes (handled at the property level, not as a typed graph node).</w:t>
      </w:r>
      <w:r>
        <w:t xml:space="preserve"> </w:t>
      </w:r>
      <w:r>
        <w:t xml:space="preserve">These exclusions are documented in the spec and will be revisited</w:t>
      </w:r>
      <w:r>
        <w:t xml:space="preserve"> </w:t>
      </w:r>
      <w:r>
        <w:t xml:space="preserve">if Phase 2 ingestion proves they need their own UUIDs.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PostgreSQL path in Phase 1.</w:t>
      </w:r>
      <w:r>
        <w:t xml:space="preserve"> </w:t>
      </w:r>
      <w:r>
        <w:t xml:space="preserve">SQLite-only for now. The same</w:t>
      </w:r>
      <w:r>
        <w:t xml:space="preserve"> </w:t>
      </w:r>
      <w:r>
        <w:t xml:space="preserve">logic will move to SQLAlchemy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lands and starts consuming 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</w:t>
      </w:r>
      <w:r>
        <w:t xml:space="preserve"> </w:t>
      </w:r>
      <w:r>
        <w:t xml:space="preserve">in real reads. The CLI already takes 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path so a future</w:t>
      </w:r>
      <w:r>
        <w:t xml:space="preserve"> </w:t>
      </w:r>
      <w:r>
        <w:t xml:space="preserve">PostgreSQL DSN form (</w:t>
      </w:r>
      <w:r>
        <w:rPr>
          <w:rStyle w:val="VerbatimChar"/>
        </w:rPr>
        <w:t xml:space="preserve">postgresql://…</w:t>
      </w:r>
      <w:r>
        <w:t xml:space="preserve">) plugs in cleanly.</w:t>
      </w:r>
    </w:p>
    <w:bookmarkEnd w:id="36"/>
    <w:bookmarkStart w:id="37" w:name="operational-notes-1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Volterra database</w:t>
      </w:r>
      <w:r>
        <w:t xml:space="preserve"> </w:t>
      </w:r>
      <w:r>
        <w:t xml:space="preserve">has none of the three target columns yet. The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will create all three columns, the partial unique indexes,</w:t>
      </w:r>
      <w:r>
        <w:t xml:space="preserve"> </w:t>
      </w:r>
      <w:r>
        <w:t xml:space="preserve">and assign UUID v7 to every existing row. With ~1500 US rows and</w:t>
      </w:r>
      <w:r>
        <w:t xml:space="preserve"> </w:t>
      </w:r>
      <w:r>
        <w:t xml:space="preserve">several hundred inventario_materiali / periodizzazione rows, the</w:t>
      </w:r>
      <w:r>
        <w:t xml:space="preserve"> </w:t>
      </w:r>
      <w:r>
        <w:t xml:space="preserve">whole migration takes a fraction of a second.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 strategy</w:t>
      </w:r>
      <w:r>
        <w:t xml:space="preserve"> </w:t>
      </w:r>
      <w:r>
        <w:t xml:space="preserve">is the same as Group D: the auto-backup is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&lt;db&gt;.pre_node_uuid_backfill_&lt;UTC&gt;</w:t>
      </w:r>
      <w:r>
        <w:t xml:space="preserve"> </w:t>
      </w:r>
      <w:r>
        <w:t xml:space="preserve">and lives next to the</w:t>
      </w:r>
      <w:r>
        <w:t xml:space="preserve"> </w:t>
      </w:r>
      <w:r>
        <w:t xml:space="preserve">source DB. Restoring is</w:t>
      </w:r>
      <w:r>
        <w:t xml:space="preserve"> </w:t>
      </w:r>
      <w:r>
        <w:rPr>
          <w:rStyle w:val="VerbatimChar"/>
        </w:rPr>
        <w:t xml:space="preserve">--rollback &lt;backup_path&gt;</w:t>
      </w:r>
      <w:r>
        <w:t xml:space="preserve">. Combined with</w:t>
      </w:r>
      <w:r>
        <w:t xml:space="preserve"> </w:t>
      </w:r>
      <w:r>
        <w:t xml:space="preserve">Group D’s vocab-alignment migration, a user can chain the two</w:t>
      </w:r>
      <w:r>
        <w:t xml:space="preserve"> </w:t>
      </w:r>
      <w:r>
        <w:t xml:space="preserve">rollbacks if needed (latest backup first, reverse-chronological).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50069ce80fb74b547b75e29658e7f31083de1dd"/>
    <w:p>
      <w:pPr>
        <w:pStyle w:val="Heading1"/>
      </w:pPr>
      <w:r>
        <w:t xml:space="preserve">Group F —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refactor (12 files)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9</w:t>
      </w:r>
      <w:r>
        <w:t xml:space="preserve"> </w:t>
      </w:r>
      <w:r>
        <w:t xml:space="preserve">(</w:t>
      </w:r>
      <w:r>
        <w:rPr>
          <w:rStyle w:val="VerbatimChar"/>
        </w:rPr>
        <w:t xml:space="preserve">222ea2e0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bookmarkStart w:id="39" w:name="what-was-built-6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were audited and, where</w:t>
      </w:r>
      <w:r>
        <w:t xml:space="preserve"> </w:t>
      </w:r>
      <w:r>
        <w:t xml:space="preserve">applicable, refactored to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EM 1.4 tables. Per-file commits keep any individual regression</w:t>
      </w:r>
      <w:r>
        <w:t xml:space="preserve"> </w:t>
      </w:r>
      <w:r>
        <w:t xml:space="preserve">selectively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-able. The disposition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cidoc_crm_mapper.py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CRM_CLASSES</w:t>
            </w:r>
            <w:r>
              <w:t xml:space="preserve"> </w:t>
            </w:r>
            <w:r>
              <w:t xml:space="preserve">was a hardcoded 12-key dict; replaced with a</w:t>
            </w:r>
            <w:r>
              <w:t xml:space="preserve"> </w:t>
            </w:r>
            <w:r>
              <w:rPr>
                <w:rStyle w:val="VerbatimChar"/>
              </w:rPr>
              <w:t xml:space="preserve">@property</w:t>
            </w:r>
            <w:r>
              <w:t xml:space="preserve"> </w:t>
            </w:r>
            <w:r>
              <w:t xml:space="preserve">overlaying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VocabProvider.get_unit_types().cidoc_class</w:t>
            </w:r>
            <w:r>
              <w:t xml:space="preserve"> </w:t>
            </w:r>
            <w:r>
              <w:t xml:space="preserve">onto a</w:t>
            </w:r>
            <w:r>
              <w:t xml:space="preserve"> </w:t>
            </w:r>
            <w:r>
              <w:rPr>
                <w:rStyle w:val="VerbatimChar"/>
              </w:rPr>
              <w:t xml:space="preserve">_LEGACY_CRM_FALLBACK</w:t>
            </w:r>
            <w:r>
              <w:t xml:space="preserve">. The property still returns a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, so the existing</w:t>
            </w:r>
            <w:r>
              <w:t xml:space="preserve"> </w:t>
            </w:r>
            <w:r>
              <w:rPr>
                <w:rStyle w:val="VerbatimChar"/>
              </w:rPr>
              <w:t xml:space="preserve">mapper.CRM_CLASSES["stratigraphic_unit"]</w:t>
            </w:r>
            <w:r>
              <w:t xml:space="preserve"> </w:t>
            </w:r>
            <w:r>
              <w:t xml:space="preserve">lookups in 3 call sites keep working unchanged. The overlay grew the effective dictionary from 12 to 34 keys on the 0.1.40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s3dgraphy_integration.py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Single string-literal assignment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'virtual_reconstruction'</w:t>
            </w:r>
            <w:r>
              <w:t xml:space="preserve"> </w:t>
            </w:r>
            <w:r>
              <w:t xml:space="preserve">(line 113) routed through a local legacy-to-s3Dgraphy mapping that resolves to</w:t>
            </w:r>
            <w:r>
              <w:t xml:space="preserve"> </w:t>
            </w:r>
            <w:r>
              <w:rPr>
                <w:rStyle w:val="VerbatimChar"/>
              </w:rPr>
              <w:t xml:space="preserve">'USVs'</w:t>
            </w:r>
            <w:r>
              <w:t xml:space="preserve">. Two further occurrences flagged by Group 0 (lines 194, 606) are read paths and the</w:t>
            </w:r>
            <w:r>
              <w:t xml:space="preserve"> </w:t>
            </w:r>
            <w:r>
              <w:rPr>
                <w:rStyle w:val="VerbatimChar"/>
              </w:rPr>
              <w:t xml:space="preserve">.get(...)</w:t>
            </w:r>
            <w:r>
              <w:t xml:space="preserve"> </w:t>
            </w:r>
            <w:r>
              <w:t xml:space="preserve">style respectively, so they need no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s3dgraphy_dot_bridge.py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The hardcoded 6-entry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for Graphviz DOT output now consults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VocabProvider.get_visual_rule()</w:t>
            </w:r>
            <w:r>
              <w:t xml:space="preserve"> </w:t>
            </w:r>
            <w:r>
              <w:t xml:space="preserve">first; legacy values are kept as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keyed by</w:t>
            </w:r>
            <w:r>
              <w:t xml:space="preserve"> </w:t>
            </w:r>
            <w:r>
              <w:rPr>
                <w:rStyle w:val="VerbatimChar"/>
              </w:rPr>
              <w:t xml:space="preserve">unita_tipo</w:t>
            </w:r>
            <w:r>
              <w:t xml:space="preserve"> </w:t>
            </w:r>
            <w:r>
              <w:t xml:space="preserve">retained as fallback; primary lookup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plotly_visualizer.py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Same pattern as</w:t>
            </w:r>
            <w:r>
              <w:t xml:space="preserve"> </w:t>
            </w:r>
            <w:r>
              <w:rPr>
                <w:rStyle w:val="VerbatimChar"/>
              </w:rPr>
              <w:t xml:space="preserve">matrix_graph_visualizer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 in the spec; the audit grep surfaced a 6-entry hardcoded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, so it was refactored alongside its peers.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graphviz_visualizer.py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audit-only; same finding as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matrix_visualizer_qgis.py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Two string literals at lines 273/285 are QGIS rule-renderer filter expressions on the stored</w:t>
            </w:r>
            <w:r>
              <w:t xml:space="preserve"> </w:t>
            </w:r>
            <w:r>
              <w:rPr>
                <w:rStyle w:val="VerbatimChar"/>
              </w:rPr>
              <w:t xml:space="preserve">node_type</w:t>
            </w:r>
            <w:r>
              <w:t xml:space="preserve"> </w:t>
            </w:r>
            <w:r>
              <w:t xml:space="preserve">data column — not a hardcoded family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blender_integration.py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Per spec §7.3 — Blender export keeps its private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graphml_spatial_enhancer.py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spatial_grouping_manager.py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__init__.py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17-line import barrel; no work.</w:t>
            </w:r>
          </w:p>
        </w:tc>
      </w:tr>
    </w:tbl>
    <w:p>
      <w:pPr>
        <w:pStyle w:val="BodyText"/>
      </w:pPr>
      <w:r>
        <w:t xml:space="preserve">A single empty audit commit groups the 4 genuinely-clean files (the</w:t>
      </w:r>
      <w:r>
        <w:t xml:space="preserve"> </w:t>
      </w:r>
      <w:r>
        <w:rPr>
          <w:rStyle w:val="VerbatimChar"/>
        </w:rPr>
        <w:t xml:space="preserve">matrix_visualizer_qgis</w:t>
      </w:r>
      <w:r>
        <w:t xml:space="preserve"> </w:t>
      </w:r>
      <w:r>
        <w:t xml:space="preserve">case is included there because its data-column</w:t>
      </w:r>
      <w:r>
        <w:t xml:space="preserve"> </w:t>
      </w:r>
      <w:r>
        <w:t xml:space="preserve">filters are intentional and orthogonal to the refactor).</w:t>
      </w:r>
    </w:p>
    <w:bookmarkEnd w:id="39"/>
    <w:bookmarkStart w:id="40" w:name="what-was-tested-6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Existing test suite remains green</w:t>
      </w:r>
      <w:r>
        <w:t xml:space="preserve">: 41 passed → 42 passed after</w:t>
      </w:r>
      <w:r>
        <w:t xml:space="preserve"> </w:t>
      </w:r>
      <w:r>
        <w:t xml:space="preserve">Group F (one new smoke test added during the in-flight fix described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 AST parse smoke</w:t>
      </w:r>
      <w:r>
        <w:t xml:space="preserve"> </w:t>
      </w:r>
      <w:r>
        <w:t xml:space="preserve">confirmed every refactored file still</w:t>
      </w:r>
      <w:r>
        <w:t xml:space="preserve"> </w:t>
      </w:r>
      <w:r>
        <w:t xml:space="preserve">parses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End-to-end smoke test</w:t>
      </w:r>
      <w:r>
        <w:t xml:space="preserve"> </w:t>
      </w:r>
      <w:r>
        <w:t xml:space="preserve">verified that on the real bundled 0.1.40</w:t>
      </w:r>
      <w:r>
        <w:t xml:space="preserve"> </w:t>
      </w:r>
      <w:r>
        <w:t xml:space="preserve">vendor,</w:t>
      </w:r>
      <w:r>
        <w:t xml:space="preserve"> </w:t>
      </w:r>
      <w:r>
        <w:rPr>
          <w:rStyle w:val="VerbatimChar"/>
        </w:rPr>
        <w:t xml:space="preserve">VocabProvider.get_visual_rule("US")</w:t>
      </w:r>
      <w:r>
        <w:t xml:space="preserve"> </w:t>
      </w:r>
      <w:r>
        <w:t xml:space="preserve">now returns the actual</w:t>
      </w:r>
      <w:r>
        <w:t xml:space="preserve"> </w:t>
      </w:r>
      <w:r>
        <w:t xml:space="preserve">fill (</w:t>
      </w:r>
      <w:r>
        <w:rPr>
          <w:rStyle w:val="VerbatimChar"/>
        </w:rPr>
        <w:t xml:space="preserve">#F0F0F0</w:t>
      </w:r>
      <w:r>
        <w:t xml:space="preserve">) and stroke (</w:t>
      </w:r>
      <w:r>
        <w:rPr>
          <w:rStyle w:val="VerbatimChar"/>
        </w:rPr>
        <w:t xml:space="preserve">#540909</w:t>
      </w:r>
      <w:r>
        <w:t xml:space="preserve">) colours from the s3Dgraphy</w:t>
      </w:r>
      <w:r>
        <w:t xml:space="preserve"> </w:t>
      </w:r>
      <w:r>
        <w:rPr>
          <w:rStyle w:val="VerbatimChar"/>
        </w:rPr>
        <w:t xml:space="preserve">node_styles[US].style</w:t>
      </w:r>
      <w:r>
        <w:t xml:space="preserve"> </w:t>
      </w:r>
      <w:r>
        <w:t xml:space="preserve">block, rather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(which would have</w:t>
      </w:r>
      <w:r>
        <w:t xml:space="preserve"> </w:t>
      </w:r>
      <w:r>
        <w:t xml:space="preserve">forced every refactored visualizer to silently fall back to its</w:t>
      </w:r>
      <w:r>
        <w:t xml:space="preserve"> </w:t>
      </w:r>
      <w:r>
        <w:t xml:space="preserve">legacy hardcoded value).</w:t>
      </w:r>
    </w:p>
    <w:bookmarkEnd w:id="40"/>
    <w:bookmarkStart w:id="41" w:name="Xe3de284784ad6303575dca65e5a8d7b664cec13"/>
    <w:p>
      <w:pPr>
        <w:pStyle w:val="Heading2"/>
      </w:pPr>
      <w:r>
        <w:t xml:space="preserve">In-flight bug fix during Group F (commit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p>
      <w:pPr>
        <w:pStyle w:val="FirstParagraph"/>
      </w:pPr>
      <w:r>
        <w:t xml:space="preserve">The visualizer refactors surfaced a real-shape mismatch between the</w:t>
      </w:r>
      <w:r>
        <w:t xml:space="preserve"> </w:t>
      </w:r>
      <w:r>
        <w:t xml:space="preserve">test fixtures and the actual s3Dgraphy 0.1.40 JSON files:</w:t>
      </w:r>
    </w:p>
    <w:p>
      <w:pPr>
        <w:pStyle w:val="Compact"/>
        <w:numPr>
          <w:ilvl w:val="0"/>
          <w:numId w:val="1021"/>
        </w:numPr>
      </w:pPr>
      <w:r>
        <w:t xml:space="preserve">The fixture</w:t>
      </w:r>
      <w:r>
        <w:t xml:space="preserve"> </w:t>
      </w:r>
      <w:r>
        <w:rPr>
          <w:rStyle w:val="VerbatimChar"/>
        </w:rPr>
        <w:t xml:space="preserve">em_visual_rules_sample.json</w:t>
      </w:r>
      <w:r>
        <w:t xml:space="preserve"> </w:t>
      </w:r>
      <w:r>
        <w:t xml:space="preserve">uses a flat shape:</w:t>
      </w:r>
      <w:r>
        <w:t xml:space="preserve"> </w:t>
      </w:r>
      <w:r>
        <w:rPr>
          <w:rStyle w:val="VerbatimChar"/>
        </w:rPr>
        <w:t xml:space="preserve">{"rules": {"&lt;type&gt;": {"icon", "fill", "stroke", "palette"}}}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ext_libs/s3dgraphy/JSON_config/em_visual_rules.json</w:t>
      </w:r>
      <w:r>
        <w:t xml:space="preserve"> </w:t>
      </w:r>
      <w:r>
        <w:t xml:space="preserve">uses</w:t>
      </w:r>
      <w:r>
        <w:t xml:space="preserve"> </w:t>
      </w:r>
      <w:r>
        <w:t xml:space="preserve">a nested shape:</w:t>
      </w:r>
      <w:r>
        <w:t xml:space="preserve"> </w:t>
      </w:r>
      <w:r>
        <w:rPr>
          <w:rStyle w:val="VerbatimChar"/>
        </w:rPr>
        <w:t xml:space="preserve">{"node_styles": {"&lt;type&gt;": {"file_2d", "style": {"fill_color", "border_color", "shape", ...}}}}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Similarly, the connections datamodel uses</w:t>
      </w:r>
      <w:r>
        <w:t xml:space="preserve"> </w:t>
      </w:r>
      <w:r>
        <w:rPr>
          <w:rStyle w:val="VerbatimChar"/>
        </w:rPr>
        <w:t xml:space="preserve">s3Dgraphy_connections_model_version</w:t>
      </w:r>
      <w:r>
        <w:t xml:space="preserve"> </w:t>
      </w:r>
      <w:r>
        <w:t xml:space="preserve">rather than the fixture’s</w:t>
      </w:r>
      <w:r>
        <w:t xml:space="preserve"> </w:t>
      </w:r>
      <w:r>
        <w:rPr>
          <w:rStyle w:val="VerbatimChar"/>
        </w:rPr>
        <w:t xml:space="preserve">s3Dgraphy_connections_version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VocabProviderCore.get_visual_rule()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VocabProviderCore.versions</w:t>
      </w:r>
      <w:r>
        <w:t xml:space="preserve"> </w:t>
      </w:r>
      <w:r>
        <w:t xml:space="preserve">were extended to accept BOTH shapes — the flat form for fixtures and</w:t>
      </w:r>
      <w:r>
        <w:t xml:space="preserve"> </w:t>
      </w:r>
      <w:r>
        <w:t xml:space="preserve">the nested form for the real vendor. A new smoke test</w:t>
      </w:r>
      <w:r>
        <w:t xml:space="preserve"> </w:t>
      </w:r>
      <w:r>
        <w:rPr>
          <w:rStyle w:val="VerbatimChar"/>
        </w:rPr>
        <w:t xml:space="preserve">test_real_bundled_visual_rule_for_us</w:t>
      </w:r>
      <w:r>
        <w:t xml:space="preserve"> </w:t>
      </w:r>
      <w:r>
        <w:t xml:space="preserve">asserts that, on the real</w:t>
      </w:r>
      <w:r>
        <w:t xml:space="preserve"> </w:t>
      </w:r>
      <w:r>
        <w:t xml:space="preserve">0.1.40 vendor, the visual rule for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returns non-empty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colours. Without this fix, every visualizer refactor in</w:t>
      </w:r>
      <w:r>
        <w:t xml:space="preserve"> </w:t>
      </w:r>
      <w:r>
        <w:t xml:space="preserve">Group F would have silently degraded to legacy hardcoded fallbacks</w:t>
      </w:r>
      <w:r>
        <w:t xml:space="preserve"> </w:t>
      </w:r>
      <w:r>
        <w:t xml:space="preserve">even though the JSON datamodel was being parsed correctly.</w:t>
      </w:r>
    </w:p>
    <w:bookmarkEnd w:id="41"/>
    <w:bookmarkStart w:id="42" w:name="decisions-taken-6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Per-file commits</w:t>
      </w:r>
      <w:r>
        <w:t xml:space="preserve"> </w:t>
      </w:r>
      <w:r>
        <w:t xml:space="preserve">kept the refactor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 file by</w:t>
      </w:r>
      <w:r>
        <w:t xml:space="preserve"> </w:t>
      </w:r>
      <w:r>
        <w:t xml:space="preserve">file. Combined with the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, any</w:t>
      </w:r>
      <w:r>
        <w:t xml:space="preserve"> </w:t>
      </w:r>
      <w:r>
        <w:t xml:space="preserve">visualizer that turns out to misbehave in field testing can be</w:t>
      </w:r>
      <w:r>
        <w:t xml:space="preserve"> </w:t>
      </w:r>
      <w:r>
        <w:t xml:space="preserve">reverted in isolation without touching the rest of Group 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Legacy fallbacks preserved</w:t>
      </w:r>
      <w:r>
        <w:t xml:space="preserve"> </w:t>
      </w:r>
      <w:r>
        <w:t xml:space="preserve">in every refactored file. The new</w:t>
      </w:r>
      <w:r>
        <w:t xml:space="preserve"> </w:t>
      </w:r>
      <w:r>
        <w:t xml:space="preserve">code path is</w:t>
      </w:r>
      <w:r>
        <w:t xml:space="preserve"> </w:t>
      </w:r>
      <w:r>
        <w:t xml:space="preserve">“VocabProvider first; legacy hardcoded value if</w:t>
      </w:r>
      <w:r>
        <w:t xml:space="preserve"> </w:t>
      </w:r>
      <w:r>
        <w:t xml:space="preserve">missing; generic neutral fallback if even that is absent.”</w:t>
      </w:r>
      <w:r>
        <w:t xml:space="preserve"> </w:t>
      </w:r>
      <w:r>
        <w:t xml:space="preserve">This</w:t>
      </w:r>
      <w:r>
        <w:t xml:space="preserve"> </w:t>
      </w:r>
      <w:r>
        <w:t xml:space="preserve">keeps existing screenshots and printouts visually identical until</w:t>
      </w:r>
      <w:r>
        <w:t xml:space="preserve"> </w:t>
      </w:r>
      <w:r>
        <w:t xml:space="preserve">s3Dgraphy ships a different palette.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in-flight VocabProvider fix is intentionally permissive</w:t>
      </w:r>
      <w:r>
        <w:t xml:space="preserve">: it</w:t>
      </w:r>
      <w:r>
        <w:t xml:space="preserve"> </w:t>
      </w:r>
      <w:r>
        <w:t xml:space="preserve">accepts both the simplified fixture shape and the real nested</w:t>
      </w:r>
      <w:r>
        <w:t xml:space="preserve"> </w:t>
      </w:r>
      <w:r>
        <w:t xml:space="preserve">shape. This means tests don’t have to mirror s3Dgraphy’s exact</w:t>
      </w:r>
      <w:r>
        <w:t xml:space="preserve"> </w:t>
      </w:r>
      <w:r>
        <w:t xml:space="preserve">on-disk layout (which can evolve between versions) while the real</w:t>
      </w:r>
      <w:r>
        <w:t xml:space="preserve"> </w:t>
      </w:r>
      <w:r>
        <w:t xml:space="preserve">vendor still drives production behaviour. Future smoke tests can</w:t>
      </w:r>
      <w:r>
        <w:t xml:space="preserve"> </w:t>
      </w:r>
      <w:r>
        <w:t xml:space="preserve">pin specific 0.1.40 keys without breaking the fixture-based unit</w:t>
      </w:r>
      <w:r>
        <w:t xml:space="preserve"> </w:t>
      </w:r>
      <w:r>
        <w:t xml:space="preserve">tests.</w:t>
      </w:r>
    </w:p>
    <w:bookmarkEnd w:id="42"/>
    <w:bookmarkStart w:id="43" w:name="closing-notes"/>
    <w:p>
      <w:pPr>
        <w:pStyle w:val="Heading2"/>
      </w:pPr>
      <w:r>
        <w:t xml:space="preserve">Closing notes</w:t>
      </w:r>
    </w:p>
    <w:p>
      <w:pPr>
        <w:pStyle w:val="FirstParagraph"/>
      </w:pPr>
      <w:r>
        <w:t xml:space="preserve">Group F is the largest commit cluster in Phase 1: 9 commits, six of</w:t>
      </w:r>
      <w:r>
        <w:t xml:space="preserve"> </w:t>
      </w:r>
      <w:r>
        <w:t xml:space="preserve">which touch production source code (the three</w:t>
      </w:r>
      <w:r>
        <w:t xml:space="preserve"> </w:t>
      </w:r>
      <w:r>
        <w:t xml:space="preserve">“downgraded”</w:t>
      </w:r>
      <w:r>
        <w:t xml:space="preserve"> </w:t>
      </w:r>
      <w:r>
        <w:t xml:space="preserve">audit-only</w:t>
      </w:r>
      <w:r>
        <w:t xml:space="preserve"> </w:t>
      </w:r>
      <w:r>
        <w:t xml:space="preserve">files were a pleasant surprise — finding hardcoded</w:t>
      </w:r>
      <w:r>
        <w:t xml:space="preserve"> </w:t>
      </w:r>
      <w:r>
        <w:rPr>
          <w:rStyle w:val="VerbatimChar"/>
        </w:rPr>
        <w:t xml:space="preserve">color_map</w:t>
      </w:r>
      <w:r>
        <w:t xml:space="preserve"> </w:t>
      </w:r>
      <w:r>
        <w:t xml:space="preserve">blocks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simple_graph_visualizer.py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graphviz_visualizer.py</w:t>
      </w:r>
      <w:r>
        <w:t xml:space="preserve"> </w:t>
      </w:r>
      <w:r>
        <w:t xml:space="preserve">means</w:t>
      </w:r>
      <w:r>
        <w:t xml:space="preserve"> </w:t>
      </w:r>
      <w:r>
        <w:t xml:space="preserve">Phase 1 cleared MORE technical debt than the spec anticipated). The</w:t>
      </w:r>
      <w:r>
        <w:t xml:space="preserve"> </w:t>
      </w:r>
      <w:r>
        <w:t xml:space="preserve">remaining work for Phase 1 is Group G: bump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, write the bilingual CHANGELOG entry, run the manual</w:t>
      </w:r>
      <w:r>
        <w:t xml:space="preserve"> </w:t>
      </w:r>
      <w:r>
        <w:t xml:space="preserve">smoke gate in QGIS, and tag the release.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2026-05-07T07:04:35Z</dcterms:created>
  <dcterms:modified xsi:type="dcterms:W3CDTF">2026-05-07T07:04:35Z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